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628B9">
      <w:pPr>
        <w:adjustRightInd w:val="0"/>
        <w:snapToGrid w:val="0"/>
        <w:spacing w:line="288" w:lineRule="auto"/>
        <w:jc w:val="center"/>
        <w:rPr>
          <w:rFonts w:hint="eastAsia" w:ascii="楷体_GB2312" w:eastAsia="楷体_GB2312"/>
          <w:sz w:val="36"/>
          <w:szCs w:val="36"/>
          <w:lang w:eastAsia="zh-CN"/>
        </w:rPr>
      </w:pPr>
      <w:r>
        <w:rPr>
          <w:rFonts w:hint="eastAsia" w:ascii="楷体_GB2312" w:eastAsia="楷体_GB2312"/>
          <w:sz w:val="36"/>
          <w:szCs w:val="36"/>
          <w:lang w:eastAsia="zh-CN"/>
        </w:rPr>
        <w:drawing>
          <wp:inline distT="0" distB="0" distL="114300" distR="114300">
            <wp:extent cx="5596255" cy="7978775"/>
            <wp:effectExtent l="0" t="0" r="4445" b="3175"/>
            <wp:docPr id="65" name="图片 65" descr="CCF_00006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CCF_000065_01"/>
                    <pic:cNvPicPr>
                      <a:picLocks noChangeAspect="1"/>
                    </pic:cNvPicPr>
                  </pic:nvPicPr>
                  <pic:blipFill>
                    <a:blip r:embed="rId12"/>
                    <a:stretch>
                      <a:fillRect/>
                    </a:stretch>
                  </pic:blipFill>
                  <pic:spPr>
                    <a:xfrm>
                      <a:off x="0" y="0"/>
                      <a:ext cx="5596255" cy="7978775"/>
                    </a:xfrm>
                    <a:prstGeom prst="rect">
                      <a:avLst/>
                    </a:prstGeom>
                  </pic:spPr>
                </pic:pic>
              </a:graphicData>
            </a:graphic>
          </wp:inline>
        </w:drawing>
      </w:r>
      <w:r>
        <w:rPr>
          <w:rFonts w:hint="eastAsia" w:ascii="楷体_GB2312" w:eastAsia="楷体_GB2312"/>
          <w:sz w:val="36"/>
          <w:szCs w:val="36"/>
          <w:lang w:eastAsia="zh-CN"/>
        </w:rPr>
        <w:drawing>
          <wp:inline distT="0" distB="0" distL="114300" distR="114300">
            <wp:extent cx="5596255" cy="7978775"/>
            <wp:effectExtent l="0" t="0" r="4445" b="3175"/>
            <wp:docPr id="62" name="图片 62" descr="CCF_00006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CCF_000065_02"/>
                    <pic:cNvPicPr>
                      <a:picLocks noChangeAspect="1"/>
                    </pic:cNvPicPr>
                  </pic:nvPicPr>
                  <pic:blipFill>
                    <a:blip r:embed="rId13"/>
                    <a:stretch>
                      <a:fillRect/>
                    </a:stretch>
                  </pic:blipFill>
                  <pic:spPr>
                    <a:xfrm>
                      <a:off x="0" y="0"/>
                      <a:ext cx="5596255" cy="7978775"/>
                    </a:xfrm>
                    <a:prstGeom prst="rect">
                      <a:avLst/>
                    </a:prstGeom>
                  </pic:spPr>
                </pic:pic>
              </a:graphicData>
            </a:graphic>
          </wp:inline>
        </w:drawing>
      </w:r>
      <w:r>
        <w:rPr>
          <w:rFonts w:hint="eastAsia" w:ascii="楷体_GB2312" w:eastAsia="楷体_GB2312"/>
          <w:sz w:val="36"/>
          <w:szCs w:val="36"/>
          <w:lang w:eastAsia="zh-CN"/>
        </w:rPr>
        <w:drawing>
          <wp:inline distT="0" distB="0" distL="114300" distR="114300">
            <wp:extent cx="5596255" cy="7978775"/>
            <wp:effectExtent l="0" t="0" r="4445" b="3175"/>
            <wp:docPr id="61" name="图片 61" descr="CCF_000065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CF_000065_03"/>
                    <pic:cNvPicPr>
                      <a:picLocks noChangeAspect="1"/>
                    </pic:cNvPicPr>
                  </pic:nvPicPr>
                  <pic:blipFill>
                    <a:blip r:embed="rId14"/>
                    <a:stretch>
                      <a:fillRect/>
                    </a:stretch>
                  </pic:blipFill>
                  <pic:spPr>
                    <a:xfrm>
                      <a:off x="0" y="0"/>
                      <a:ext cx="5596255" cy="7978775"/>
                    </a:xfrm>
                    <a:prstGeom prst="rect">
                      <a:avLst/>
                    </a:prstGeom>
                  </pic:spPr>
                </pic:pic>
              </a:graphicData>
            </a:graphic>
          </wp:inline>
        </w:drawing>
      </w:r>
      <w:r>
        <w:rPr>
          <w:rFonts w:hint="eastAsia" w:ascii="楷体_GB2312" w:eastAsia="楷体_GB2312"/>
          <w:sz w:val="36"/>
          <w:szCs w:val="36"/>
          <w:lang w:eastAsia="zh-CN"/>
        </w:rPr>
        <w:drawing>
          <wp:inline distT="0" distB="0" distL="114300" distR="114300">
            <wp:extent cx="5596255" cy="7978775"/>
            <wp:effectExtent l="0" t="0" r="4445" b="3175"/>
            <wp:docPr id="59" name="图片 59" descr="CCF_000065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CCF_000065_04"/>
                    <pic:cNvPicPr>
                      <a:picLocks noChangeAspect="1"/>
                    </pic:cNvPicPr>
                  </pic:nvPicPr>
                  <pic:blipFill>
                    <a:blip r:embed="rId15"/>
                    <a:stretch>
                      <a:fillRect/>
                    </a:stretch>
                  </pic:blipFill>
                  <pic:spPr>
                    <a:xfrm>
                      <a:off x="0" y="0"/>
                      <a:ext cx="5596255" cy="7978775"/>
                    </a:xfrm>
                    <a:prstGeom prst="rect">
                      <a:avLst/>
                    </a:prstGeom>
                  </pic:spPr>
                </pic:pic>
              </a:graphicData>
            </a:graphic>
          </wp:inline>
        </w:drawing>
      </w:r>
      <w:r>
        <w:rPr>
          <w:rFonts w:hint="eastAsia" w:ascii="楷体_GB2312" w:eastAsia="楷体_GB2312"/>
          <w:sz w:val="36"/>
          <w:szCs w:val="36"/>
          <w:lang w:eastAsia="zh-CN"/>
        </w:rPr>
        <w:drawing>
          <wp:inline distT="0" distB="0" distL="114300" distR="114300">
            <wp:extent cx="5596255" cy="7978775"/>
            <wp:effectExtent l="0" t="0" r="4445" b="3175"/>
            <wp:docPr id="23" name="图片 23" descr="CCF_000065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CF_000065_05"/>
                    <pic:cNvPicPr>
                      <a:picLocks noChangeAspect="1"/>
                    </pic:cNvPicPr>
                  </pic:nvPicPr>
                  <pic:blipFill>
                    <a:blip r:embed="rId16"/>
                    <a:stretch>
                      <a:fillRect/>
                    </a:stretch>
                  </pic:blipFill>
                  <pic:spPr>
                    <a:xfrm>
                      <a:off x="0" y="0"/>
                      <a:ext cx="5596255" cy="7978775"/>
                    </a:xfrm>
                    <a:prstGeom prst="rect">
                      <a:avLst/>
                    </a:prstGeom>
                  </pic:spPr>
                </pic:pic>
              </a:graphicData>
            </a:graphic>
          </wp:inline>
        </w:drawing>
      </w:r>
      <w:r>
        <w:rPr>
          <w:rFonts w:hint="eastAsia" w:ascii="楷体_GB2312" w:eastAsia="楷体_GB2312"/>
          <w:sz w:val="36"/>
          <w:szCs w:val="36"/>
          <w:lang w:eastAsia="zh-CN"/>
        </w:rPr>
        <w:drawing>
          <wp:inline distT="0" distB="0" distL="114300" distR="114300">
            <wp:extent cx="8164195" cy="5755005"/>
            <wp:effectExtent l="0" t="0" r="17145" b="8255"/>
            <wp:docPr id="11" name="图片 11" descr="54e0ae5e4afff9969a8d6683ffd4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4e0ae5e4afff9969a8d6683ffd42982"/>
                    <pic:cNvPicPr>
                      <a:picLocks noChangeAspect="1"/>
                    </pic:cNvPicPr>
                  </pic:nvPicPr>
                  <pic:blipFill>
                    <a:blip r:embed="rId17"/>
                    <a:stretch>
                      <a:fillRect/>
                    </a:stretch>
                  </pic:blipFill>
                  <pic:spPr>
                    <a:xfrm rot="16200000">
                      <a:off x="0" y="0"/>
                      <a:ext cx="8164195" cy="5755005"/>
                    </a:xfrm>
                    <a:prstGeom prst="rect">
                      <a:avLst/>
                    </a:prstGeom>
                  </pic:spPr>
                </pic:pic>
              </a:graphicData>
            </a:graphic>
          </wp:inline>
        </w:drawing>
      </w:r>
    </w:p>
    <w:p w14:paraId="65EECF2D">
      <w:pPr>
        <w:adjustRightInd w:val="0"/>
        <w:snapToGrid w:val="0"/>
        <w:spacing w:line="288" w:lineRule="auto"/>
        <w:ind w:firstLine="1040"/>
        <w:rPr>
          <w:rFonts w:ascii="仿宋_GB2312" w:eastAsia="仿宋_GB2312"/>
          <w:sz w:val="36"/>
          <w:szCs w:val="36"/>
        </w:rPr>
        <w:sectPr>
          <w:footerReference r:id="rId3" w:type="default"/>
          <w:pgSz w:w="11906" w:h="16838"/>
          <w:pgMar w:top="1701" w:right="1531" w:bottom="1701" w:left="1531" w:header="851" w:footer="1077" w:gutter="0"/>
          <w:pgNumType w:start="3"/>
          <w:cols w:space="720" w:num="1"/>
          <w:docGrid w:linePitch="312" w:charSpace="0"/>
        </w:sectPr>
      </w:pPr>
    </w:p>
    <w:p w14:paraId="6D411417">
      <w:pPr>
        <w:pStyle w:val="19"/>
        <w:spacing w:before="0" w:beforeAutospacing="0" w:after="0" w:afterAutospacing="0"/>
        <w:jc w:val="center"/>
        <w:outlineLvl w:val="0"/>
        <w:rPr>
          <w:rFonts w:ascii="Times New Roman" w:hAnsi="Times New Roman"/>
          <w:b/>
          <w:bCs/>
          <w:snapToGrid w:val="0"/>
          <w:sz w:val="30"/>
          <w:szCs w:val="30"/>
        </w:rPr>
      </w:pPr>
      <w:bookmarkStart w:id="0" w:name="_Toc8000"/>
      <w:bookmarkStart w:id="1" w:name="_Toc16803"/>
      <w:r>
        <w:rPr>
          <w:rFonts w:ascii="Times New Roman" w:hAnsi="Times New Roman"/>
          <w:b/>
          <w:bCs/>
          <w:snapToGrid w:val="0"/>
          <w:sz w:val="30"/>
          <w:szCs w:val="30"/>
        </w:rPr>
        <w:t>一、建设项目基本情况</w:t>
      </w:r>
    </w:p>
    <w:tbl>
      <w:tblPr>
        <w:tblStyle w:val="22"/>
        <w:tblW w:w="891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731"/>
        <w:gridCol w:w="2377"/>
        <w:gridCol w:w="2212"/>
        <w:gridCol w:w="2596"/>
      </w:tblGrid>
      <w:tr w14:paraId="381F8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1" w:type="dxa"/>
            <w:tcMar>
              <w:top w:w="16" w:type="dxa"/>
              <w:left w:w="16" w:type="dxa"/>
              <w:right w:w="16" w:type="dxa"/>
            </w:tcMar>
            <w:vAlign w:val="center"/>
          </w:tcPr>
          <w:p w14:paraId="376EA8DA">
            <w:pPr>
              <w:adjustRightInd w:val="0"/>
              <w:snapToGrid w:val="0"/>
              <w:jc w:val="center"/>
              <w:rPr>
                <w:color w:val="auto"/>
                <w:sz w:val="24"/>
              </w:rPr>
            </w:pPr>
            <w:r>
              <w:rPr>
                <w:color w:val="auto"/>
                <w:sz w:val="24"/>
              </w:rPr>
              <w:t>建设项目名称</w:t>
            </w:r>
          </w:p>
        </w:tc>
        <w:tc>
          <w:tcPr>
            <w:tcW w:w="7185" w:type="dxa"/>
            <w:gridSpan w:val="3"/>
            <w:vAlign w:val="center"/>
          </w:tcPr>
          <w:p w14:paraId="195B7935">
            <w:pPr>
              <w:adjustRightInd w:val="0"/>
              <w:snapToGrid w:val="0"/>
              <w:jc w:val="center"/>
              <w:rPr>
                <w:color w:val="auto"/>
                <w:sz w:val="24"/>
              </w:rPr>
            </w:pPr>
            <w:r>
              <w:rPr>
                <w:rFonts w:hint="eastAsia"/>
                <w:color w:val="auto"/>
                <w:sz w:val="24"/>
              </w:rPr>
              <w:t>内蒙古锦泽鑫管业有限公司年产120万米环氧玻璃纤维高压管道建设项目</w:t>
            </w:r>
          </w:p>
        </w:tc>
      </w:tr>
      <w:tr w14:paraId="5D4308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1" w:type="dxa"/>
            <w:tcMar>
              <w:top w:w="16" w:type="dxa"/>
              <w:left w:w="16" w:type="dxa"/>
              <w:right w:w="16" w:type="dxa"/>
            </w:tcMar>
            <w:vAlign w:val="center"/>
          </w:tcPr>
          <w:p w14:paraId="08E7189A">
            <w:pPr>
              <w:adjustRightInd w:val="0"/>
              <w:snapToGrid w:val="0"/>
              <w:jc w:val="center"/>
              <w:rPr>
                <w:rFonts w:hint="eastAsia"/>
                <w:color w:val="auto"/>
                <w:sz w:val="24"/>
              </w:rPr>
            </w:pPr>
            <w:r>
              <w:rPr>
                <w:rFonts w:hint="eastAsia"/>
                <w:color w:val="auto"/>
                <w:sz w:val="24"/>
              </w:rPr>
              <w:t>项目代码</w:t>
            </w:r>
          </w:p>
        </w:tc>
        <w:tc>
          <w:tcPr>
            <w:tcW w:w="7185" w:type="dxa"/>
            <w:gridSpan w:val="3"/>
            <w:vAlign w:val="center"/>
          </w:tcPr>
          <w:p w14:paraId="57338223">
            <w:pPr>
              <w:adjustRightInd w:val="0"/>
              <w:snapToGrid w:val="0"/>
              <w:jc w:val="center"/>
              <w:rPr>
                <w:rFonts w:hint="eastAsia"/>
                <w:color w:val="auto"/>
                <w:sz w:val="24"/>
              </w:rPr>
            </w:pPr>
            <w:r>
              <w:rPr>
                <w:rFonts w:hint="eastAsia"/>
                <w:color w:val="auto"/>
                <w:sz w:val="24"/>
                <w:lang w:val="en-US" w:eastAsia="zh-CN"/>
              </w:rPr>
              <w:t>2607-150622-04-01-956819</w:t>
            </w:r>
          </w:p>
        </w:tc>
      </w:tr>
      <w:tr w14:paraId="7B9A2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1" w:type="dxa"/>
            <w:tcMar>
              <w:top w:w="16" w:type="dxa"/>
              <w:left w:w="16" w:type="dxa"/>
              <w:right w:w="16" w:type="dxa"/>
            </w:tcMar>
            <w:vAlign w:val="center"/>
          </w:tcPr>
          <w:p w14:paraId="0A261733">
            <w:pPr>
              <w:adjustRightInd w:val="0"/>
              <w:snapToGrid w:val="0"/>
              <w:jc w:val="center"/>
              <w:rPr>
                <w:color w:val="auto"/>
                <w:sz w:val="24"/>
              </w:rPr>
            </w:pPr>
            <w:r>
              <w:rPr>
                <w:color w:val="auto"/>
                <w:sz w:val="24"/>
              </w:rPr>
              <w:t>建设单位联系人</w:t>
            </w:r>
          </w:p>
        </w:tc>
        <w:tc>
          <w:tcPr>
            <w:tcW w:w="2377" w:type="dxa"/>
            <w:shd w:val="clear" w:color="auto" w:fill="auto"/>
            <w:vAlign w:val="center"/>
          </w:tcPr>
          <w:p w14:paraId="5DEEE34D">
            <w:pPr>
              <w:adjustRightInd w:val="0"/>
              <w:snapToGrid w:val="0"/>
              <w:jc w:val="center"/>
              <w:rPr>
                <w:rFonts w:hint="eastAsia"/>
                <w:color w:val="auto"/>
                <w:sz w:val="24"/>
                <w:lang w:val="en-US" w:eastAsia="zh-CN"/>
              </w:rPr>
            </w:pPr>
            <w:r>
              <w:rPr>
                <w:rFonts w:hint="eastAsia"/>
                <w:color w:val="auto"/>
                <w:sz w:val="24"/>
                <w:lang w:val="en-US" w:eastAsia="zh-CN"/>
              </w:rPr>
              <w:t>程志友</w:t>
            </w:r>
          </w:p>
        </w:tc>
        <w:tc>
          <w:tcPr>
            <w:tcW w:w="2212" w:type="dxa"/>
            <w:shd w:val="clear" w:color="auto" w:fill="auto"/>
            <w:vAlign w:val="center"/>
          </w:tcPr>
          <w:p w14:paraId="7FC71531">
            <w:pPr>
              <w:adjustRightInd w:val="0"/>
              <w:snapToGrid w:val="0"/>
              <w:jc w:val="center"/>
              <w:rPr>
                <w:rFonts w:hint="eastAsia"/>
                <w:color w:val="auto"/>
                <w:sz w:val="24"/>
                <w:lang w:val="en-US" w:eastAsia="zh-CN"/>
              </w:rPr>
            </w:pPr>
            <w:r>
              <w:rPr>
                <w:rFonts w:hint="eastAsia"/>
                <w:color w:val="auto"/>
                <w:sz w:val="24"/>
                <w:lang w:val="en-US" w:eastAsia="zh-CN"/>
              </w:rPr>
              <w:t>联系方式</w:t>
            </w:r>
          </w:p>
        </w:tc>
        <w:tc>
          <w:tcPr>
            <w:tcW w:w="2596" w:type="dxa"/>
            <w:shd w:val="clear" w:color="auto" w:fill="auto"/>
            <w:vAlign w:val="center"/>
          </w:tcPr>
          <w:p w14:paraId="0E0AF092">
            <w:pPr>
              <w:adjustRightInd w:val="0"/>
              <w:snapToGrid w:val="0"/>
              <w:jc w:val="center"/>
              <w:rPr>
                <w:rFonts w:hint="default"/>
                <w:color w:val="auto"/>
                <w:sz w:val="24"/>
                <w:lang w:val="en-US" w:eastAsia="zh-CN"/>
              </w:rPr>
            </w:pPr>
            <w:r>
              <w:rPr>
                <w:rFonts w:hint="eastAsia"/>
                <w:color w:val="auto"/>
                <w:sz w:val="24"/>
                <w:lang w:val="en-US" w:eastAsia="zh-CN"/>
              </w:rPr>
              <w:t>18769237913</w:t>
            </w:r>
          </w:p>
        </w:tc>
      </w:tr>
      <w:tr w14:paraId="40DC6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1" w:type="dxa"/>
            <w:tcMar>
              <w:top w:w="16" w:type="dxa"/>
              <w:left w:w="16" w:type="dxa"/>
              <w:right w:w="16" w:type="dxa"/>
            </w:tcMar>
            <w:vAlign w:val="center"/>
          </w:tcPr>
          <w:p w14:paraId="3BA5AE8F">
            <w:pPr>
              <w:adjustRightInd w:val="0"/>
              <w:snapToGrid w:val="0"/>
              <w:jc w:val="center"/>
              <w:rPr>
                <w:color w:val="auto"/>
                <w:sz w:val="24"/>
              </w:rPr>
            </w:pPr>
            <w:r>
              <w:rPr>
                <w:color w:val="auto"/>
                <w:sz w:val="24"/>
              </w:rPr>
              <w:t>建设地点</w:t>
            </w:r>
          </w:p>
        </w:tc>
        <w:tc>
          <w:tcPr>
            <w:tcW w:w="7185" w:type="dxa"/>
            <w:gridSpan w:val="3"/>
            <w:vAlign w:val="center"/>
          </w:tcPr>
          <w:p w14:paraId="371259BD">
            <w:pPr>
              <w:adjustRightInd w:val="0"/>
              <w:snapToGrid w:val="0"/>
              <w:jc w:val="center"/>
              <w:rPr>
                <w:color w:val="auto"/>
                <w:sz w:val="24"/>
              </w:rPr>
            </w:pPr>
            <w:r>
              <w:rPr>
                <w:rFonts w:hint="eastAsia"/>
                <w:color w:val="auto"/>
                <w:sz w:val="24"/>
                <w:lang w:val="en-US" w:eastAsia="zh-CN"/>
              </w:rPr>
              <w:t>内蒙古自治区</w:t>
            </w:r>
            <w:r>
              <w:rPr>
                <w:rFonts w:hint="eastAsia"/>
                <w:color w:val="auto"/>
                <w:sz w:val="24"/>
              </w:rPr>
              <w:t>鄂尔多斯</w:t>
            </w:r>
            <w:r>
              <w:rPr>
                <w:rFonts w:hint="eastAsia"/>
                <w:color w:val="auto"/>
                <w:sz w:val="24"/>
                <w:lang w:val="en-US" w:eastAsia="zh-CN"/>
              </w:rPr>
              <w:t>市</w:t>
            </w:r>
            <w:r>
              <w:rPr>
                <w:rFonts w:hint="eastAsia"/>
                <w:color w:val="auto"/>
                <w:sz w:val="24"/>
              </w:rPr>
              <w:t>准格尔经济开发区大路产业园新能源基地B3地块12号厂房</w:t>
            </w:r>
          </w:p>
        </w:tc>
      </w:tr>
      <w:tr w14:paraId="7DBCC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1" w:type="dxa"/>
            <w:tcMar>
              <w:top w:w="16" w:type="dxa"/>
              <w:left w:w="16" w:type="dxa"/>
              <w:right w:w="16" w:type="dxa"/>
            </w:tcMar>
            <w:vAlign w:val="center"/>
          </w:tcPr>
          <w:p w14:paraId="2168B560">
            <w:pPr>
              <w:adjustRightInd w:val="0"/>
              <w:snapToGrid w:val="0"/>
              <w:jc w:val="center"/>
              <w:rPr>
                <w:color w:val="auto"/>
                <w:sz w:val="24"/>
              </w:rPr>
            </w:pPr>
            <w:r>
              <w:rPr>
                <w:color w:val="auto"/>
                <w:sz w:val="24"/>
              </w:rPr>
              <w:t>地理坐标</w:t>
            </w:r>
          </w:p>
        </w:tc>
        <w:tc>
          <w:tcPr>
            <w:tcW w:w="7185" w:type="dxa"/>
            <w:gridSpan w:val="3"/>
            <w:vAlign w:val="center"/>
          </w:tcPr>
          <w:p w14:paraId="42164A86">
            <w:pPr>
              <w:jc w:val="center"/>
              <w:rPr>
                <w:color w:val="auto"/>
                <w:sz w:val="24"/>
              </w:rPr>
            </w:pPr>
            <w:r>
              <w:rPr>
                <w:color w:val="auto"/>
                <w:sz w:val="24"/>
              </w:rPr>
              <w:t>（</w:t>
            </w:r>
            <w:r>
              <w:rPr>
                <w:color w:val="auto"/>
                <w:sz w:val="24"/>
                <w:u w:val="single"/>
              </w:rPr>
              <w:t xml:space="preserve"> 1</w:t>
            </w:r>
            <w:r>
              <w:rPr>
                <w:rFonts w:hint="eastAsia"/>
                <w:color w:val="auto"/>
                <w:sz w:val="24"/>
                <w:u w:val="single"/>
                <w:lang w:val="en-US" w:eastAsia="zh-CN"/>
              </w:rPr>
              <w:t>11</w:t>
            </w:r>
            <w:r>
              <w:rPr>
                <w:color w:val="auto"/>
                <w:sz w:val="24"/>
                <w:u w:val="single"/>
              </w:rPr>
              <w:t xml:space="preserve"> </w:t>
            </w:r>
            <w:r>
              <w:rPr>
                <w:color w:val="auto"/>
                <w:sz w:val="24"/>
              </w:rPr>
              <w:t>度</w:t>
            </w:r>
            <w:r>
              <w:rPr>
                <w:color w:val="auto"/>
                <w:sz w:val="24"/>
                <w:u w:val="single"/>
              </w:rPr>
              <w:t xml:space="preserve"> </w:t>
            </w:r>
            <w:r>
              <w:rPr>
                <w:rFonts w:hint="eastAsia"/>
                <w:color w:val="auto"/>
                <w:sz w:val="24"/>
                <w:u w:val="single"/>
                <w:lang w:val="en-US" w:eastAsia="zh-CN"/>
              </w:rPr>
              <w:t>19</w:t>
            </w:r>
            <w:r>
              <w:rPr>
                <w:color w:val="auto"/>
                <w:sz w:val="24"/>
                <w:u w:val="single"/>
              </w:rPr>
              <w:t xml:space="preserve"> </w:t>
            </w:r>
            <w:r>
              <w:rPr>
                <w:color w:val="auto"/>
                <w:sz w:val="24"/>
              </w:rPr>
              <w:t>分</w:t>
            </w:r>
            <w:r>
              <w:rPr>
                <w:rFonts w:hint="eastAsia"/>
                <w:color w:val="auto"/>
                <w:sz w:val="24"/>
                <w:u w:val="single"/>
                <w:lang w:val="en-US" w:eastAsia="zh-CN"/>
              </w:rPr>
              <w:t>21.516</w:t>
            </w:r>
            <w:r>
              <w:rPr>
                <w:color w:val="auto"/>
                <w:sz w:val="24"/>
              </w:rPr>
              <w:t>秒，</w:t>
            </w:r>
            <w:r>
              <w:rPr>
                <w:rFonts w:hint="eastAsia"/>
                <w:color w:val="auto"/>
                <w:sz w:val="24"/>
                <w:u w:val="single"/>
              </w:rPr>
              <w:t xml:space="preserve"> </w:t>
            </w:r>
            <w:r>
              <w:rPr>
                <w:rFonts w:hint="eastAsia"/>
                <w:color w:val="auto"/>
                <w:sz w:val="24"/>
                <w:u w:val="single"/>
                <w:lang w:val="en-US" w:eastAsia="zh-CN"/>
              </w:rPr>
              <w:t>40</w:t>
            </w:r>
            <w:r>
              <w:rPr>
                <w:color w:val="auto"/>
                <w:sz w:val="24"/>
                <w:u w:val="single"/>
              </w:rPr>
              <w:t xml:space="preserve"> </w:t>
            </w:r>
            <w:r>
              <w:rPr>
                <w:color w:val="auto"/>
                <w:sz w:val="24"/>
              </w:rPr>
              <w:t>度</w:t>
            </w:r>
            <w:r>
              <w:rPr>
                <w:color w:val="auto"/>
                <w:sz w:val="24"/>
                <w:u w:val="single"/>
              </w:rPr>
              <w:t xml:space="preserve"> </w:t>
            </w:r>
            <w:r>
              <w:rPr>
                <w:rFonts w:hint="eastAsia"/>
                <w:color w:val="auto"/>
                <w:sz w:val="24"/>
                <w:u w:val="single"/>
                <w:lang w:val="en-US" w:eastAsia="zh-CN"/>
              </w:rPr>
              <w:t>4</w:t>
            </w:r>
            <w:r>
              <w:rPr>
                <w:color w:val="auto"/>
                <w:sz w:val="24"/>
                <w:u w:val="single"/>
              </w:rPr>
              <w:t xml:space="preserve"> </w:t>
            </w:r>
            <w:r>
              <w:rPr>
                <w:color w:val="auto"/>
                <w:sz w:val="24"/>
              </w:rPr>
              <w:t>分</w:t>
            </w:r>
            <w:r>
              <w:rPr>
                <w:rFonts w:hint="eastAsia"/>
                <w:color w:val="auto"/>
                <w:sz w:val="24"/>
                <w:u w:val="single"/>
                <w:lang w:val="en-US" w:eastAsia="zh-CN"/>
              </w:rPr>
              <w:t>3.010</w:t>
            </w:r>
            <w:r>
              <w:rPr>
                <w:color w:val="auto"/>
                <w:sz w:val="24"/>
                <w:u w:val="single"/>
              </w:rPr>
              <w:t xml:space="preserve"> </w:t>
            </w:r>
            <w:r>
              <w:rPr>
                <w:color w:val="auto"/>
                <w:sz w:val="24"/>
              </w:rPr>
              <w:t>秒）</w:t>
            </w:r>
          </w:p>
        </w:tc>
      </w:tr>
      <w:tr w14:paraId="47BB73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625" w:hRule="atLeast"/>
          <w:jc w:val="center"/>
        </w:trPr>
        <w:tc>
          <w:tcPr>
            <w:tcW w:w="1731" w:type="dxa"/>
            <w:tcMar>
              <w:top w:w="16" w:type="dxa"/>
              <w:left w:w="16" w:type="dxa"/>
              <w:right w:w="16" w:type="dxa"/>
            </w:tcMar>
            <w:vAlign w:val="center"/>
          </w:tcPr>
          <w:p w14:paraId="612B2AC1">
            <w:pPr>
              <w:adjustRightInd w:val="0"/>
              <w:snapToGrid w:val="0"/>
              <w:jc w:val="center"/>
              <w:rPr>
                <w:color w:val="auto"/>
                <w:sz w:val="24"/>
              </w:rPr>
            </w:pPr>
            <w:r>
              <w:rPr>
                <w:color w:val="auto"/>
                <w:sz w:val="24"/>
              </w:rPr>
              <w:t>国民经济</w:t>
            </w:r>
          </w:p>
          <w:p w14:paraId="3ED75BB7">
            <w:pPr>
              <w:adjustRightInd w:val="0"/>
              <w:snapToGrid w:val="0"/>
              <w:jc w:val="center"/>
              <w:rPr>
                <w:color w:val="auto"/>
                <w:sz w:val="24"/>
              </w:rPr>
            </w:pPr>
            <w:r>
              <w:rPr>
                <w:color w:val="auto"/>
                <w:sz w:val="24"/>
              </w:rPr>
              <w:t>行业类别</w:t>
            </w:r>
          </w:p>
        </w:tc>
        <w:tc>
          <w:tcPr>
            <w:tcW w:w="2377" w:type="dxa"/>
            <w:vAlign w:val="center"/>
          </w:tcPr>
          <w:p w14:paraId="07B142D9">
            <w:pPr>
              <w:adjustRightInd w:val="0"/>
              <w:snapToGrid w:val="0"/>
              <w:jc w:val="center"/>
              <w:rPr>
                <w:color w:val="auto"/>
                <w:sz w:val="24"/>
              </w:rPr>
            </w:pPr>
            <w:r>
              <w:rPr>
                <w:rFonts w:hint="eastAsia"/>
                <w:color w:val="auto"/>
                <w:sz w:val="24"/>
              </w:rPr>
              <w:t>3062玻璃纤维增强塑料制品制造</w:t>
            </w:r>
          </w:p>
        </w:tc>
        <w:tc>
          <w:tcPr>
            <w:tcW w:w="2212" w:type="dxa"/>
            <w:vAlign w:val="center"/>
          </w:tcPr>
          <w:p w14:paraId="114B55AB">
            <w:pPr>
              <w:adjustRightInd w:val="0"/>
              <w:snapToGrid w:val="0"/>
              <w:jc w:val="center"/>
              <w:rPr>
                <w:color w:val="auto"/>
                <w:sz w:val="24"/>
              </w:rPr>
            </w:pPr>
            <w:bookmarkStart w:id="2" w:name="_Hlk49843745"/>
            <w:r>
              <w:rPr>
                <w:color w:val="auto"/>
                <w:sz w:val="24"/>
              </w:rPr>
              <w:t>建设项目</w:t>
            </w:r>
          </w:p>
          <w:p w14:paraId="72AF65A3">
            <w:pPr>
              <w:adjustRightInd w:val="0"/>
              <w:snapToGrid w:val="0"/>
              <w:jc w:val="center"/>
              <w:rPr>
                <w:color w:val="auto"/>
                <w:sz w:val="24"/>
              </w:rPr>
            </w:pPr>
            <w:r>
              <w:rPr>
                <w:color w:val="auto"/>
                <w:sz w:val="24"/>
              </w:rPr>
              <w:t>行业类别</w:t>
            </w:r>
            <w:bookmarkEnd w:id="2"/>
          </w:p>
        </w:tc>
        <w:tc>
          <w:tcPr>
            <w:tcW w:w="2596" w:type="dxa"/>
            <w:vAlign w:val="center"/>
          </w:tcPr>
          <w:p w14:paraId="2B6D151C">
            <w:pPr>
              <w:adjustRightInd w:val="0"/>
              <w:snapToGrid w:val="0"/>
              <w:jc w:val="center"/>
              <w:rPr>
                <w:color w:val="auto"/>
              </w:rPr>
            </w:pPr>
            <w:r>
              <w:rPr>
                <w:rFonts w:hint="eastAsia"/>
                <w:color w:val="auto"/>
                <w:sz w:val="24"/>
              </w:rPr>
              <w:t>二十七、非金属矿物制品业-58、玻璃纤维和玻璃纤维增强塑料制品制造306-全部</w:t>
            </w:r>
          </w:p>
        </w:tc>
      </w:tr>
      <w:tr w14:paraId="35EA2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31" w:type="dxa"/>
            <w:tcMar>
              <w:top w:w="16" w:type="dxa"/>
              <w:left w:w="16" w:type="dxa"/>
              <w:right w:w="16" w:type="dxa"/>
            </w:tcMar>
            <w:vAlign w:val="center"/>
          </w:tcPr>
          <w:p w14:paraId="6FD4CAD1">
            <w:pPr>
              <w:adjustRightInd w:val="0"/>
              <w:snapToGrid w:val="0"/>
              <w:jc w:val="center"/>
              <w:rPr>
                <w:color w:val="auto"/>
                <w:sz w:val="24"/>
              </w:rPr>
            </w:pPr>
            <w:r>
              <w:rPr>
                <w:color w:val="auto"/>
                <w:sz w:val="24"/>
              </w:rPr>
              <w:t>建设性质</w:t>
            </w:r>
          </w:p>
        </w:tc>
        <w:tc>
          <w:tcPr>
            <w:tcW w:w="2377" w:type="dxa"/>
            <w:vAlign w:val="center"/>
          </w:tcPr>
          <w:p w14:paraId="1A364F7F">
            <w:pPr>
              <w:jc w:val="left"/>
              <w:rPr>
                <w:color w:val="auto"/>
                <w:sz w:val="24"/>
              </w:rPr>
            </w:pPr>
            <w:r>
              <w:rPr>
                <w:rFonts w:hint="eastAsia"/>
                <w:color w:val="auto"/>
                <w:sz w:val="24"/>
                <w:lang w:eastAsia="zh-CN"/>
              </w:rPr>
              <w:t>☑</w:t>
            </w:r>
            <w:r>
              <w:rPr>
                <w:color w:val="auto"/>
                <w:sz w:val="24"/>
              </w:rPr>
              <w:t>新建（迁建）</w:t>
            </w:r>
          </w:p>
          <w:p w14:paraId="346C9756">
            <w:pPr>
              <w:jc w:val="left"/>
              <w:rPr>
                <w:color w:val="auto"/>
                <w:sz w:val="24"/>
              </w:rPr>
            </w:pPr>
            <w:r>
              <w:rPr>
                <w:rFonts w:hint="eastAsia"/>
                <w:color w:val="auto"/>
                <w:sz w:val="24"/>
                <w:lang w:eastAsia="zh-CN"/>
              </w:rPr>
              <w:t>□</w:t>
            </w:r>
            <w:r>
              <w:rPr>
                <w:color w:val="auto"/>
                <w:sz w:val="24"/>
              </w:rPr>
              <w:t>改建</w:t>
            </w:r>
          </w:p>
          <w:p w14:paraId="1ECAAB96">
            <w:pPr>
              <w:jc w:val="left"/>
              <w:rPr>
                <w:color w:val="auto"/>
                <w:sz w:val="24"/>
              </w:rPr>
            </w:pPr>
            <w:r>
              <w:rPr>
                <w:rFonts w:hint="eastAsia"/>
                <w:color w:val="auto"/>
                <w:sz w:val="24"/>
                <w:lang w:eastAsia="zh-CN"/>
              </w:rPr>
              <w:t>□</w:t>
            </w:r>
            <w:r>
              <w:rPr>
                <w:color w:val="auto"/>
                <w:sz w:val="24"/>
              </w:rPr>
              <w:t>扩建</w:t>
            </w:r>
          </w:p>
          <w:p w14:paraId="43748555">
            <w:pPr>
              <w:jc w:val="left"/>
              <w:rPr>
                <w:color w:val="auto"/>
                <w:sz w:val="24"/>
              </w:rPr>
            </w:pPr>
            <w:r>
              <w:rPr>
                <w:rFonts w:hint="eastAsia"/>
                <w:color w:val="auto"/>
                <w:sz w:val="24"/>
                <w:lang w:eastAsia="zh-CN"/>
              </w:rPr>
              <w:t>□</w:t>
            </w:r>
            <w:r>
              <w:rPr>
                <w:color w:val="auto"/>
                <w:sz w:val="24"/>
              </w:rPr>
              <w:t>技术改造</w:t>
            </w:r>
          </w:p>
        </w:tc>
        <w:tc>
          <w:tcPr>
            <w:tcW w:w="2212" w:type="dxa"/>
            <w:vAlign w:val="center"/>
          </w:tcPr>
          <w:p w14:paraId="6D82CE8F">
            <w:pPr>
              <w:adjustRightInd w:val="0"/>
              <w:snapToGrid w:val="0"/>
              <w:jc w:val="center"/>
              <w:rPr>
                <w:color w:val="auto"/>
                <w:sz w:val="24"/>
              </w:rPr>
            </w:pPr>
            <w:r>
              <w:rPr>
                <w:color w:val="auto"/>
                <w:sz w:val="24"/>
              </w:rPr>
              <w:t>建设项目</w:t>
            </w:r>
          </w:p>
          <w:p w14:paraId="373773A5">
            <w:pPr>
              <w:adjustRightInd w:val="0"/>
              <w:snapToGrid w:val="0"/>
              <w:jc w:val="center"/>
              <w:rPr>
                <w:color w:val="auto"/>
                <w:sz w:val="24"/>
              </w:rPr>
            </w:pPr>
            <w:r>
              <w:rPr>
                <w:color w:val="auto"/>
                <w:sz w:val="24"/>
              </w:rPr>
              <w:t>申报情形</w:t>
            </w:r>
          </w:p>
        </w:tc>
        <w:tc>
          <w:tcPr>
            <w:tcW w:w="2596" w:type="dxa"/>
            <w:vAlign w:val="center"/>
          </w:tcPr>
          <w:p w14:paraId="659D2384">
            <w:pPr>
              <w:jc w:val="left"/>
              <w:rPr>
                <w:color w:val="auto"/>
                <w:sz w:val="24"/>
              </w:rPr>
            </w:pPr>
            <w:r>
              <w:rPr>
                <w:color w:val="auto"/>
                <w:sz w:val="24"/>
              </w:rPr>
              <w:sym w:font="Wingdings 2" w:char="0052"/>
            </w:r>
            <w:r>
              <w:rPr>
                <w:color w:val="auto"/>
                <w:sz w:val="24"/>
              </w:rPr>
              <w:t xml:space="preserve">首次申报项目             </w:t>
            </w:r>
          </w:p>
          <w:p w14:paraId="6247340F">
            <w:pPr>
              <w:jc w:val="left"/>
              <w:rPr>
                <w:color w:val="auto"/>
                <w:sz w:val="24"/>
              </w:rPr>
            </w:pPr>
            <w:r>
              <w:rPr>
                <w:color w:val="auto"/>
                <w:sz w:val="24"/>
              </w:rPr>
              <w:t>□不予批准后再次申报项目</w:t>
            </w:r>
          </w:p>
          <w:p w14:paraId="6B299341">
            <w:pPr>
              <w:jc w:val="left"/>
              <w:rPr>
                <w:color w:val="auto"/>
                <w:sz w:val="24"/>
              </w:rPr>
            </w:pPr>
            <w:r>
              <w:rPr>
                <w:color w:val="auto"/>
                <w:sz w:val="24"/>
              </w:rPr>
              <w:t xml:space="preserve">□超五年重新审核项目     </w:t>
            </w:r>
          </w:p>
          <w:p w14:paraId="7B8064C3">
            <w:pPr>
              <w:jc w:val="left"/>
              <w:rPr>
                <w:color w:val="auto"/>
                <w:sz w:val="24"/>
              </w:rPr>
            </w:pPr>
            <w:r>
              <w:rPr>
                <w:color w:val="auto"/>
                <w:sz w:val="24"/>
              </w:rPr>
              <w:t>□重大变动重新报批项目</w:t>
            </w:r>
          </w:p>
        </w:tc>
      </w:tr>
      <w:tr w14:paraId="41603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31" w:type="dxa"/>
            <w:tcMar>
              <w:top w:w="16" w:type="dxa"/>
              <w:left w:w="16" w:type="dxa"/>
              <w:right w:w="16" w:type="dxa"/>
            </w:tcMar>
            <w:vAlign w:val="center"/>
          </w:tcPr>
          <w:p w14:paraId="1B9B766A">
            <w:pPr>
              <w:adjustRightInd w:val="0"/>
              <w:snapToGrid w:val="0"/>
              <w:jc w:val="center"/>
              <w:rPr>
                <w:color w:val="auto"/>
                <w:sz w:val="24"/>
              </w:rPr>
            </w:pPr>
            <w:r>
              <w:rPr>
                <w:color w:val="auto"/>
                <w:sz w:val="24"/>
              </w:rPr>
              <w:t>项目审批（核准/</w:t>
            </w:r>
          </w:p>
          <w:p w14:paraId="158D4076">
            <w:pPr>
              <w:adjustRightInd w:val="0"/>
              <w:snapToGrid w:val="0"/>
              <w:jc w:val="center"/>
              <w:rPr>
                <w:color w:val="auto"/>
                <w:sz w:val="24"/>
              </w:rPr>
            </w:pPr>
            <w:r>
              <w:rPr>
                <w:color w:val="auto"/>
                <w:sz w:val="24"/>
              </w:rPr>
              <w:t>备案）部门（选填）</w:t>
            </w:r>
          </w:p>
        </w:tc>
        <w:tc>
          <w:tcPr>
            <w:tcW w:w="2377" w:type="dxa"/>
            <w:vAlign w:val="center"/>
          </w:tcPr>
          <w:p w14:paraId="10D673A8">
            <w:pPr>
              <w:adjustRightInd w:val="0"/>
              <w:snapToGrid w:val="0"/>
              <w:jc w:val="center"/>
              <w:rPr>
                <w:rFonts w:hint="default" w:eastAsia="宋体"/>
                <w:color w:val="auto"/>
                <w:sz w:val="24"/>
                <w:lang w:val="en-US" w:eastAsia="zh-CN"/>
              </w:rPr>
            </w:pPr>
            <w:r>
              <w:rPr>
                <w:rFonts w:hint="eastAsia"/>
                <w:color w:val="auto"/>
                <w:sz w:val="24"/>
                <w:lang w:val="en-US" w:eastAsia="zh-CN"/>
              </w:rPr>
              <w:t>准格尔旗发展和改革委员会</w:t>
            </w:r>
          </w:p>
        </w:tc>
        <w:tc>
          <w:tcPr>
            <w:tcW w:w="2212" w:type="dxa"/>
            <w:vAlign w:val="center"/>
          </w:tcPr>
          <w:p w14:paraId="39055CE1">
            <w:pPr>
              <w:adjustRightInd w:val="0"/>
              <w:snapToGrid w:val="0"/>
              <w:jc w:val="center"/>
              <w:rPr>
                <w:color w:val="auto"/>
                <w:sz w:val="24"/>
              </w:rPr>
            </w:pPr>
            <w:r>
              <w:rPr>
                <w:color w:val="auto"/>
                <w:sz w:val="24"/>
              </w:rPr>
              <w:t>项目审批（核准/</w:t>
            </w:r>
          </w:p>
          <w:p w14:paraId="58D865BC">
            <w:pPr>
              <w:adjustRightInd w:val="0"/>
              <w:snapToGrid w:val="0"/>
              <w:jc w:val="center"/>
              <w:rPr>
                <w:color w:val="auto"/>
                <w:sz w:val="24"/>
              </w:rPr>
            </w:pPr>
            <w:r>
              <w:rPr>
                <w:color w:val="auto"/>
                <w:sz w:val="24"/>
              </w:rPr>
              <w:t>备案）文号（选填）</w:t>
            </w:r>
          </w:p>
        </w:tc>
        <w:tc>
          <w:tcPr>
            <w:tcW w:w="2596" w:type="dxa"/>
            <w:vAlign w:val="center"/>
          </w:tcPr>
          <w:p w14:paraId="1F812952">
            <w:pPr>
              <w:adjustRightInd w:val="0"/>
              <w:snapToGrid w:val="0"/>
              <w:jc w:val="center"/>
              <w:rPr>
                <w:color w:val="auto"/>
                <w:sz w:val="24"/>
              </w:rPr>
            </w:pPr>
            <w:r>
              <w:rPr>
                <w:rFonts w:hint="eastAsia"/>
                <w:color w:val="auto"/>
                <w:sz w:val="24"/>
                <w:lang w:val="en-US" w:eastAsia="zh-CN"/>
              </w:rPr>
              <w:t>/</w:t>
            </w:r>
          </w:p>
        </w:tc>
      </w:tr>
      <w:tr w14:paraId="095570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731" w:type="dxa"/>
            <w:tcMar>
              <w:top w:w="16" w:type="dxa"/>
              <w:left w:w="16" w:type="dxa"/>
              <w:right w:w="16" w:type="dxa"/>
            </w:tcMar>
            <w:vAlign w:val="center"/>
          </w:tcPr>
          <w:p w14:paraId="3CB487D2">
            <w:pPr>
              <w:adjustRightInd w:val="0"/>
              <w:snapToGrid w:val="0"/>
              <w:jc w:val="center"/>
              <w:rPr>
                <w:color w:val="auto"/>
                <w:sz w:val="24"/>
              </w:rPr>
            </w:pPr>
            <w:r>
              <w:rPr>
                <w:color w:val="auto"/>
                <w:sz w:val="24"/>
              </w:rPr>
              <w:t>总投资（万元）</w:t>
            </w:r>
          </w:p>
        </w:tc>
        <w:tc>
          <w:tcPr>
            <w:tcW w:w="2377" w:type="dxa"/>
            <w:vAlign w:val="center"/>
          </w:tcPr>
          <w:p w14:paraId="6BFC9799">
            <w:pPr>
              <w:adjustRightInd w:val="0"/>
              <w:snapToGrid w:val="0"/>
              <w:jc w:val="center"/>
              <w:rPr>
                <w:rFonts w:hint="default"/>
                <w:color w:val="auto"/>
                <w:sz w:val="24"/>
                <w:lang w:val="en-US" w:eastAsia="zh-CN"/>
              </w:rPr>
            </w:pPr>
            <w:r>
              <w:rPr>
                <w:rFonts w:hint="eastAsia"/>
                <w:color w:val="auto"/>
                <w:sz w:val="24"/>
                <w:lang w:val="en-US" w:eastAsia="zh-CN"/>
              </w:rPr>
              <w:t>12000</w:t>
            </w:r>
          </w:p>
        </w:tc>
        <w:tc>
          <w:tcPr>
            <w:tcW w:w="2212" w:type="dxa"/>
            <w:tcMar>
              <w:top w:w="16" w:type="dxa"/>
              <w:left w:w="16" w:type="dxa"/>
              <w:right w:w="16" w:type="dxa"/>
            </w:tcMar>
            <w:vAlign w:val="center"/>
          </w:tcPr>
          <w:p w14:paraId="358E03C7">
            <w:pPr>
              <w:adjustRightInd w:val="0"/>
              <w:snapToGrid w:val="0"/>
              <w:jc w:val="center"/>
              <w:rPr>
                <w:color w:val="auto"/>
                <w:sz w:val="24"/>
              </w:rPr>
            </w:pPr>
            <w:r>
              <w:rPr>
                <w:color w:val="auto"/>
                <w:sz w:val="24"/>
              </w:rPr>
              <w:t>环保投资（万元）</w:t>
            </w:r>
          </w:p>
        </w:tc>
        <w:tc>
          <w:tcPr>
            <w:tcW w:w="2596" w:type="dxa"/>
            <w:vAlign w:val="center"/>
          </w:tcPr>
          <w:p w14:paraId="70852F63">
            <w:pPr>
              <w:adjustRightInd w:val="0"/>
              <w:snapToGrid w:val="0"/>
              <w:jc w:val="center"/>
              <w:rPr>
                <w:rFonts w:hint="default" w:eastAsia="宋体"/>
                <w:color w:val="auto"/>
                <w:sz w:val="24"/>
                <w:lang w:val="en-US" w:eastAsia="zh-CN"/>
              </w:rPr>
            </w:pPr>
            <w:r>
              <w:rPr>
                <w:rFonts w:hint="eastAsia"/>
                <w:color w:val="auto"/>
                <w:sz w:val="24"/>
                <w:lang w:val="en-US" w:eastAsia="zh-CN"/>
              </w:rPr>
              <w:t>389.35</w:t>
            </w:r>
          </w:p>
        </w:tc>
      </w:tr>
      <w:tr w14:paraId="70372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1731" w:type="dxa"/>
            <w:tcMar>
              <w:top w:w="16" w:type="dxa"/>
              <w:left w:w="16" w:type="dxa"/>
              <w:right w:w="16" w:type="dxa"/>
            </w:tcMar>
            <w:vAlign w:val="center"/>
          </w:tcPr>
          <w:p w14:paraId="4510C25B">
            <w:pPr>
              <w:adjustRightInd w:val="0"/>
              <w:snapToGrid w:val="0"/>
              <w:jc w:val="center"/>
              <w:rPr>
                <w:color w:val="auto"/>
                <w:sz w:val="24"/>
              </w:rPr>
            </w:pPr>
            <w:r>
              <w:rPr>
                <w:color w:val="auto"/>
                <w:sz w:val="24"/>
              </w:rPr>
              <w:t>环保投资占比（%）</w:t>
            </w:r>
          </w:p>
        </w:tc>
        <w:tc>
          <w:tcPr>
            <w:tcW w:w="2377" w:type="dxa"/>
            <w:vAlign w:val="center"/>
          </w:tcPr>
          <w:p w14:paraId="10B182D3">
            <w:pPr>
              <w:adjustRightInd w:val="0"/>
              <w:snapToGrid w:val="0"/>
              <w:jc w:val="center"/>
              <w:rPr>
                <w:rFonts w:hint="default" w:eastAsia="宋体"/>
                <w:color w:val="auto"/>
                <w:sz w:val="24"/>
                <w:lang w:val="en-US" w:eastAsia="zh-CN"/>
              </w:rPr>
            </w:pPr>
            <w:r>
              <w:rPr>
                <w:rFonts w:hint="eastAsia"/>
                <w:color w:val="auto"/>
                <w:sz w:val="24"/>
                <w:lang w:val="en-US" w:eastAsia="zh-CN"/>
              </w:rPr>
              <w:t>6.49</w:t>
            </w:r>
          </w:p>
        </w:tc>
        <w:tc>
          <w:tcPr>
            <w:tcW w:w="2212" w:type="dxa"/>
            <w:tcMar>
              <w:top w:w="16" w:type="dxa"/>
              <w:left w:w="16" w:type="dxa"/>
              <w:right w:w="16" w:type="dxa"/>
            </w:tcMar>
            <w:vAlign w:val="center"/>
          </w:tcPr>
          <w:p w14:paraId="4C4D6981">
            <w:pPr>
              <w:adjustRightInd w:val="0"/>
              <w:snapToGrid w:val="0"/>
              <w:jc w:val="center"/>
              <w:rPr>
                <w:color w:val="auto"/>
                <w:sz w:val="24"/>
              </w:rPr>
            </w:pPr>
            <w:r>
              <w:rPr>
                <w:color w:val="auto"/>
                <w:sz w:val="24"/>
              </w:rPr>
              <w:t>施工工期</w:t>
            </w:r>
          </w:p>
        </w:tc>
        <w:tc>
          <w:tcPr>
            <w:tcW w:w="2596" w:type="dxa"/>
            <w:vAlign w:val="center"/>
          </w:tcPr>
          <w:p w14:paraId="3BEA42CB">
            <w:pPr>
              <w:widowControl/>
              <w:jc w:val="center"/>
              <w:rPr>
                <w:rFonts w:hint="default" w:ascii="Times New Roman" w:hAnsi="Times New Roman" w:cs="Times New Roman"/>
                <w:color w:val="auto"/>
                <w:kern w:val="0"/>
                <w:sz w:val="24"/>
                <w:lang w:val="en-US" w:eastAsia="zh-CN" w:bidi="ar"/>
              </w:rPr>
            </w:pPr>
            <w:r>
              <w:rPr>
                <w:rFonts w:hint="eastAsia" w:cs="Times New Roman"/>
                <w:color w:val="auto"/>
                <w:kern w:val="0"/>
                <w:sz w:val="24"/>
                <w:lang w:val="en-US" w:eastAsia="zh-CN" w:bidi="ar"/>
              </w:rPr>
              <w:t>3个月</w:t>
            </w:r>
          </w:p>
        </w:tc>
      </w:tr>
      <w:tr w14:paraId="2676F5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1" w:type="dxa"/>
            <w:tcMar>
              <w:top w:w="16" w:type="dxa"/>
              <w:left w:w="16" w:type="dxa"/>
              <w:right w:w="16" w:type="dxa"/>
            </w:tcMar>
            <w:vAlign w:val="center"/>
          </w:tcPr>
          <w:p w14:paraId="7CB6249A">
            <w:pPr>
              <w:adjustRightInd w:val="0"/>
              <w:snapToGrid w:val="0"/>
              <w:jc w:val="center"/>
              <w:rPr>
                <w:color w:val="auto"/>
                <w:sz w:val="24"/>
              </w:rPr>
            </w:pPr>
            <w:r>
              <w:rPr>
                <w:color w:val="auto"/>
                <w:sz w:val="24"/>
              </w:rPr>
              <w:t>是否开工建设</w:t>
            </w:r>
          </w:p>
        </w:tc>
        <w:tc>
          <w:tcPr>
            <w:tcW w:w="2377" w:type="dxa"/>
            <w:vAlign w:val="center"/>
          </w:tcPr>
          <w:p w14:paraId="71C5D47D">
            <w:pPr>
              <w:adjustRightInd w:val="0"/>
              <w:snapToGrid w:val="0"/>
              <w:rPr>
                <w:color w:val="auto"/>
                <w:sz w:val="24"/>
              </w:rPr>
            </w:pPr>
            <w:r>
              <w:rPr>
                <w:color w:val="auto"/>
                <w:sz w:val="24"/>
              </w:rPr>
              <w:sym w:font="Wingdings 2" w:char="0052"/>
            </w:r>
            <w:r>
              <w:rPr>
                <w:color w:val="auto"/>
                <w:sz w:val="24"/>
              </w:rPr>
              <w:t>否</w:t>
            </w:r>
          </w:p>
          <w:p w14:paraId="2871896B">
            <w:pPr>
              <w:adjustRightInd w:val="0"/>
              <w:snapToGrid w:val="0"/>
              <w:rPr>
                <w:color w:val="auto"/>
                <w:sz w:val="24"/>
              </w:rPr>
            </w:pPr>
            <w:r>
              <w:rPr>
                <w:color w:val="auto"/>
                <w:sz w:val="24"/>
              </w:rPr>
              <w:sym w:font="Wingdings 2" w:char="00A3"/>
            </w:r>
            <w:r>
              <w:rPr>
                <w:color w:val="auto"/>
                <w:sz w:val="24"/>
              </w:rPr>
              <w:t>是：</w:t>
            </w:r>
            <w:r>
              <w:rPr>
                <w:color w:val="auto"/>
                <w:sz w:val="24"/>
                <w:u w:val="single"/>
              </w:rPr>
              <w:t xml:space="preserve">             </w:t>
            </w:r>
          </w:p>
        </w:tc>
        <w:tc>
          <w:tcPr>
            <w:tcW w:w="2212" w:type="dxa"/>
            <w:tcMar>
              <w:top w:w="16" w:type="dxa"/>
              <w:left w:w="16" w:type="dxa"/>
              <w:right w:w="16" w:type="dxa"/>
            </w:tcMar>
            <w:vAlign w:val="center"/>
          </w:tcPr>
          <w:p w14:paraId="4CDEC991">
            <w:pPr>
              <w:adjustRightInd w:val="0"/>
              <w:snapToGrid w:val="0"/>
              <w:jc w:val="center"/>
              <w:rPr>
                <w:color w:val="auto"/>
                <w:spacing w:val="-6"/>
                <w:sz w:val="24"/>
              </w:rPr>
            </w:pPr>
            <w:r>
              <w:rPr>
                <w:color w:val="auto"/>
                <w:spacing w:val="-6"/>
                <w:sz w:val="24"/>
              </w:rPr>
              <w:t>用地（用海）</w:t>
            </w:r>
          </w:p>
          <w:p w14:paraId="2408A6B8">
            <w:pPr>
              <w:adjustRightInd w:val="0"/>
              <w:snapToGrid w:val="0"/>
              <w:jc w:val="center"/>
              <w:rPr>
                <w:color w:val="auto"/>
                <w:sz w:val="24"/>
              </w:rPr>
            </w:pPr>
            <w:r>
              <w:rPr>
                <w:color w:val="auto"/>
                <w:spacing w:val="-6"/>
                <w:sz w:val="24"/>
              </w:rPr>
              <w:t>面积（m</w:t>
            </w:r>
            <w:r>
              <w:rPr>
                <w:color w:val="auto"/>
                <w:spacing w:val="-6"/>
                <w:sz w:val="24"/>
                <w:vertAlign w:val="superscript"/>
              </w:rPr>
              <w:t>2</w:t>
            </w:r>
            <w:r>
              <w:rPr>
                <w:color w:val="auto"/>
                <w:spacing w:val="-6"/>
                <w:sz w:val="24"/>
              </w:rPr>
              <w:t>）</w:t>
            </w:r>
          </w:p>
        </w:tc>
        <w:tc>
          <w:tcPr>
            <w:tcW w:w="2596" w:type="dxa"/>
            <w:vAlign w:val="center"/>
          </w:tcPr>
          <w:p w14:paraId="7C1A6D6E">
            <w:pPr>
              <w:adjustRightInd w:val="0"/>
              <w:snapToGrid w:val="0"/>
              <w:jc w:val="center"/>
              <w:rPr>
                <w:rFonts w:hint="default" w:eastAsia="宋体"/>
                <w:color w:val="auto"/>
                <w:sz w:val="24"/>
                <w:lang w:val="en-US" w:eastAsia="zh-CN"/>
              </w:rPr>
            </w:pPr>
            <w:r>
              <w:rPr>
                <w:rFonts w:hint="eastAsia"/>
                <w:color w:val="auto"/>
                <w:sz w:val="24"/>
                <w:lang w:val="en-US" w:eastAsia="zh-CN"/>
              </w:rPr>
              <w:t>16019.75</w:t>
            </w:r>
          </w:p>
        </w:tc>
      </w:tr>
      <w:tr w14:paraId="017778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21" w:hRule="atLeast"/>
          <w:jc w:val="center"/>
        </w:trPr>
        <w:tc>
          <w:tcPr>
            <w:tcW w:w="1731" w:type="dxa"/>
            <w:vAlign w:val="center"/>
          </w:tcPr>
          <w:p w14:paraId="52F087D4">
            <w:pPr>
              <w:autoSpaceDE w:val="0"/>
              <w:autoSpaceDN w:val="0"/>
              <w:adjustRightInd w:val="0"/>
              <w:snapToGrid w:val="0"/>
              <w:jc w:val="center"/>
              <w:rPr>
                <w:color w:val="auto"/>
                <w:kern w:val="0"/>
                <w:sz w:val="24"/>
              </w:rPr>
            </w:pPr>
            <w:r>
              <w:rPr>
                <w:color w:val="auto"/>
                <w:kern w:val="0"/>
                <w:sz w:val="24"/>
              </w:rPr>
              <w:t>专项评价设置情况</w:t>
            </w:r>
          </w:p>
        </w:tc>
        <w:tc>
          <w:tcPr>
            <w:tcW w:w="7185" w:type="dxa"/>
            <w:gridSpan w:val="3"/>
            <w:vAlign w:val="center"/>
          </w:tcPr>
          <w:p w14:paraId="1E62E594">
            <w:pPr>
              <w:autoSpaceDE w:val="0"/>
              <w:autoSpaceDN w:val="0"/>
              <w:adjustRightInd w:val="0"/>
              <w:snapToGrid w:val="0"/>
              <w:spacing w:line="360" w:lineRule="auto"/>
              <w:ind w:firstLine="480" w:firstLineChars="200"/>
              <w:jc w:val="left"/>
              <w:rPr>
                <w:color w:val="auto"/>
                <w:kern w:val="0"/>
                <w:sz w:val="24"/>
                <w:szCs w:val="21"/>
              </w:rPr>
            </w:pPr>
            <w:r>
              <w:rPr>
                <w:rFonts w:hint="eastAsia"/>
                <w:color w:val="auto"/>
                <w:kern w:val="0"/>
                <w:sz w:val="24"/>
                <w:szCs w:val="21"/>
              </w:rPr>
              <w:t>对照《建设项目环境影响报告表编制技术指南（污染影响类）》（试行）中专项评价设置原则表，本项目不需要开展专项评价工作，具体见表1-1。</w:t>
            </w:r>
          </w:p>
          <w:p w14:paraId="44692807">
            <w:pPr>
              <w:pStyle w:val="58"/>
              <w:rPr>
                <w:color w:val="auto"/>
                <w:kern w:val="0"/>
                <w:sz w:val="24"/>
                <w:szCs w:val="21"/>
              </w:rPr>
            </w:pPr>
            <w:r>
              <w:rPr>
                <w:rFonts w:hint="eastAsia"/>
                <w:color w:val="auto"/>
                <w:kern w:val="0"/>
                <w:sz w:val="24"/>
                <w:szCs w:val="21"/>
              </w:rPr>
              <w:t>表1-1    专项评价设置原则说明表</w:t>
            </w:r>
          </w:p>
          <w:tbl>
            <w:tblPr>
              <w:tblStyle w:val="23"/>
              <w:tblW w:w="6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3177"/>
              <w:gridCol w:w="2871"/>
            </w:tblGrid>
            <w:tr w14:paraId="491A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59" w:type="dxa"/>
                  <w:vAlign w:val="center"/>
                </w:tcPr>
                <w:p w14:paraId="331B631E">
                  <w:pPr>
                    <w:widowControl/>
                    <w:jc w:val="center"/>
                    <w:textAlignment w:val="center"/>
                    <w:rPr>
                      <w:color w:val="auto"/>
                      <w:kern w:val="0"/>
                      <w:szCs w:val="21"/>
                      <w:lang w:bidi="ar"/>
                    </w:rPr>
                  </w:pPr>
                  <w:r>
                    <w:rPr>
                      <w:color w:val="auto"/>
                      <w:kern w:val="0"/>
                      <w:szCs w:val="21"/>
                      <w:lang w:bidi="ar"/>
                    </w:rPr>
                    <w:t>专项评</w:t>
                  </w:r>
                </w:p>
                <w:p w14:paraId="1DB135AD">
                  <w:pPr>
                    <w:widowControl/>
                    <w:jc w:val="center"/>
                    <w:textAlignment w:val="center"/>
                    <w:rPr>
                      <w:color w:val="auto"/>
                      <w:kern w:val="0"/>
                      <w:szCs w:val="21"/>
                      <w:lang w:bidi="ar"/>
                    </w:rPr>
                  </w:pPr>
                  <w:r>
                    <w:rPr>
                      <w:color w:val="auto"/>
                      <w:kern w:val="0"/>
                      <w:szCs w:val="21"/>
                      <w:lang w:bidi="ar"/>
                    </w:rPr>
                    <w:t>价类别</w:t>
                  </w:r>
                </w:p>
              </w:tc>
              <w:tc>
                <w:tcPr>
                  <w:tcW w:w="3177" w:type="dxa"/>
                  <w:vAlign w:val="center"/>
                </w:tcPr>
                <w:p w14:paraId="0C0D2F4F">
                  <w:pPr>
                    <w:widowControl/>
                    <w:jc w:val="center"/>
                    <w:rPr>
                      <w:color w:val="auto"/>
                      <w:kern w:val="0"/>
                      <w:szCs w:val="21"/>
                      <w:lang w:bidi="ar"/>
                    </w:rPr>
                  </w:pPr>
                  <w:r>
                    <w:rPr>
                      <w:color w:val="auto"/>
                      <w:kern w:val="0"/>
                      <w:szCs w:val="21"/>
                      <w:lang w:bidi="ar"/>
                    </w:rPr>
                    <w:t>设置原则</w:t>
                  </w:r>
                </w:p>
              </w:tc>
              <w:tc>
                <w:tcPr>
                  <w:tcW w:w="2871" w:type="dxa"/>
                  <w:vAlign w:val="center"/>
                </w:tcPr>
                <w:p w14:paraId="1FAA412B">
                  <w:pPr>
                    <w:widowControl/>
                    <w:jc w:val="center"/>
                    <w:rPr>
                      <w:b/>
                      <w:bCs/>
                      <w:color w:val="auto"/>
                      <w:kern w:val="0"/>
                      <w:szCs w:val="21"/>
                    </w:rPr>
                  </w:pPr>
                  <w:r>
                    <w:rPr>
                      <w:color w:val="auto"/>
                      <w:kern w:val="0"/>
                      <w:szCs w:val="21"/>
                      <w:lang w:bidi="ar"/>
                    </w:rPr>
                    <w:t>项目判断情况</w:t>
                  </w:r>
                </w:p>
              </w:tc>
            </w:tr>
            <w:tr w14:paraId="22EB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59" w:type="dxa"/>
                  <w:vAlign w:val="center"/>
                </w:tcPr>
                <w:p w14:paraId="3C5C0DC3">
                  <w:pPr>
                    <w:widowControl/>
                    <w:jc w:val="center"/>
                    <w:rPr>
                      <w:color w:val="auto"/>
                      <w:kern w:val="0"/>
                      <w:szCs w:val="21"/>
                      <w:lang w:bidi="ar"/>
                    </w:rPr>
                  </w:pPr>
                  <w:r>
                    <w:rPr>
                      <w:color w:val="auto"/>
                      <w:kern w:val="0"/>
                      <w:szCs w:val="21"/>
                      <w:lang w:bidi="ar"/>
                    </w:rPr>
                    <w:t>大气</w:t>
                  </w:r>
                </w:p>
              </w:tc>
              <w:tc>
                <w:tcPr>
                  <w:tcW w:w="3177" w:type="dxa"/>
                  <w:vAlign w:val="center"/>
                </w:tcPr>
                <w:p w14:paraId="33363C3E">
                  <w:pPr>
                    <w:widowControl/>
                    <w:jc w:val="center"/>
                    <w:rPr>
                      <w:color w:val="auto"/>
                      <w:kern w:val="0"/>
                      <w:szCs w:val="21"/>
                      <w:lang w:bidi="ar"/>
                    </w:rPr>
                  </w:pPr>
                  <w:r>
                    <w:rPr>
                      <w:color w:val="auto"/>
                      <w:kern w:val="0"/>
                      <w:szCs w:val="21"/>
                      <w:lang w:bidi="ar"/>
                    </w:rPr>
                    <w:t>排放废气含有毒有害污染物</w:t>
                  </w:r>
                  <w:r>
                    <w:rPr>
                      <w:color w:val="auto"/>
                      <w:kern w:val="0"/>
                      <w:szCs w:val="21"/>
                      <w:vertAlign w:val="superscript"/>
                      <w:lang w:bidi="ar"/>
                    </w:rPr>
                    <w:t>1</w:t>
                  </w:r>
                  <w:r>
                    <w:rPr>
                      <w:color w:val="auto"/>
                      <w:kern w:val="0"/>
                      <w:szCs w:val="21"/>
                      <w:lang w:bidi="ar"/>
                    </w:rPr>
                    <w:t>、二噁英、苯并[a]芘、氰化物、氯气且厂界外500米范围内有环境空气保护目标</w:t>
                  </w:r>
                  <w:r>
                    <w:rPr>
                      <w:color w:val="auto"/>
                      <w:kern w:val="0"/>
                      <w:szCs w:val="21"/>
                      <w:vertAlign w:val="superscript"/>
                      <w:lang w:bidi="ar"/>
                    </w:rPr>
                    <w:t>2</w:t>
                  </w:r>
                  <w:r>
                    <w:rPr>
                      <w:color w:val="auto"/>
                      <w:kern w:val="0"/>
                      <w:szCs w:val="21"/>
                      <w:lang w:bidi="ar"/>
                    </w:rPr>
                    <w:t>的建设项目</w:t>
                  </w:r>
                </w:p>
              </w:tc>
              <w:tc>
                <w:tcPr>
                  <w:tcW w:w="2871" w:type="dxa"/>
                  <w:vAlign w:val="center"/>
                </w:tcPr>
                <w:p w14:paraId="49D3F299">
                  <w:pPr>
                    <w:widowControl/>
                    <w:jc w:val="center"/>
                    <w:rPr>
                      <w:b/>
                      <w:bCs/>
                      <w:color w:val="auto"/>
                      <w:kern w:val="0"/>
                      <w:szCs w:val="21"/>
                    </w:rPr>
                  </w:pPr>
                  <w:r>
                    <w:rPr>
                      <w:color w:val="auto"/>
                    </w:rPr>
                    <w:t>本项目厂界</w:t>
                  </w:r>
                  <w:r>
                    <w:rPr>
                      <w:rFonts w:hint="eastAsia"/>
                      <w:color w:val="auto"/>
                    </w:rPr>
                    <w:t>外</w:t>
                  </w:r>
                  <w:r>
                    <w:rPr>
                      <w:color w:val="auto"/>
                    </w:rPr>
                    <w:t>500m范围内无环境空气保护目标，无需设置大气专项</w:t>
                  </w:r>
                  <w:r>
                    <w:rPr>
                      <w:rFonts w:hint="eastAsia"/>
                      <w:color w:val="auto"/>
                    </w:rPr>
                    <w:t>。</w:t>
                  </w:r>
                </w:p>
              </w:tc>
            </w:tr>
            <w:tr w14:paraId="1070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59" w:type="dxa"/>
                  <w:vAlign w:val="center"/>
                </w:tcPr>
                <w:p w14:paraId="5B17E7D5">
                  <w:pPr>
                    <w:widowControl/>
                    <w:jc w:val="center"/>
                    <w:rPr>
                      <w:b/>
                      <w:bCs/>
                      <w:color w:val="auto"/>
                      <w:kern w:val="0"/>
                      <w:szCs w:val="21"/>
                    </w:rPr>
                  </w:pPr>
                  <w:r>
                    <w:rPr>
                      <w:color w:val="auto"/>
                      <w:kern w:val="0"/>
                      <w:szCs w:val="21"/>
                      <w:lang w:bidi="ar"/>
                    </w:rPr>
                    <w:t>地表水</w:t>
                  </w:r>
                </w:p>
              </w:tc>
              <w:tc>
                <w:tcPr>
                  <w:tcW w:w="3177" w:type="dxa"/>
                  <w:vAlign w:val="center"/>
                </w:tcPr>
                <w:p w14:paraId="0602E525">
                  <w:pPr>
                    <w:widowControl/>
                    <w:jc w:val="center"/>
                    <w:rPr>
                      <w:b/>
                      <w:bCs/>
                      <w:color w:val="auto"/>
                      <w:kern w:val="0"/>
                      <w:szCs w:val="21"/>
                    </w:rPr>
                  </w:pPr>
                  <w:r>
                    <w:rPr>
                      <w:color w:val="auto"/>
                      <w:kern w:val="0"/>
                      <w:szCs w:val="21"/>
                      <w:lang w:bidi="ar"/>
                    </w:rPr>
                    <w:t>新增工业废水直排建设项目（槽罐车外送污水处理厂的除外）；新增废水直排的污水集中处理厂</w:t>
                  </w:r>
                </w:p>
              </w:tc>
              <w:tc>
                <w:tcPr>
                  <w:tcW w:w="2871" w:type="dxa"/>
                  <w:vAlign w:val="center"/>
                </w:tcPr>
                <w:p w14:paraId="7DA024E5">
                  <w:pPr>
                    <w:widowControl/>
                    <w:jc w:val="center"/>
                    <w:rPr>
                      <w:b/>
                      <w:bCs/>
                      <w:color w:val="auto"/>
                      <w:kern w:val="0"/>
                      <w:szCs w:val="21"/>
                    </w:rPr>
                  </w:pPr>
                  <w:r>
                    <w:rPr>
                      <w:color w:val="auto"/>
                    </w:rPr>
                    <w:t>本项目运营期无生产废水产生；</w:t>
                  </w:r>
                  <w:r>
                    <w:rPr>
                      <w:rFonts w:hint="eastAsia"/>
                      <w:color w:val="auto"/>
                      <w:lang w:val="en-US" w:eastAsia="zh-CN"/>
                    </w:rPr>
                    <w:t>仅产生</w:t>
                  </w:r>
                  <w:r>
                    <w:rPr>
                      <w:color w:val="auto"/>
                    </w:rPr>
                    <w:t>生活废水</w:t>
                  </w:r>
                  <w:r>
                    <w:rPr>
                      <w:rFonts w:hint="eastAsia"/>
                      <w:color w:val="auto"/>
                    </w:rPr>
                    <w:t>，不外排</w:t>
                  </w:r>
                  <w:r>
                    <w:rPr>
                      <w:color w:val="auto"/>
                    </w:rPr>
                    <w:t>。</w:t>
                  </w:r>
                </w:p>
              </w:tc>
            </w:tr>
            <w:tr w14:paraId="26E1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59" w:type="dxa"/>
                  <w:vAlign w:val="center"/>
                </w:tcPr>
                <w:p w14:paraId="141D47B3">
                  <w:pPr>
                    <w:widowControl/>
                    <w:jc w:val="center"/>
                    <w:rPr>
                      <w:color w:val="auto"/>
                      <w:szCs w:val="21"/>
                    </w:rPr>
                  </w:pPr>
                  <w:r>
                    <w:rPr>
                      <w:color w:val="auto"/>
                      <w:kern w:val="0"/>
                      <w:szCs w:val="21"/>
                      <w:lang w:bidi="ar"/>
                    </w:rPr>
                    <w:t>环境</w:t>
                  </w:r>
                </w:p>
                <w:p w14:paraId="2BEAB11E">
                  <w:pPr>
                    <w:widowControl/>
                    <w:jc w:val="center"/>
                    <w:rPr>
                      <w:b/>
                      <w:bCs/>
                      <w:color w:val="auto"/>
                      <w:kern w:val="0"/>
                      <w:szCs w:val="21"/>
                    </w:rPr>
                  </w:pPr>
                  <w:r>
                    <w:rPr>
                      <w:color w:val="auto"/>
                      <w:kern w:val="0"/>
                      <w:szCs w:val="21"/>
                      <w:lang w:bidi="ar"/>
                    </w:rPr>
                    <w:t>风险</w:t>
                  </w:r>
                </w:p>
              </w:tc>
              <w:tc>
                <w:tcPr>
                  <w:tcW w:w="3177" w:type="dxa"/>
                  <w:vAlign w:val="center"/>
                </w:tcPr>
                <w:p w14:paraId="7BF841CA">
                  <w:pPr>
                    <w:widowControl/>
                    <w:jc w:val="center"/>
                    <w:rPr>
                      <w:b/>
                      <w:bCs/>
                      <w:color w:val="auto"/>
                      <w:kern w:val="0"/>
                      <w:szCs w:val="21"/>
                    </w:rPr>
                  </w:pPr>
                  <w:r>
                    <w:rPr>
                      <w:color w:val="auto"/>
                      <w:kern w:val="0"/>
                      <w:szCs w:val="21"/>
                      <w:lang w:bidi="ar"/>
                    </w:rPr>
                    <w:t>有毒有害和易燃易爆危险物质存储量超过临界量</w:t>
                  </w:r>
                  <w:r>
                    <w:rPr>
                      <w:color w:val="auto"/>
                      <w:kern w:val="0"/>
                      <w:szCs w:val="21"/>
                      <w:vertAlign w:val="superscript"/>
                      <w:lang w:bidi="ar"/>
                    </w:rPr>
                    <w:t>3</w:t>
                  </w:r>
                  <w:r>
                    <w:rPr>
                      <w:color w:val="auto"/>
                      <w:kern w:val="0"/>
                      <w:szCs w:val="21"/>
                      <w:lang w:bidi="ar"/>
                    </w:rPr>
                    <w:t>的建设项目</w:t>
                  </w:r>
                </w:p>
              </w:tc>
              <w:tc>
                <w:tcPr>
                  <w:tcW w:w="2871" w:type="dxa"/>
                  <w:vAlign w:val="center"/>
                </w:tcPr>
                <w:p w14:paraId="62F4E525">
                  <w:pPr>
                    <w:widowControl/>
                    <w:jc w:val="center"/>
                    <w:rPr>
                      <w:b/>
                      <w:bCs/>
                      <w:color w:val="auto"/>
                      <w:kern w:val="0"/>
                      <w:szCs w:val="21"/>
                    </w:rPr>
                  </w:pPr>
                  <w:r>
                    <w:rPr>
                      <w:rFonts w:hint="eastAsia"/>
                      <w:color w:val="auto"/>
                      <w:kern w:val="0"/>
                      <w:szCs w:val="21"/>
                      <w:lang w:bidi="ar"/>
                    </w:rPr>
                    <w:t>本项目危险物质存储量不超过临界量。</w:t>
                  </w:r>
                </w:p>
              </w:tc>
            </w:tr>
            <w:tr w14:paraId="62DD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859" w:type="dxa"/>
                  <w:vAlign w:val="center"/>
                </w:tcPr>
                <w:p w14:paraId="31683247">
                  <w:pPr>
                    <w:widowControl/>
                    <w:jc w:val="center"/>
                    <w:rPr>
                      <w:b/>
                      <w:bCs/>
                      <w:color w:val="auto"/>
                      <w:kern w:val="0"/>
                      <w:szCs w:val="21"/>
                    </w:rPr>
                  </w:pPr>
                  <w:r>
                    <w:rPr>
                      <w:color w:val="auto"/>
                      <w:kern w:val="0"/>
                      <w:szCs w:val="21"/>
                      <w:lang w:bidi="ar"/>
                    </w:rPr>
                    <w:t>生态</w:t>
                  </w:r>
                </w:p>
              </w:tc>
              <w:tc>
                <w:tcPr>
                  <w:tcW w:w="3177" w:type="dxa"/>
                  <w:vAlign w:val="center"/>
                </w:tcPr>
                <w:p w14:paraId="33F40580">
                  <w:pPr>
                    <w:widowControl/>
                    <w:jc w:val="center"/>
                    <w:rPr>
                      <w:b/>
                      <w:bCs/>
                      <w:color w:val="auto"/>
                      <w:kern w:val="0"/>
                      <w:szCs w:val="21"/>
                    </w:rPr>
                  </w:pPr>
                  <w:r>
                    <w:rPr>
                      <w:color w:val="auto"/>
                      <w:kern w:val="0"/>
                      <w:szCs w:val="21"/>
                      <w:lang w:bidi="ar"/>
                    </w:rPr>
                    <w:t>取水口下游500米范围内有重要水生生物的自然产卵场、索饵场、越冬场和洄游通道的新增河道取水的污染类建设项目</w:t>
                  </w:r>
                </w:p>
              </w:tc>
              <w:tc>
                <w:tcPr>
                  <w:tcW w:w="2871" w:type="dxa"/>
                  <w:vAlign w:val="center"/>
                </w:tcPr>
                <w:p w14:paraId="6AB649F4">
                  <w:pPr>
                    <w:widowControl/>
                    <w:jc w:val="center"/>
                    <w:rPr>
                      <w:b/>
                      <w:bCs/>
                      <w:color w:val="auto"/>
                      <w:kern w:val="0"/>
                      <w:szCs w:val="21"/>
                    </w:rPr>
                  </w:pPr>
                  <w:r>
                    <w:rPr>
                      <w:rFonts w:hint="eastAsia"/>
                      <w:color w:val="auto"/>
                    </w:rPr>
                    <w:t>本项目不涉及河道取水，无需设置生态专项</w:t>
                  </w:r>
                </w:p>
              </w:tc>
            </w:tr>
            <w:tr w14:paraId="2F14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59" w:type="dxa"/>
                  <w:vAlign w:val="center"/>
                </w:tcPr>
                <w:p w14:paraId="4DAB3D3D">
                  <w:pPr>
                    <w:widowControl/>
                    <w:jc w:val="center"/>
                    <w:rPr>
                      <w:b/>
                      <w:bCs/>
                      <w:color w:val="auto"/>
                      <w:kern w:val="0"/>
                      <w:szCs w:val="21"/>
                    </w:rPr>
                  </w:pPr>
                  <w:r>
                    <w:rPr>
                      <w:color w:val="auto"/>
                      <w:kern w:val="0"/>
                      <w:szCs w:val="21"/>
                      <w:lang w:bidi="ar"/>
                    </w:rPr>
                    <w:t>海洋</w:t>
                  </w:r>
                </w:p>
              </w:tc>
              <w:tc>
                <w:tcPr>
                  <w:tcW w:w="3177" w:type="dxa"/>
                  <w:vAlign w:val="center"/>
                </w:tcPr>
                <w:p w14:paraId="2DCA687E">
                  <w:pPr>
                    <w:widowControl/>
                    <w:jc w:val="center"/>
                    <w:rPr>
                      <w:b/>
                      <w:bCs/>
                      <w:color w:val="auto"/>
                      <w:kern w:val="0"/>
                      <w:szCs w:val="21"/>
                    </w:rPr>
                  </w:pPr>
                  <w:r>
                    <w:rPr>
                      <w:color w:val="auto"/>
                      <w:kern w:val="0"/>
                      <w:szCs w:val="21"/>
                      <w:lang w:bidi="ar"/>
                    </w:rPr>
                    <w:t>直接向海排放污染物的海洋工程建设项目</w:t>
                  </w:r>
                </w:p>
              </w:tc>
              <w:tc>
                <w:tcPr>
                  <w:tcW w:w="2871" w:type="dxa"/>
                  <w:vAlign w:val="center"/>
                </w:tcPr>
                <w:p w14:paraId="6E17216E">
                  <w:pPr>
                    <w:widowControl/>
                    <w:jc w:val="center"/>
                    <w:rPr>
                      <w:b/>
                      <w:bCs/>
                      <w:color w:val="auto"/>
                      <w:kern w:val="0"/>
                      <w:szCs w:val="21"/>
                    </w:rPr>
                  </w:pPr>
                  <w:r>
                    <w:rPr>
                      <w:rFonts w:hint="eastAsia"/>
                      <w:color w:val="auto"/>
                    </w:rPr>
                    <w:t>本项目不涉及海洋，无需设置海洋专项。</w:t>
                  </w:r>
                </w:p>
              </w:tc>
            </w:tr>
            <w:tr w14:paraId="2F6F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859" w:type="dxa"/>
                  <w:vAlign w:val="center"/>
                </w:tcPr>
                <w:p w14:paraId="7A2C11B4">
                  <w:pPr>
                    <w:widowControl/>
                    <w:jc w:val="center"/>
                    <w:rPr>
                      <w:b/>
                      <w:bCs/>
                      <w:color w:val="auto"/>
                      <w:kern w:val="0"/>
                      <w:szCs w:val="21"/>
                    </w:rPr>
                  </w:pPr>
                  <w:r>
                    <w:rPr>
                      <w:color w:val="auto"/>
                      <w:kern w:val="0"/>
                      <w:szCs w:val="21"/>
                      <w:lang w:bidi="ar"/>
                    </w:rPr>
                    <w:t>备注</w:t>
                  </w:r>
                </w:p>
              </w:tc>
              <w:tc>
                <w:tcPr>
                  <w:tcW w:w="6048" w:type="dxa"/>
                  <w:gridSpan w:val="2"/>
                  <w:vAlign w:val="center"/>
                </w:tcPr>
                <w:p w14:paraId="030FEE80">
                  <w:pPr>
                    <w:widowControl/>
                    <w:jc w:val="left"/>
                    <w:rPr>
                      <w:color w:val="auto"/>
                      <w:szCs w:val="21"/>
                    </w:rPr>
                  </w:pPr>
                  <w:r>
                    <w:rPr>
                      <w:color w:val="auto"/>
                      <w:kern w:val="0"/>
                      <w:szCs w:val="21"/>
                      <w:lang w:bidi="ar"/>
                    </w:rPr>
                    <w:t>1</w:t>
                  </w:r>
                  <w:r>
                    <w:rPr>
                      <w:rFonts w:hint="eastAsia"/>
                      <w:color w:val="auto"/>
                      <w:kern w:val="0"/>
                      <w:szCs w:val="21"/>
                      <w:lang w:bidi="ar"/>
                    </w:rPr>
                    <w:t>、</w:t>
                  </w:r>
                  <w:r>
                    <w:rPr>
                      <w:color w:val="auto"/>
                      <w:kern w:val="0"/>
                      <w:szCs w:val="21"/>
                      <w:lang w:bidi="ar"/>
                    </w:rPr>
                    <w:t>废气中有毒有害污染物指纳入《有毒有害大气污染物名录》的污染物（不包括无排放标准的污染物）。</w:t>
                  </w:r>
                </w:p>
                <w:p w14:paraId="2C825624">
                  <w:pPr>
                    <w:widowControl/>
                    <w:jc w:val="left"/>
                    <w:rPr>
                      <w:color w:val="auto"/>
                      <w:szCs w:val="21"/>
                    </w:rPr>
                  </w:pPr>
                  <w:r>
                    <w:rPr>
                      <w:color w:val="auto"/>
                      <w:kern w:val="0"/>
                      <w:szCs w:val="21"/>
                      <w:lang w:bidi="ar"/>
                    </w:rPr>
                    <w:t>2</w:t>
                  </w:r>
                  <w:r>
                    <w:rPr>
                      <w:rFonts w:hint="eastAsia"/>
                      <w:color w:val="auto"/>
                      <w:kern w:val="0"/>
                      <w:szCs w:val="21"/>
                      <w:lang w:bidi="ar"/>
                    </w:rPr>
                    <w:t>、</w:t>
                  </w:r>
                  <w:r>
                    <w:rPr>
                      <w:color w:val="auto"/>
                      <w:kern w:val="0"/>
                      <w:szCs w:val="21"/>
                      <w:lang w:bidi="ar"/>
                    </w:rPr>
                    <w:t>环境空气保护目标指自然保护区、风景名胜区、居住区、文化区和农村地区中人群较集中的区域。</w:t>
                  </w:r>
                </w:p>
                <w:p w14:paraId="0DE72B32">
                  <w:pPr>
                    <w:widowControl/>
                    <w:jc w:val="left"/>
                    <w:rPr>
                      <w:b/>
                      <w:bCs/>
                      <w:color w:val="auto"/>
                      <w:kern w:val="0"/>
                      <w:szCs w:val="21"/>
                    </w:rPr>
                  </w:pPr>
                  <w:r>
                    <w:rPr>
                      <w:color w:val="auto"/>
                      <w:kern w:val="0"/>
                      <w:szCs w:val="21"/>
                      <w:lang w:bidi="ar"/>
                    </w:rPr>
                    <w:t>3</w:t>
                  </w:r>
                  <w:r>
                    <w:rPr>
                      <w:rFonts w:hint="eastAsia"/>
                      <w:color w:val="auto"/>
                      <w:kern w:val="0"/>
                      <w:szCs w:val="21"/>
                      <w:lang w:bidi="ar"/>
                    </w:rPr>
                    <w:t>、</w:t>
                  </w:r>
                  <w:r>
                    <w:rPr>
                      <w:color w:val="auto"/>
                      <w:kern w:val="0"/>
                      <w:szCs w:val="21"/>
                      <w:lang w:bidi="ar"/>
                    </w:rPr>
                    <w:t>临界量及其计算方法可参考《建设项目环境风险评价技术导则》（HJ 169）附录 B、附录 C。</w:t>
                  </w:r>
                </w:p>
              </w:tc>
            </w:tr>
          </w:tbl>
          <w:p w14:paraId="20C511ED">
            <w:pPr>
              <w:spacing w:line="360" w:lineRule="auto"/>
              <w:ind w:firstLine="480" w:firstLineChars="200"/>
              <w:jc w:val="left"/>
              <w:rPr>
                <w:rFonts w:hint="eastAsia"/>
                <w:color w:val="auto"/>
                <w:sz w:val="24"/>
              </w:rPr>
            </w:pPr>
            <w:r>
              <w:rPr>
                <w:rFonts w:ascii="宋体" w:hAnsi="宋体" w:eastAsia="宋体" w:cs="宋体"/>
                <w:color w:val="auto"/>
                <w:sz w:val="24"/>
                <w:szCs w:val="24"/>
              </w:rPr>
              <w:t>地下水原则上不开展专项评价，涉及集中式饮用水水源和热水、矿泉水、温泉等特殊地下水资源保护区的开展地下水专项评价工作</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本项目</w:t>
            </w:r>
            <w:r>
              <w:rPr>
                <w:color w:val="auto"/>
                <w:kern w:val="0"/>
                <w:sz w:val="24"/>
                <w:lang w:bidi="ar"/>
              </w:rPr>
              <w:t>厂界外500米范围内</w:t>
            </w:r>
            <w:r>
              <w:rPr>
                <w:rFonts w:hint="eastAsia"/>
                <w:color w:val="auto"/>
                <w:kern w:val="0"/>
                <w:sz w:val="24"/>
                <w:lang w:val="en-US" w:eastAsia="zh-CN" w:bidi="ar"/>
              </w:rPr>
              <w:t>无</w:t>
            </w:r>
            <w:r>
              <w:rPr>
                <w:color w:val="auto"/>
                <w:kern w:val="0"/>
                <w:sz w:val="24"/>
                <w:lang w:bidi="ar"/>
              </w:rPr>
              <w:t>地下水集中式饮用水水源和热水、矿泉水、温泉等特殊地下水资源</w:t>
            </w:r>
            <w:r>
              <w:rPr>
                <w:rFonts w:hint="eastAsia"/>
                <w:color w:val="auto"/>
                <w:kern w:val="0"/>
                <w:sz w:val="24"/>
                <w:lang w:eastAsia="zh-CN" w:bidi="ar"/>
              </w:rPr>
              <w:t>，</w:t>
            </w:r>
            <w:r>
              <w:rPr>
                <w:rFonts w:hint="eastAsia"/>
                <w:color w:val="auto"/>
                <w:kern w:val="0"/>
                <w:sz w:val="24"/>
                <w:lang w:val="en-US" w:eastAsia="zh-CN" w:bidi="ar"/>
              </w:rPr>
              <w:t>因此，本项目无需设置地下水专项评价</w:t>
            </w:r>
            <w:r>
              <w:rPr>
                <w:color w:val="auto"/>
                <w:kern w:val="0"/>
                <w:sz w:val="24"/>
                <w:lang w:bidi="ar"/>
              </w:rPr>
              <w:t>。</w:t>
            </w:r>
          </w:p>
          <w:p w14:paraId="3FA73832">
            <w:pPr>
              <w:spacing w:line="360" w:lineRule="auto"/>
              <w:ind w:firstLine="480" w:firstLineChars="200"/>
              <w:jc w:val="left"/>
              <w:rPr>
                <w:rFonts w:hint="eastAsia" w:eastAsia="宋体"/>
                <w:b/>
                <w:bCs/>
                <w:color w:val="auto"/>
                <w:kern w:val="0"/>
                <w:sz w:val="24"/>
                <w:lang w:eastAsia="zh-CN"/>
              </w:rPr>
            </w:pPr>
            <w:r>
              <w:rPr>
                <w:rFonts w:hint="eastAsia"/>
                <w:color w:val="auto"/>
                <w:sz w:val="24"/>
              </w:rPr>
              <w:t>根据《建设项目</w:t>
            </w:r>
            <w:r>
              <w:rPr>
                <w:rFonts w:hint="eastAsia"/>
                <w:color w:val="auto"/>
                <w:sz w:val="24"/>
                <w:lang w:eastAsia="zh-CN"/>
              </w:rPr>
              <w:t>环境影响</w:t>
            </w:r>
            <w:r>
              <w:rPr>
                <w:rFonts w:hint="eastAsia"/>
                <w:color w:val="auto"/>
                <w:sz w:val="24"/>
              </w:rPr>
              <w:t>报告表编制技术指南（污染影响类）（试行）》表1专项评价设置原则表，本项目无需设置专项评价</w:t>
            </w:r>
            <w:r>
              <w:rPr>
                <w:rFonts w:hint="eastAsia"/>
                <w:color w:val="auto"/>
                <w:sz w:val="24"/>
                <w:lang w:eastAsia="zh-CN"/>
              </w:rPr>
              <w:t>。</w:t>
            </w:r>
          </w:p>
        </w:tc>
      </w:tr>
      <w:tr w14:paraId="3D2528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1731" w:type="dxa"/>
            <w:vAlign w:val="center"/>
          </w:tcPr>
          <w:p w14:paraId="114E0664">
            <w:pPr>
              <w:autoSpaceDE w:val="0"/>
              <w:autoSpaceDN w:val="0"/>
              <w:adjustRightInd w:val="0"/>
              <w:snapToGrid w:val="0"/>
              <w:jc w:val="center"/>
              <w:rPr>
                <w:color w:val="auto"/>
                <w:kern w:val="0"/>
                <w:sz w:val="24"/>
              </w:rPr>
            </w:pPr>
            <w:r>
              <w:rPr>
                <w:color w:val="auto"/>
                <w:sz w:val="24"/>
              </w:rPr>
              <w:t>规划情况</w:t>
            </w:r>
          </w:p>
        </w:tc>
        <w:tc>
          <w:tcPr>
            <w:tcW w:w="7185" w:type="dxa"/>
            <w:gridSpan w:val="3"/>
            <w:vAlign w:val="center"/>
          </w:tcPr>
          <w:p w14:paraId="6044C8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kern w:val="0"/>
                <w:sz w:val="24"/>
              </w:rPr>
            </w:pPr>
            <w:r>
              <w:rPr>
                <w:rFonts w:hint="eastAsia"/>
                <w:color w:val="auto"/>
                <w:kern w:val="0"/>
                <w:sz w:val="24"/>
              </w:rPr>
              <w:t>《</w:t>
            </w:r>
            <w:r>
              <w:rPr>
                <w:rFonts w:hint="eastAsia"/>
                <w:color w:val="auto"/>
                <w:sz w:val="24"/>
              </w:rPr>
              <w:t>内蒙古大路工业园区总体规划（2014-2030年）</w:t>
            </w:r>
            <w:r>
              <w:rPr>
                <w:rFonts w:hint="eastAsia"/>
                <w:color w:val="auto"/>
                <w:kern w:val="0"/>
                <w:sz w:val="24"/>
              </w:rPr>
              <w:t>》</w:t>
            </w:r>
          </w:p>
          <w:p w14:paraId="393EF4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kern w:val="0"/>
                <w:sz w:val="24"/>
              </w:rPr>
            </w:pPr>
            <w:r>
              <w:rPr>
                <w:rFonts w:hint="eastAsia"/>
                <w:color w:val="auto"/>
                <w:kern w:val="0"/>
                <w:sz w:val="24"/>
              </w:rPr>
              <w:t>审查机关：鄂尔多斯市人民政府</w:t>
            </w:r>
          </w:p>
          <w:p w14:paraId="6AE895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kern w:val="0"/>
                <w:sz w:val="24"/>
              </w:rPr>
            </w:pPr>
            <w:r>
              <w:rPr>
                <w:rFonts w:hint="eastAsia"/>
                <w:color w:val="auto"/>
                <w:kern w:val="0"/>
                <w:sz w:val="24"/>
                <w:lang w:val="en-US" w:eastAsia="zh-CN"/>
              </w:rPr>
              <w:t>批复</w:t>
            </w:r>
            <w:r>
              <w:rPr>
                <w:rFonts w:hint="eastAsia"/>
                <w:color w:val="auto"/>
                <w:kern w:val="0"/>
                <w:sz w:val="24"/>
              </w:rPr>
              <w:t>名称：关于</w:t>
            </w:r>
            <w:r>
              <w:rPr>
                <w:rFonts w:hint="eastAsia"/>
                <w:color w:val="auto"/>
                <w:kern w:val="0"/>
                <w:sz w:val="24"/>
                <w:lang w:eastAsia="zh-CN"/>
              </w:rPr>
              <w:t>《关于内蒙古大路工业园区总体规划（2014—2030 年）》</w:t>
            </w:r>
            <w:r>
              <w:rPr>
                <w:rFonts w:hint="eastAsia"/>
                <w:color w:val="auto"/>
                <w:kern w:val="0"/>
                <w:sz w:val="24"/>
              </w:rPr>
              <w:t>的批复</w:t>
            </w:r>
          </w:p>
          <w:p w14:paraId="4CE055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kern w:val="0"/>
                <w:sz w:val="24"/>
              </w:rPr>
            </w:pPr>
            <w:r>
              <w:rPr>
                <w:rFonts w:hint="eastAsia"/>
                <w:color w:val="auto"/>
                <w:kern w:val="0"/>
                <w:sz w:val="24"/>
              </w:rPr>
              <w:t>审批时间：20</w:t>
            </w:r>
            <w:r>
              <w:rPr>
                <w:rFonts w:hint="eastAsia"/>
                <w:color w:val="auto"/>
                <w:kern w:val="0"/>
                <w:sz w:val="24"/>
                <w:lang w:val="en-US" w:eastAsia="zh-CN"/>
              </w:rPr>
              <w:t>15</w:t>
            </w:r>
            <w:r>
              <w:rPr>
                <w:rFonts w:hint="eastAsia"/>
                <w:color w:val="auto"/>
                <w:kern w:val="0"/>
                <w:sz w:val="24"/>
              </w:rPr>
              <w:t>年</w:t>
            </w:r>
            <w:r>
              <w:rPr>
                <w:rFonts w:hint="eastAsia"/>
                <w:color w:val="auto"/>
                <w:kern w:val="0"/>
                <w:sz w:val="24"/>
                <w:lang w:val="en-US" w:eastAsia="zh-CN"/>
              </w:rPr>
              <w:t>3</w:t>
            </w:r>
            <w:r>
              <w:rPr>
                <w:rFonts w:hint="eastAsia"/>
                <w:color w:val="auto"/>
                <w:kern w:val="0"/>
                <w:sz w:val="24"/>
              </w:rPr>
              <w:t>月</w:t>
            </w:r>
            <w:r>
              <w:rPr>
                <w:rFonts w:hint="eastAsia"/>
                <w:color w:val="auto"/>
                <w:kern w:val="0"/>
                <w:sz w:val="24"/>
                <w:lang w:val="en-US" w:eastAsia="zh-CN"/>
              </w:rPr>
              <w:t>2</w:t>
            </w:r>
            <w:r>
              <w:rPr>
                <w:rFonts w:hint="eastAsia"/>
                <w:color w:val="auto"/>
                <w:kern w:val="0"/>
                <w:sz w:val="24"/>
              </w:rPr>
              <w:t>日</w:t>
            </w:r>
          </w:p>
          <w:p w14:paraId="42AB26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rPr>
            </w:pPr>
            <w:r>
              <w:rPr>
                <w:rFonts w:hint="eastAsia"/>
                <w:color w:val="auto"/>
                <w:kern w:val="0"/>
                <w:sz w:val="24"/>
              </w:rPr>
              <w:t>审批文号：</w:t>
            </w:r>
            <w:r>
              <w:rPr>
                <w:rFonts w:hint="eastAsia"/>
                <w:color w:val="auto"/>
                <w:sz w:val="24"/>
              </w:rPr>
              <w:t>鄂府发〔2015〕35号</w:t>
            </w:r>
          </w:p>
          <w:p w14:paraId="4ED6EB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color w:val="auto"/>
                <w:sz w:val="24"/>
                <w:lang w:val="en-US" w:eastAsia="zh-CN"/>
              </w:rPr>
            </w:pPr>
            <w:r>
              <w:rPr>
                <w:rFonts w:hint="eastAsia"/>
                <w:color w:val="auto"/>
                <w:sz w:val="24"/>
              </w:rPr>
              <w:t>根据自治区、鄂尔多斯市和准格尔旗国土空间总体规划初步成果，以及内蒙古自治区工业园区审核公告目录中对鄂尔多斯准格尔经济开发区大路产业园主导产业的要求，同时结合园区规划产业发展方向的变化，鄂尔多斯准格尔经济开发区管理委员会2024年对园区总体规划及产业发展规划进行了调整。由内蒙古城市规划市政设计研究院有限公司编制了《内蒙古鄂尔多斯准格尔经济开发区大路产业园国土空间总体规划（2021-2035年）》，目前该规划正在审批过程中。</w:t>
            </w:r>
          </w:p>
        </w:tc>
      </w:tr>
      <w:tr w14:paraId="55FEBC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31" w:type="dxa"/>
            <w:vAlign w:val="center"/>
          </w:tcPr>
          <w:p w14:paraId="553BA694">
            <w:pPr>
              <w:adjustRightInd w:val="0"/>
              <w:snapToGrid w:val="0"/>
              <w:jc w:val="center"/>
              <w:rPr>
                <w:color w:val="auto"/>
                <w:sz w:val="24"/>
              </w:rPr>
            </w:pPr>
            <w:r>
              <w:rPr>
                <w:color w:val="auto"/>
                <w:sz w:val="24"/>
              </w:rPr>
              <w:t>规划环境影响</w:t>
            </w:r>
          </w:p>
          <w:p w14:paraId="0A34369B">
            <w:pPr>
              <w:adjustRightInd w:val="0"/>
              <w:snapToGrid w:val="0"/>
              <w:jc w:val="center"/>
              <w:rPr>
                <w:color w:val="auto"/>
                <w:kern w:val="0"/>
                <w:sz w:val="24"/>
              </w:rPr>
            </w:pPr>
            <w:r>
              <w:rPr>
                <w:color w:val="auto"/>
                <w:sz w:val="24"/>
              </w:rPr>
              <w:t>评价情况</w:t>
            </w:r>
          </w:p>
        </w:tc>
        <w:tc>
          <w:tcPr>
            <w:tcW w:w="7185" w:type="dxa"/>
            <w:gridSpan w:val="3"/>
            <w:vAlign w:val="center"/>
          </w:tcPr>
          <w:p w14:paraId="4FAF18B4">
            <w:pPr>
              <w:spacing w:line="360" w:lineRule="auto"/>
              <w:ind w:firstLine="480" w:firstLineChars="200"/>
              <w:jc w:val="left"/>
              <w:rPr>
                <w:color w:val="auto"/>
                <w:kern w:val="0"/>
                <w:sz w:val="24"/>
              </w:rPr>
            </w:pPr>
            <w:r>
              <w:rPr>
                <w:rFonts w:hint="eastAsia"/>
                <w:color w:val="auto"/>
                <w:kern w:val="0"/>
                <w:sz w:val="24"/>
              </w:rPr>
              <w:t>《内蒙古鄂尔多斯准格尔经济开发区国土空间总体规划</w:t>
            </w:r>
            <w:r>
              <w:rPr>
                <w:rFonts w:hint="eastAsia"/>
                <w:color w:val="auto"/>
                <w:kern w:val="0"/>
                <w:sz w:val="24"/>
                <w:lang w:eastAsia="zh-CN"/>
              </w:rPr>
              <w:t>（</w:t>
            </w:r>
            <w:r>
              <w:rPr>
                <w:rFonts w:hint="eastAsia"/>
                <w:color w:val="auto"/>
                <w:kern w:val="0"/>
                <w:sz w:val="24"/>
              </w:rPr>
              <w:t>大路产业园分区规划</w:t>
            </w:r>
            <w:r>
              <w:rPr>
                <w:rFonts w:hint="eastAsia"/>
                <w:color w:val="auto"/>
                <w:kern w:val="0"/>
                <w:sz w:val="24"/>
                <w:lang w:eastAsia="zh-CN"/>
              </w:rPr>
              <w:t>）</w:t>
            </w:r>
            <w:r>
              <w:rPr>
                <w:rFonts w:hint="eastAsia"/>
                <w:color w:val="auto"/>
                <w:kern w:val="0"/>
                <w:sz w:val="24"/>
              </w:rPr>
              <w:t>（</w:t>
            </w:r>
            <w:r>
              <w:rPr>
                <w:color w:val="auto"/>
                <w:kern w:val="0"/>
                <w:sz w:val="24"/>
              </w:rPr>
              <w:t>2021-2035</w:t>
            </w:r>
            <w:r>
              <w:rPr>
                <w:rFonts w:hint="eastAsia"/>
                <w:color w:val="auto"/>
                <w:kern w:val="0"/>
                <w:sz w:val="24"/>
              </w:rPr>
              <w:t>）环境影响报告书》</w:t>
            </w:r>
          </w:p>
          <w:p w14:paraId="47F710F4">
            <w:pPr>
              <w:spacing w:line="360" w:lineRule="auto"/>
              <w:ind w:firstLine="480" w:firstLineChars="200"/>
              <w:jc w:val="left"/>
              <w:rPr>
                <w:color w:val="auto"/>
                <w:kern w:val="0"/>
                <w:sz w:val="24"/>
              </w:rPr>
            </w:pPr>
            <w:r>
              <w:rPr>
                <w:rFonts w:hint="eastAsia"/>
                <w:color w:val="auto"/>
                <w:kern w:val="0"/>
                <w:sz w:val="24"/>
              </w:rPr>
              <w:t>审查机关：内蒙古自治区生态环境厅</w:t>
            </w:r>
          </w:p>
          <w:p w14:paraId="45A93596">
            <w:pPr>
              <w:spacing w:line="360" w:lineRule="auto"/>
              <w:ind w:firstLine="480" w:firstLineChars="200"/>
              <w:jc w:val="left"/>
              <w:rPr>
                <w:color w:val="auto"/>
                <w:kern w:val="0"/>
                <w:sz w:val="24"/>
              </w:rPr>
            </w:pPr>
            <w:r>
              <w:rPr>
                <w:rFonts w:hint="eastAsia"/>
                <w:color w:val="auto"/>
                <w:kern w:val="0"/>
                <w:sz w:val="24"/>
              </w:rPr>
              <w:t>审查文件名称：关于《内蒙古鄂尔多斯准格尔经济开发区国土空间总体规划</w:t>
            </w:r>
            <w:r>
              <w:rPr>
                <w:rFonts w:hint="eastAsia"/>
                <w:color w:val="auto"/>
                <w:kern w:val="0"/>
                <w:sz w:val="24"/>
                <w:lang w:eastAsia="zh-CN"/>
              </w:rPr>
              <w:t>（</w:t>
            </w:r>
            <w:r>
              <w:rPr>
                <w:rFonts w:hint="eastAsia"/>
                <w:color w:val="auto"/>
                <w:kern w:val="0"/>
                <w:sz w:val="24"/>
              </w:rPr>
              <w:t>大路产业园分区规划</w:t>
            </w:r>
            <w:r>
              <w:rPr>
                <w:rFonts w:hint="eastAsia"/>
                <w:color w:val="auto"/>
                <w:kern w:val="0"/>
                <w:sz w:val="24"/>
                <w:lang w:eastAsia="zh-CN"/>
              </w:rPr>
              <w:t>）</w:t>
            </w:r>
            <w:r>
              <w:rPr>
                <w:rFonts w:hint="eastAsia"/>
                <w:color w:val="auto"/>
                <w:kern w:val="0"/>
                <w:sz w:val="24"/>
              </w:rPr>
              <w:t>（</w:t>
            </w:r>
            <w:r>
              <w:rPr>
                <w:color w:val="auto"/>
                <w:kern w:val="0"/>
                <w:sz w:val="24"/>
              </w:rPr>
              <w:t>2021-2035</w:t>
            </w:r>
            <w:r>
              <w:rPr>
                <w:rFonts w:hint="eastAsia"/>
                <w:color w:val="auto"/>
                <w:kern w:val="0"/>
                <w:sz w:val="24"/>
              </w:rPr>
              <w:t>）环境影响报告书》的审查意见（附件</w:t>
            </w:r>
            <w:r>
              <w:rPr>
                <w:rFonts w:hint="eastAsia"/>
                <w:color w:val="auto"/>
                <w:kern w:val="0"/>
                <w:sz w:val="24"/>
                <w:lang w:val="en-US" w:eastAsia="zh-CN"/>
              </w:rPr>
              <w:t>3</w:t>
            </w:r>
            <w:r>
              <w:rPr>
                <w:color w:val="auto"/>
                <w:kern w:val="0"/>
                <w:sz w:val="24"/>
              </w:rPr>
              <w:t>）</w:t>
            </w:r>
          </w:p>
          <w:p w14:paraId="340F4D61">
            <w:pPr>
              <w:spacing w:line="360" w:lineRule="auto"/>
              <w:ind w:firstLine="480" w:firstLineChars="200"/>
              <w:jc w:val="left"/>
              <w:rPr>
                <w:color w:val="auto"/>
                <w:kern w:val="0"/>
                <w:sz w:val="24"/>
              </w:rPr>
            </w:pPr>
            <w:r>
              <w:rPr>
                <w:rFonts w:hint="eastAsia"/>
                <w:color w:val="auto"/>
                <w:kern w:val="0"/>
                <w:sz w:val="24"/>
              </w:rPr>
              <w:t>审批时间：202</w:t>
            </w:r>
            <w:r>
              <w:rPr>
                <w:rFonts w:hint="eastAsia"/>
                <w:color w:val="auto"/>
                <w:kern w:val="0"/>
                <w:sz w:val="24"/>
                <w:lang w:val="en-US" w:eastAsia="zh-CN"/>
              </w:rPr>
              <w:t>4</w:t>
            </w:r>
            <w:r>
              <w:rPr>
                <w:rFonts w:hint="eastAsia"/>
                <w:color w:val="auto"/>
                <w:kern w:val="0"/>
                <w:sz w:val="24"/>
              </w:rPr>
              <w:t>年</w:t>
            </w:r>
            <w:r>
              <w:rPr>
                <w:rFonts w:hint="eastAsia"/>
                <w:color w:val="auto"/>
                <w:kern w:val="0"/>
                <w:sz w:val="24"/>
                <w:lang w:val="en-US" w:eastAsia="zh-CN"/>
              </w:rPr>
              <w:t>8</w:t>
            </w:r>
            <w:r>
              <w:rPr>
                <w:rFonts w:hint="eastAsia"/>
                <w:color w:val="auto"/>
                <w:kern w:val="0"/>
                <w:sz w:val="24"/>
              </w:rPr>
              <w:t>月</w:t>
            </w:r>
            <w:r>
              <w:rPr>
                <w:rFonts w:hint="eastAsia"/>
                <w:color w:val="auto"/>
                <w:kern w:val="0"/>
                <w:sz w:val="24"/>
                <w:lang w:val="en-US" w:eastAsia="zh-CN"/>
              </w:rPr>
              <w:t>9</w:t>
            </w:r>
            <w:r>
              <w:rPr>
                <w:rFonts w:hint="eastAsia"/>
                <w:color w:val="auto"/>
                <w:kern w:val="0"/>
                <w:sz w:val="24"/>
              </w:rPr>
              <w:t>日</w:t>
            </w:r>
          </w:p>
          <w:p w14:paraId="0D8932BE">
            <w:pPr>
              <w:spacing w:line="360" w:lineRule="auto"/>
              <w:ind w:firstLine="480" w:firstLineChars="200"/>
              <w:jc w:val="left"/>
              <w:rPr>
                <w:color w:val="auto"/>
                <w:kern w:val="0"/>
                <w:sz w:val="24"/>
                <w:highlight w:val="yellow"/>
              </w:rPr>
            </w:pPr>
            <w:r>
              <w:rPr>
                <w:rFonts w:hint="eastAsia"/>
                <w:color w:val="auto"/>
                <w:kern w:val="0"/>
                <w:sz w:val="24"/>
              </w:rPr>
              <w:t>审批文号：内环审〔202</w:t>
            </w:r>
            <w:r>
              <w:rPr>
                <w:rFonts w:hint="eastAsia"/>
                <w:color w:val="auto"/>
                <w:kern w:val="0"/>
                <w:sz w:val="24"/>
                <w:lang w:val="en-US" w:eastAsia="zh-CN"/>
              </w:rPr>
              <w:t>4</w:t>
            </w:r>
            <w:r>
              <w:rPr>
                <w:rFonts w:hint="eastAsia"/>
                <w:color w:val="auto"/>
                <w:kern w:val="0"/>
                <w:sz w:val="24"/>
              </w:rPr>
              <w:t>〕</w:t>
            </w:r>
            <w:r>
              <w:rPr>
                <w:rFonts w:hint="eastAsia"/>
                <w:color w:val="auto"/>
                <w:kern w:val="0"/>
                <w:sz w:val="24"/>
                <w:lang w:val="en-US" w:eastAsia="zh-CN"/>
              </w:rPr>
              <w:t>45</w:t>
            </w:r>
            <w:r>
              <w:rPr>
                <w:rFonts w:hint="eastAsia"/>
                <w:color w:val="auto"/>
                <w:kern w:val="0"/>
                <w:sz w:val="24"/>
              </w:rPr>
              <w:t>号</w:t>
            </w:r>
          </w:p>
        </w:tc>
      </w:tr>
      <w:tr w14:paraId="7E5971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31" w:type="dxa"/>
            <w:vAlign w:val="center"/>
          </w:tcPr>
          <w:p w14:paraId="51F1AF21">
            <w:pPr>
              <w:adjustRightInd w:val="0"/>
              <w:snapToGrid w:val="0"/>
              <w:jc w:val="center"/>
              <w:rPr>
                <w:color w:val="auto"/>
                <w:sz w:val="24"/>
              </w:rPr>
            </w:pPr>
            <w:r>
              <w:rPr>
                <w:color w:val="auto"/>
                <w:kern w:val="0"/>
                <w:sz w:val="24"/>
              </w:rPr>
              <w:t>规划及规划环境影响评价符合性分析</w:t>
            </w:r>
          </w:p>
        </w:tc>
        <w:tc>
          <w:tcPr>
            <w:tcW w:w="7185" w:type="dxa"/>
            <w:gridSpan w:val="3"/>
            <w:vAlign w:val="center"/>
          </w:tcPr>
          <w:p w14:paraId="2A7103D0">
            <w:pPr>
              <w:numPr>
                <w:ilvl w:val="0"/>
                <w:numId w:val="1"/>
              </w:numPr>
              <w:autoSpaceDE w:val="0"/>
              <w:autoSpaceDN w:val="0"/>
              <w:adjustRightInd w:val="0"/>
              <w:snapToGrid w:val="0"/>
              <w:spacing w:line="360" w:lineRule="auto"/>
              <w:ind w:firstLine="482" w:firstLineChars="200"/>
              <w:rPr>
                <w:b/>
                <w:bCs/>
                <w:color w:val="auto"/>
                <w:kern w:val="0"/>
                <w:sz w:val="24"/>
              </w:rPr>
            </w:pPr>
            <w:r>
              <w:rPr>
                <w:rFonts w:hint="eastAsia"/>
                <w:b/>
                <w:bCs/>
                <w:color w:val="auto"/>
                <w:kern w:val="0"/>
                <w:sz w:val="24"/>
              </w:rPr>
              <w:t>与规划符合性分析</w:t>
            </w:r>
          </w:p>
          <w:p w14:paraId="716E1780">
            <w:pPr>
              <w:autoSpaceDE w:val="0"/>
              <w:autoSpaceDN w:val="0"/>
              <w:adjustRightInd w:val="0"/>
              <w:snapToGrid w:val="0"/>
              <w:spacing w:line="360" w:lineRule="auto"/>
              <w:ind w:firstLine="480" w:firstLineChars="200"/>
              <w:rPr>
                <w:rFonts w:hint="eastAsia"/>
                <w:color w:val="auto"/>
                <w:sz w:val="24"/>
              </w:rPr>
            </w:pPr>
            <w:r>
              <w:rPr>
                <w:rFonts w:hint="eastAsia"/>
                <w:color w:val="auto"/>
                <w:sz w:val="24"/>
              </w:rPr>
              <w:t>根据《内蒙古鄂尔多斯准格尔经济开发区国土空间总体规划（大路产业园分区规划）（2021-2035年）》，园区发展定位为：主导产业为能源化工和装备制造，同步发展资源综合利用产业。主要包括现代煤化工、精细化工、化工新材料、粉煤灰提取氧化铝及贵金属、铝精深加工、终端产品生产制造、新能源装备制造等产业；</w:t>
            </w:r>
          </w:p>
          <w:p w14:paraId="14FCB6AC">
            <w:pPr>
              <w:autoSpaceDE w:val="0"/>
              <w:autoSpaceDN w:val="0"/>
              <w:adjustRightInd w:val="0"/>
              <w:snapToGrid w:val="0"/>
              <w:spacing w:line="360" w:lineRule="auto"/>
              <w:ind w:firstLine="480" w:firstLineChars="200"/>
              <w:rPr>
                <w:rFonts w:hint="eastAsia"/>
                <w:color w:val="auto"/>
                <w:sz w:val="24"/>
              </w:rPr>
            </w:pPr>
            <w:r>
              <w:rPr>
                <w:rFonts w:hint="eastAsia"/>
                <w:color w:val="auto"/>
                <w:sz w:val="24"/>
              </w:rPr>
              <w:t>结合现状土地开发利用特点和产业发展特征，规划将大路产业园分为两个基地，分别为化工产业基地和新能源科技与资源综合利用产业基地。</w:t>
            </w:r>
          </w:p>
          <w:p w14:paraId="19AC0A7A">
            <w:pPr>
              <w:numPr>
                <w:ilvl w:val="0"/>
                <w:numId w:val="2"/>
              </w:numPr>
              <w:autoSpaceDE w:val="0"/>
              <w:autoSpaceDN w:val="0"/>
              <w:adjustRightInd w:val="0"/>
              <w:snapToGrid w:val="0"/>
              <w:spacing w:line="360" w:lineRule="auto"/>
              <w:ind w:firstLine="480" w:firstLineChars="200"/>
              <w:rPr>
                <w:rFonts w:hint="eastAsia"/>
                <w:color w:val="auto"/>
                <w:sz w:val="24"/>
              </w:rPr>
            </w:pPr>
            <w:r>
              <w:rPr>
                <w:rFonts w:hint="eastAsia"/>
                <w:color w:val="auto"/>
                <w:sz w:val="24"/>
              </w:rPr>
              <w:t>化工产业基地</w:t>
            </w:r>
            <w:r>
              <w:rPr>
                <w:rFonts w:hint="eastAsia"/>
                <w:color w:val="auto"/>
                <w:sz w:val="24"/>
                <w:lang w:eastAsia="zh-CN"/>
              </w:rPr>
              <w:t>：</w:t>
            </w:r>
            <w:r>
              <w:rPr>
                <w:rFonts w:hint="eastAsia"/>
                <w:color w:val="auto"/>
                <w:sz w:val="24"/>
              </w:rPr>
              <w:t>位于大路产业园中部，分为2个片区，重点发展煤制油、煤制气等清洁能源和煤制烯烃、芳烃、乙二醇等煤制化学品及下游精细化学品，延伸发展煤基新材料产业，硅材料上下游产业，配套发展煤炭物流。</w:t>
            </w:r>
          </w:p>
          <w:p w14:paraId="03CF0ED1">
            <w:pPr>
              <w:numPr>
                <w:ilvl w:val="0"/>
                <w:numId w:val="0"/>
              </w:numPr>
              <w:autoSpaceDE w:val="0"/>
              <w:autoSpaceDN w:val="0"/>
              <w:adjustRightInd w:val="0"/>
              <w:snapToGrid w:val="0"/>
              <w:spacing w:line="360" w:lineRule="auto"/>
              <w:ind w:firstLine="480" w:firstLineChars="200"/>
              <w:rPr>
                <w:rFonts w:hint="eastAsia"/>
                <w:color w:val="auto"/>
                <w:sz w:val="24"/>
              </w:rPr>
            </w:pPr>
            <w:r>
              <w:rPr>
                <w:rFonts w:hint="eastAsia"/>
                <w:color w:val="auto"/>
                <w:sz w:val="24"/>
              </w:rPr>
              <w:t>（2）新能源科技及资源综合利用产业基地</w:t>
            </w:r>
            <w:r>
              <w:rPr>
                <w:rFonts w:hint="eastAsia"/>
                <w:color w:val="auto"/>
                <w:sz w:val="24"/>
                <w:lang w:eastAsia="zh-CN"/>
              </w:rPr>
              <w:t>：</w:t>
            </w:r>
            <w:r>
              <w:rPr>
                <w:rFonts w:hint="eastAsia"/>
                <w:color w:val="auto"/>
                <w:sz w:val="24"/>
              </w:rPr>
              <w:t>位于大路产业园东侧，新能源产业重点做大做强光伏、新能源汽车产业，加快布局氢能、储能两大未来产业，适度发展风电产业，打造“风光氢储车”全产业链；积极布局化工装备制造产业；</w:t>
            </w:r>
            <w:r>
              <w:rPr>
                <w:rFonts w:hint="eastAsia"/>
                <w:color w:val="auto"/>
                <w:sz w:val="24"/>
                <w:highlight w:val="none"/>
              </w:rPr>
              <w:t>打造“高端新材料产业”园中园。</w:t>
            </w:r>
            <w:r>
              <w:rPr>
                <w:rFonts w:hint="eastAsia"/>
                <w:color w:val="auto"/>
                <w:sz w:val="24"/>
              </w:rPr>
              <w:t>资源综合利用产业重点发展粉煤灰提取氧化铝/氢氧化铝、铝精深加工产业，创新发展贵金属及半导体衬底材料提取，构建“资源-产品-再生资源”相结合的循环产业体系。</w:t>
            </w:r>
          </w:p>
          <w:p w14:paraId="1B00C048">
            <w:pPr>
              <w:pStyle w:val="47"/>
              <w:spacing w:line="359" w:lineRule="auto"/>
              <w:ind w:left="113" w:right="107" w:firstLine="48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本项目行业类别为《国民经济行业分类》（GB/T 4754-2017）中3062 玻璃纤维增强塑料制品制造；根据《工业战略性新兴产业分类目录（2023）》（国经普办字〔2023〕24号），属于新材料产业——3.5.2.1 高性能热固性树脂基复合材料制造。</w:t>
            </w:r>
          </w:p>
          <w:p w14:paraId="5614F411">
            <w:pPr>
              <w:pStyle w:val="47"/>
              <w:spacing w:line="359" w:lineRule="auto"/>
              <w:ind w:left="113" w:right="107" w:firstLine="480"/>
              <w:jc w:val="both"/>
              <w:rPr>
                <w:color w:val="auto"/>
                <w:highlight w:val="cyan"/>
              </w:rPr>
            </w:pPr>
            <w:r>
              <w:rPr>
                <w:rFonts w:hint="eastAsia" w:ascii="Times New Roman" w:hAnsi="Times New Roman" w:eastAsia="宋体" w:cs="Times New Roman"/>
                <w:color w:val="auto"/>
                <w:kern w:val="2"/>
                <w:sz w:val="24"/>
                <w:szCs w:val="24"/>
                <w:lang w:val="en-US" w:eastAsia="zh-CN" w:bidi="ar-SA"/>
              </w:rPr>
              <w:t>本项目原材料为玻璃纤维，无溶剂改性环氧树脂、改性液体酸酐固化剂、钢丝和环氧粉末</w:t>
            </w:r>
            <w:r>
              <w:rPr>
                <w:rFonts w:hint="eastAsia" w:ascii="Times New Roman" w:hAnsi="Times New Roman" w:cs="Times New Roman"/>
                <w:color w:val="auto"/>
                <w:kern w:val="2"/>
                <w:sz w:val="24"/>
                <w:szCs w:val="24"/>
                <w:lang w:val="en-US" w:eastAsia="zh-CN" w:bidi="ar-SA"/>
              </w:rPr>
              <w:t>。首先将无溶剂改性环氧树脂与改性液体酸酐固化剂进行配比与搅拌，制备成混合原料；随后将玻璃纤维使用该混合原料浸润，并加入钢丝进行缠绕浸润。浸润后的玻璃纤维经固化成型为管道，再依次进行切割打磨、静电喷涂、检验等工序，最终形成环氧玻璃纤维高压管道产品。由于该产品为一次性定型，其生产工艺需通过直接固化完成，该工艺实现了新材料直接成型为特定应用管道，属于新材料的制造过程；</w:t>
            </w:r>
            <w:r>
              <w:rPr>
                <w:rFonts w:hint="eastAsia" w:ascii="Times New Roman" w:hAnsi="Times New Roman" w:eastAsia="宋体" w:cs="Times New Roman"/>
                <w:color w:val="auto"/>
                <w:kern w:val="2"/>
                <w:sz w:val="24"/>
                <w:szCs w:val="24"/>
                <w:lang w:val="en-US" w:eastAsia="zh-CN" w:bidi="ar-SA"/>
              </w:rPr>
              <w:t>最终产品为环氧玻璃纤维高压管道，属高性能纤维增强热固性树脂基复合材料，具有轻质高强、耐高压、耐腐蚀、超强抗冲击性、优异的阻燃性能等特点，主要应用于煤化工、精细化工、油气开采、市政高压输水、海上风电平台海水冷却系统、消防水系统、电缆保护套管，以及风力发电机组传动系统绝缘部件等新能源领域等场景，为能源化工及基础设施领域提供耐蚀高压管道材料，符合新材料产业方向，符合园区规划产业布局。</w:t>
            </w:r>
          </w:p>
          <w:p w14:paraId="227B69B1">
            <w:pPr>
              <w:pStyle w:val="47"/>
              <w:spacing w:line="359" w:lineRule="auto"/>
              <w:ind w:left="113" w:right="107" w:firstLine="480"/>
              <w:jc w:val="both"/>
              <w:rPr>
                <w:rFonts w:hint="eastAsia"/>
                <w:b/>
                <w:bCs/>
                <w:color w:val="auto"/>
                <w:kern w:val="0"/>
                <w:sz w:val="24"/>
                <w:lang w:val="en-US" w:eastAsia="zh-CN"/>
              </w:rPr>
            </w:pPr>
            <w:r>
              <w:rPr>
                <w:rFonts w:hint="eastAsia" w:ascii="Times New Roman" w:hAnsi="Times New Roman" w:eastAsia="宋体" w:cs="Times New Roman"/>
                <w:color w:val="auto"/>
                <w:kern w:val="2"/>
                <w:sz w:val="24"/>
                <w:szCs w:val="24"/>
                <w:lang w:val="en-US" w:eastAsia="zh-CN" w:bidi="ar-SA"/>
              </w:rPr>
              <w:t>本项目租赁内蒙古自治区鄂尔多斯市准格尔经济开发区大路产业园新能源基地B3地块12号</w:t>
            </w:r>
            <w:r>
              <w:rPr>
                <w:rFonts w:hint="eastAsia" w:ascii="Times New Roman" w:hAnsi="Times New Roman" w:cs="Times New Roman"/>
                <w:color w:val="auto"/>
                <w:kern w:val="2"/>
                <w:sz w:val="24"/>
                <w:szCs w:val="24"/>
                <w:lang w:val="en-US" w:eastAsia="zh-CN" w:bidi="ar-SA"/>
              </w:rPr>
              <w:t>标准化</w:t>
            </w:r>
            <w:r>
              <w:rPr>
                <w:rFonts w:hint="eastAsia" w:ascii="Times New Roman" w:hAnsi="Times New Roman" w:eastAsia="宋体" w:cs="Times New Roman"/>
                <w:color w:val="auto"/>
                <w:kern w:val="2"/>
                <w:sz w:val="24"/>
                <w:szCs w:val="24"/>
                <w:lang w:val="en-US" w:eastAsia="zh-CN" w:bidi="ar-SA"/>
              </w:rPr>
              <w:t>厂房，该厂房土地用途为工业用地，规划用途为新材料产业区。项目入驻后从事环氧玻璃纤维高压管道生产，属园区新材料产业范畴，符合该标准化厂房规划用途及园区产业定位，不改变原有土地和建筑工业使用性质，因此符合园区土地利用规划。</w:t>
            </w:r>
            <w:r>
              <w:rPr>
                <w:rFonts w:hint="eastAsia" w:ascii="Times New Roman" w:hAnsi="Times New Roman" w:cs="Times New Roman"/>
                <w:color w:val="auto"/>
                <w:kern w:val="2"/>
                <w:sz w:val="24"/>
                <w:szCs w:val="24"/>
                <w:lang w:val="en-US" w:eastAsia="zh-CN" w:bidi="ar-SA"/>
              </w:rPr>
              <w:t>（附图3、附图4</w:t>
            </w:r>
            <w:r>
              <w:rPr>
                <w:rFonts w:hint="eastAsia" w:ascii="Times New Roman" w:hAnsi="Times New Roman" w:eastAsia="宋体" w:cs="Times New Roman"/>
                <w:color w:val="auto"/>
                <w:kern w:val="2"/>
                <w:sz w:val="24"/>
                <w:szCs w:val="24"/>
                <w:lang w:val="en-US" w:eastAsia="zh-CN" w:bidi="ar-SA"/>
              </w:rPr>
              <w:t>、附件7）</w:t>
            </w:r>
          </w:p>
          <w:p w14:paraId="294275D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b/>
                <w:bCs/>
                <w:color w:val="auto"/>
                <w:kern w:val="0"/>
                <w:sz w:val="24"/>
              </w:rPr>
            </w:pPr>
            <w:r>
              <w:rPr>
                <w:rFonts w:hint="eastAsia"/>
                <w:b/>
                <w:bCs/>
                <w:color w:val="auto"/>
                <w:kern w:val="0"/>
                <w:sz w:val="24"/>
                <w:lang w:val="en-US" w:eastAsia="zh-CN"/>
              </w:rPr>
              <w:t>2、</w:t>
            </w:r>
            <w:r>
              <w:rPr>
                <w:rFonts w:hint="eastAsia"/>
                <w:b/>
                <w:bCs/>
                <w:color w:val="auto"/>
                <w:kern w:val="0"/>
                <w:sz w:val="24"/>
              </w:rPr>
              <w:t>规划环评及审查意见的符合性分析</w:t>
            </w:r>
          </w:p>
          <w:p w14:paraId="3C42C60F">
            <w:pPr>
              <w:autoSpaceDE w:val="0"/>
              <w:autoSpaceDN w:val="0"/>
              <w:adjustRightInd w:val="0"/>
              <w:snapToGrid w:val="0"/>
              <w:spacing w:line="360" w:lineRule="auto"/>
              <w:ind w:firstLine="480" w:firstLineChars="200"/>
              <w:jc w:val="left"/>
              <w:rPr>
                <w:rFonts w:hint="eastAsia"/>
                <w:color w:val="auto"/>
                <w:kern w:val="0"/>
                <w:sz w:val="24"/>
                <w:lang w:val="en-US" w:eastAsia="zh-CN"/>
              </w:rPr>
            </w:pPr>
            <w:r>
              <w:rPr>
                <w:rFonts w:hint="eastAsia"/>
                <w:color w:val="auto"/>
                <w:kern w:val="0"/>
                <w:sz w:val="24"/>
              </w:rPr>
              <w:t>本项目位于内蒙古鄂尔多斯市准格尔旗大路产业园新能源基地，202</w:t>
            </w:r>
            <w:r>
              <w:rPr>
                <w:rFonts w:hint="eastAsia"/>
                <w:color w:val="auto"/>
                <w:kern w:val="0"/>
                <w:sz w:val="24"/>
                <w:lang w:val="en-US" w:eastAsia="zh-CN"/>
              </w:rPr>
              <w:t>4</w:t>
            </w:r>
            <w:r>
              <w:rPr>
                <w:rFonts w:hint="eastAsia"/>
                <w:color w:val="auto"/>
                <w:kern w:val="0"/>
                <w:sz w:val="24"/>
              </w:rPr>
              <w:t>年内蒙古自治区生态环境厅出具了</w:t>
            </w:r>
            <w:bookmarkStart w:id="20" w:name="_GoBack"/>
            <w:bookmarkEnd w:id="20"/>
            <w:r>
              <w:rPr>
                <w:rFonts w:hint="eastAsia"/>
                <w:color w:val="auto"/>
                <w:kern w:val="0"/>
                <w:sz w:val="24"/>
              </w:rPr>
              <w:t>关于《内蒙古鄂尔多斯准格尔经济开发区国</w:t>
            </w:r>
            <w:r>
              <w:rPr>
                <w:rFonts w:hint="eastAsia"/>
                <w:color w:val="auto"/>
                <w:kern w:val="0"/>
                <w:sz w:val="24"/>
                <w:lang w:val="en-US" w:eastAsia="zh-CN"/>
              </w:rPr>
              <w:t>土</w:t>
            </w:r>
            <w:r>
              <w:rPr>
                <w:rFonts w:hint="eastAsia"/>
                <w:color w:val="auto"/>
                <w:kern w:val="0"/>
                <w:sz w:val="24"/>
              </w:rPr>
              <w:t>空间总体规划</w:t>
            </w:r>
            <w:r>
              <w:rPr>
                <w:rFonts w:hint="eastAsia"/>
                <w:color w:val="auto"/>
                <w:kern w:val="0"/>
                <w:sz w:val="24"/>
                <w:lang w:eastAsia="zh-CN"/>
              </w:rPr>
              <w:t>（</w:t>
            </w:r>
            <w:r>
              <w:rPr>
                <w:rFonts w:hint="eastAsia"/>
                <w:color w:val="auto"/>
                <w:kern w:val="0"/>
                <w:sz w:val="24"/>
              </w:rPr>
              <w:t>大路产业园分区规划</w:t>
            </w:r>
            <w:r>
              <w:rPr>
                <w:rFonts w:hint="eastAsia"/>
                <w:color w:val="auto"/>
                <w:kern w:val="0"/>
                <w:sz w:val="24"/>
                <w:lang w:eastAsia="zh-CN"/>
              </w:rPr>
              <w:t>）</w:t>
            </w:r>
            <w:r>
              <w:rPr>
                <w:rFonts w:hint="eastAsia"/>
                <w:color w:val="auto"/>
                <w:kern w:val="0"/>
                <w:sz w:val="24"/>
              </w:rPr>
              <w:t>(2021-2035年)环影响报告书》的审查意见（内环审</w:t>
            </w:r>
            <w:r>
              <w:rPr>
                <w:rFonts w:hint="eastAsia"/>
                <w:color w:val="auto"/>
                <w:kern w:val="0"/>
                <w:sz w:val="24"/>
                <w:lang w:eastAsia="zh-CN"/>
              </w:rPr>
              <w:t>〔202</w:t>
            </w:r>
            <w:r>
              <w:rPr>
                <w:rFonts w:hint="eastAsia"/>
                <w:color w:val="auto"/>
                <w:kern w:val="0"/>
                <w:sz w:val="24"/>
                <w:lang w:val="en-US" w:eastAsia="zh-CN"/>
              </w:rPr>
              <w:t>4</w:t>
            </w:r>
            <w:r>
              <w:rPr>
                <w:rFonts w:hint="eastAsia"/>
                <w:color w:val="auto"/>
                <w:kern w:val="0"/>
                <w:sz w:val="24"/>
                <w:lang w:eastAsia="zh-CN"/>
              </w:rPr>
              <w:t>〕</w:t>
            </w:r>
            <w:r>
              <w:rPr>
                <w:rFonts w:hint="eastAsia"/>
                <w:color w:val="auto"/>
                <w:kern w:val="0"/>
                <w:sz w:val="24"/>
              </w:rPr>
              <w:t>4</w:t>
            </w:r>
            <w:r>
              <w:rPr>
                <w:rFonts w:hint="eastAsia"/>
                <w:color w:val="auto"/>
                <w:kern w:val="0"/>
                <w:sz w:val="24"/>
                <w:lang w:val="en-US" w:eastAsia="zh-CN"/>
              </w:rPr>
              <w:t>5</w:t>
            </w:r>
            <w:r>
              <w:rPr>
                <w:rFonts w:hint="eastAsia"/>
                <w:color w:val="auto"/>
                <w:kern w:val="0"/>
                <w:sz w:val="24"/>
              </w:rPr>
              <w:t>号）。本项目与规划环评审查意见的相符性分析</w:t>
            </w:r>
            <w:r>
              <w:rPr>
                <w:rFonts w:hint="eastAsia"/>
                <w:color w:val="auto"/>
                <w:kern w:val="0"/>
                <w:sz w:val="24"/>
                <w:lang w:eastAsia="zh-CN"/>
              </w:rPr>
              <w:t>见表</w:t>
            </w:r>
            <w:r>
              <w:rPr>
                <w:rFonts w:hint="eastAsia"/>
                <w:color w:val="auto"/>
                <w:kern w:val="0"/>
                <w:sz w:val="24"/>
                <w:lang w:val="en-US" w:eastAsia="zh-CN"/>
              </w:rPr>
              <w:t>1-2。</w:t>
            </w:r>
          </w:p>
          <w:p w14:paraId="1EBFE760">
            <w:pPr>
              <w:jc w:val="center"/>
              <w:rPr>
                <w:b/>
                <w:color w:val="auto"/>
                <w:kern w:val="0"/>
                <w:sz w:val="24"/>
                <w:szCs w:val="21"/>
              </w:rPr>
            </w:pPr>
            <w:r>
              <w:rPr>
                <w:rFonts w:hint="eastAsia"/>
                <w:b/>
                <w:color w:val="auto"/>
                <w:kern w:val="0"/>
                <w:sz w:val="24"/>
                <w:szCs w:val="21"/>
              </w:rPr>
              <w:t>表1-</w:t>
            </w:r>
            <w:r>
              <w:rPr>
                <w:rFonts w:hint="eastAsia"/>
                <w:b/>
                <w:color w:val="auto"/>
                <w:kern w:val="0"/>
                <w:sz w:val="24"/>
                <w:szCs w:val="21"/>
                <w:lang w:val="en-US" w:eastAsia="zh-CN"/>
              </w:rPr>
              <w:t>2</w:t>
            </w:r>
            <w:r>
              <w:rPr>
                <w:rFonts w:hint="eastAsia"/>
                <w:b/>
                <w:color w:val="auto"/>
                <w:kern w:val="0"/>
                <w:sz w:val="24"/>
                <w:szCs w:val="21"/>
              </w:rPr>
              <w:t xml:space="preserve">   本项目与园区规划环评</w:t>
            </w:r>
            <w:r>
              <w:rPr>
                <w:rFonts w:hint="eastAsia"/>
                <w:b/>
                <w:color w:val="auto"/>
                <w:kern w:val="0"/>
                <w:sz w:val="24"/>
                <w:szCs w:val="21"/>
                <w:lang w:val="en-US" w:eastAsia="zh-CN"/>
              </w:rPr>
              <w:t>审查意见</w:t>
            </w:r>
            <w:r>
              <w:rPr>
                <w:rFonts w:hint="eastAsia"/>
                <w:b/>
                <w:color w:val="auto"/>
                <w:kern w:val="0"/>
                <w:sz w:val="24"/>
                <w:szCs w:val="21"/>
              </w:rPr>
              <w:t>的相符性分析表</w:t>
            </w:r>
          </w:p>
          <w:tbl>
            <w:tblPr>
              <w:tblStyle w:val="23"/>
              <w:tblW w:w="7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
              <w:gridCol w:w="3736"/>
              <w:gridCol w:w="1981"/>
              <w:gridCol w:w="690"/>
            </w:tblGrid>
            <w:tr w14:paraId="760C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trPr>
              <w:tc>
                <w:tcPr>
                  <w:tcW w:w="624" w:type="dxa"/>
                  <w:vAlign w:val="center"/>
                </w:tcPr>
                <w:p w14:paraId="444C9577">
                  <w:pPr>
                    <w:widowControl/>
                    <w:jc w:val="center"/>
                    <w:rPr>
                      <w:b w:val="0"/>
                      <w:bCs w:val="0"/>
                      <w:color w:val="auto"/>
                      <w:kern w:val="0"/>
                      <w:szCs w:val="21"/>
                      <w:lang w:bidi="ar"/>
                    </w:rPr>
                  </w:pPr>
                  <w:r>
                    <w:rPr>
                      <w:rFonts w:hint="eastAsia"/>
                      <w:b w:val="0"/>
                      <w:bCs w:val="0"/>
                      <w:color w:val="auto"/>
                      <w:kern w:val="0"/>
                      <w:szCs w:val="21"/>
                      <w:lang w:bidi="ar"/>
                    </w:rPr>
                    <w:t>项目</w:t>
                  </w:r>
                </w:p>
              </w:tc>
              <w:tc>
                <w:tcPr>
                  <w:tcW w:w="3736" w:type="dxa"/>
                  <w:vAlign w:val="center"/>
                </w:tcPr>
                <w:p w14:paraId="21804E08">
                  <w:pPr>
                    <w:widowControl/>
                    <w:jc w:val="center"/>
                    <w:rPr>
                      <w:b w:val="0"/>
                      <w:bCs w:val="0"/>
                      <w:color w:val="auto"/>
                      <w:kern w:val="0"/>
                      <w:szCs w:val="21"/>
                      <w:lang w:bidi="ar"/>
                    </w:rPr>
                  </w:pPr>
                  <w:r>
                    <w:rPr>
                      <w:b w:val="0"/>
                      <w:bCs w:val="0"/>
                      <w:color w:val="auto"/>
                      <w:szCs w:val="21"/>
                      <w:lang w:val="zh-TW" w:eastAsia="zh-TW"/>
                    </w:rPr>
                    <w:t>园区规划环评内容</w:t>
                  </w:r>
                </w:p>
              </w:tc>
              <w:tc>
                <w:tcPr>
                  <w:tcW w:w="1981" w:type="dxa"/>
                  <w:vAlign w:val="center"/>
                </w:tcPr>
                <w:p w14:paraId="7ED078CC">
                  <w:pPr>
                    <w:widowControl/>
                    <w:jc w:val="center"/>
                    <w:rPr>
                      <w:b w:val="0"/>
                      <w:bCs w:val="0"/>
                      <w:color w:val="auto"/>
                      <w:kern w:val="0"/>
                      <w:szCs w:val="21"/>
                      <w:lang w:bidi="ar"/>
                    </w:rPr>
                  </w:pPr>
                  <w:r>
                    <w:rPr>
                      <w:rFonts w:hint="eastAsia"/>
                      <w:b w:val="0"/>
                      <w:bCs w:val="0"/>
                      <w:color w:val="auto"/>
                      <w:kern w:val="0"/>
                      <w:szCs w:val="21"/>
                      <w:lang w:bidi="ar"/>
                    </w:rPr>
                    <w:t>本项目情况</w:t>
                  </w:r>
                </w:p>
              </w:tc>
              <w:tc>
                <w:tcPr>
                  <w:tcW w:w="690" w:type="dxa"/>
                  <w:vAlign w:val="center"/>
                </w:tcPr>
                <w:p w14:paraId="28686D28">
                  <w:pPr>
                    <w:widowControl/>
                    <w:jc w:val="center"/>
                    <w:rPr>
                      <w:b w:val="0"/>
                      <w:bCs w:val="0"/>
                      <w:color w:val="auto"/>
                      <w:kern w:val="0"/>
                      <w:szCs w:val="21"/>
                      <w:lang w:bidi="ar"/>
                    </w:rPr>
                  </w:pPr>
                  <w:r>
                    <w:rPr>
                      <w:rFonts w:hint="eastAsia"/>
                      <w:b w:val="0"/>
                      <w:bCs w:val="0"/>
                      <w:color w:val="auto"/>
                      <w:kern w:val="0"/>
                      <w:szCs w:val="21"/>
                      <w:lang w:bidi="ar"/>
                    </w:rPr>
                    <w:t>符合性</w:t>
                  </w:r>
                </w:p>
              </w:tc>
            </w:tr>
            <w:tr w14:paraId="1192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4C57328B">
                  <w:pPr>
                    <w:adjustRightInd w:val="0"/>
                    <w:snapToGrid w:val="0"/>
                    <w:jc w:val="center"/>
                    <w:rPr>
                      <w:rFonts w:ascii="Times New Roman" w:hAnsi="Times New Roman" w:eastAsia="宋体" w:cs="Times New Roman"/>
                      <w:color w:val="auto"/>
                      <w:kern w:val="2"/>
                      <w:sz w:val="21"/>
                      <w:szCs w:val="21"/>
                      <w:lang w:val="zh-TW" w:eastAsia="zh-CN" w:bidi="ar-SA"/>
                    </w:rPr>
                  </w:pPr>
                  <w:r>
                    <w:rPr>
                      <w:color w:val="auto"/>
                      <w:szCs w:val="21"/>
                    </w:rPr>
                    <w:t>一</w:t>
                  </w:r>
                </w:p>
              </w:tc>
              <w:tc>
                <w:tcPr>
                  <w:tcW w:w="3736" w:type="dxa"/>
                  <w:shd w:val="clear" w:color="auto" w:fill="auto"/>
                  <w:vAlign w:val="center"/>
                </w:tcPr>
                <w:p w14:paraId="304C9E2C">
                  <w:pPr>
                    <w:adjustRightInd w:val="0"/>
                    <w:snapToGrid w:val="0"/>
                    <w:rPr>
                      <w:rFonts w:ascii="Times New Roman" w:hAnsi="Times New Roman" w:eastAsia="宋体" w:cs="Times New Roman"/>
                      <w:color w:val="auto"/>
                      <w:kern w:val="2"/>
                      <w:sz w:val="21"/>
                      <w:szCs w:val="21"/>
                      <w:lang w:val="en-US" w:eastAsia="zh-CN" w:bidi="ar-SA"/>
                    </w:rPr>
                  </w:pPr>
                  <w:r>
                    <w:rPr>
                      <w:color w:val="auto"/>
                      <w:szCs w:val="21"/>
                    </w:rPr>
                    <w:t>坚持生态优先、绿色发展理念，加强规划引领。园区总体规划应做好与自治区、鄂尔多斯市国土空间总体规划及生态环境分区管控的协调衔接，并要与</w:t>
                  </w:r>
                  <w:r>
                    <w:rPr>
                      <w:rFonts w:hint="eastAsia"/>
                      <w:color w:val="auto"/>
                      <w:szCs w:val="21"/>
                    </w:rPr>
                    <w:t>当地其他</w:t>
                  </w:r>
                  <w:r>
                    <w:rPr>
                      <w:color w:val="auto"/>
                      <w:szCs w:val="21"/>
                    </w:rPr>
                    <w:t>专项规划相协调。按照《内蒙古自治区人民政府关于促进工业园区高质量发展的若干意见》</w:t>
                  </w:r>
                  <w:r>
                    <w:rPr>
                      <w:rFonts w:hint="eastAsia"/>
                      <w:color w:val="auto"/>
                      <w:szCs w:val="21"/>
                    </w:rPr>
                    <w:t>（</w:t>
                  </w:r>
                  <w:r>
                    <w:rPr>
                      <w:color w:val="auto"/>
                      <w:szCs w:val="21"/>
                    </w:rPr>
                    <w:t>内政发〔2019〕21号</w:t>
                  </w:r>
                  <w:r>
                    <w:rPr>
                      <w:rFonts w:hint="eastAsia"/>
                      <w:color w:val="auto"/>
                      <w:szCs w:val="21"/>
                    </w:rPr>
                    <w:t>）</w:t>
                  </w:r>
                  <w:r>
                    <w:rPr>
                      <w:color w:val="auto"/>
                      <w:szCs w:val="21"/>
                    </w:rPr>
                    <w:t>、《内蒙古自治区人民政府办公厅关于进一步加强全区自治区级及以上工业园区环境保护工作的通知》</w:t>
                  </w:r>
                  <w:r>
                    <w:rPr>
                      <w:rFonts w:hint="eastAsia"/>
                      <w:color w:val="auto"/>
                      <w:szCs w:val="21"/>
                    </w:rPr>
                    <w:t>（</w:t>
                  </w:r>
                  <w:r>
                    <w:rPr>
                      <w:color w:val="auto"/>
                      <w:szCs w:val="21"/>
                    </w:rPr>
                    <w:t>内政办发〔2018〕88号</w:t>
                  </w:r>
                  <w:r>
                    <w:rPr>
                      <w:rFonts w:hint="eastAsia"/>
                      <w:color w:val="auto"/>
                      <w:szCs w:val="21"/>
                    </w:rPr>
                    <w:t>）</w:t>
                  </w:r>
                  <w:r>
                    <w:rPr>
                      <w:color w:val="auto"/>
                      <w:szCs w:val="21"/>
                    </w:rPr>
                    <w:t>及自治区、鄂尔多斯市国民经济和社会发展第十四个五年规划以及2035年远景目标纲要等要求，指导园区建设。</w:t>
                  </w:r>
                </w:p>
              </w:tc>
              <w:tc>
                <w:tcPr>
                  <w:tcW w:w="1981" w:type="dxa"/>
                  <w:vAlign w:val="center"/>
                </w:tcPr>
                <w:p w14:paraId="19FC3FD3">
                  <w:pPr>
                    <w:widowControl/>
                    <w:jc w:val="center"/>
                    <w:rPr>
                      <w:rFonts w:hint="eastAsia" w:eastAsia="宋体"/>
                      <w:b/>
                      <w:bCs/>
                      <w:color w:val="auto"/>
                      <w:kern w:val="0"/>
                      <w:szCs w:val="21"/>
                      <w:lang w:val="en-US" w:eastAsia="zh-CN"/>
                    </w:rPr>
                  </w:pPr>
                  <w:r>
                    <w:rPr>
                      <w:rFonts w:hint="eastAsia"/>
                      <w:b/>
                      <w:bCs/>
                      <w:color w:val="auto"/>
                      <w:kern w:val="0"/>
                      <w:szCs w:val="21"/>
                      <w:lang w:val="en-US" w:eastAsia="zh-CN"/>
                    </w:rPr>
                    <w:t>/</w:t>
                  </w:r>
                </w:p>
              </w:tc>
              <w:tc>
                <w:tcPr>
                  <w:tcW w:w="690" w:type="dxa"/>
                  <w:vAlign w:val="center"/>
                </w:tcPr>
                <w:p w14:paraId="01D707FD">
                  <w:pPr>
                    <w:widowControl/>
                    <w:jc w:val="center"/>
                    <w:rPr>
                      <w:rFonts w:hint="eastAsia" w:eastAsia="宋体"/>
                      <w:b/>
                      <w:bCs/>
                      <w:color w:val="auto"/>
                      <w:kern w:val="0"/>
                      <w:szCs w:val="21"/>
                      <w:lang w:eastAsia="zh-CN"/>
                    </w:rPr>
                  </w:pPr>
                  <w:r>
                    <w:rPr>
                      <w:rFonts w:hint="eastAsia"/>
                      <w:color w:val="auto"/>
                      <w:kern w:val="0"/>
                      <w:szCs w:val="21"/>
                      <w:lang w:val="en-US" w:eastAsia="zh-CN" w:bidi="ar"/>
                    </w:rPr>
                    <w:t>/</w:t>
                  </w:r>
                </w:p>
              </w:tc>
            </w:tr>
            <w:tr w14:paraId="3CA2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18CAFF54">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二</w:t>
                  </w:r>
                </w:p>
              </w:tc>
              <w:tc>
                <w:tcPr>
                  <w:tcW w:w="3736" w:type="dxa"/>
                  <w:shd w:val="clear" w:color="auto" w:fill="auto"/>
                  <w:vAlign w:val="center"/>
                </w:tcPr>
                <w:p w14:paraId="233F325F">
                  <w:pPr>
                    <w:adjustRightInd w:val="0"/>
                    <w:snapToGrid w:val="0"/>
                    <w:jc w:val="center"/>
                    <w:rPr>
                      <w:rFonts w:ascii="Times New Roman" w:hAnsi="Times New Roman" w:eastAsia="宋体" w:cs="Times New Roman"/>
                      <w:color w:val="auto"/>
                      <w:szCs w:val="21"/>
                      <w:lang w:val="en-US" w:eastAsia="zh-CN"/>
                    </w:rPr>
                  </w:pPr>
                  <w:r>
                    <w:rPr>
                      <w:rFonts w:ascii="Times New Roman" w:hAnsi="Times New Roman" w:eastAsia="宋体" w:cs="Times New Roman"/>
                      <w:color w:val="auto"/>
                      <w:szCs w:val="21"/>
                    </w:rPr>
                    <w:t>严格生态环境准入，推动高质量发展。园区应结合区域资源禀赋、生态敏感特征、生态功能保护、自治区及鄂尔多斯市碳达峰目标约束等要求，坚持循环经济和能源高效利用理念，严格按照《内蒙古自治区工业园区审核公告目录》、产业政策、生态环境准入清单等要求及《报告书》产业发展推荐方案管理新入园项目，不得引进污染物排放量大、环境风险高的非主导产业项目。结合区域环境质量目标管理要求，统筹做好产业发展和生态环境保护工作，全面执行国家、自治区“两高”项目准入相关规定，合理规划煤化工、精细化工、新材料、资源综合利用、装备制造等发展规模和建设时序，重点延伸下游产业链条，落实“四水四定”及土地集约利用等要求，实现绿色发展、循环发展、低碳发展。</w:t>
                  </w:r>
                </w:p>
              </w:tc>
              <w:tc>
                <w:tcPr>
                  <w:tcW w:w="1981" w:type="dxa"/>
                  <w:vAlign w:val="center"/>
                </w:tcPr>
                <w:p w14:paraId="3555F0AF">
                  <w:pPr>
                    <w:adjustRightInd w:val="0"/>
                    <w:snapToGrid w:val="0"/>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本</w:t>
                  </w:r>
                  <w:r>
                    <w:rPr>
                      <w:rFonts w:hint="eastAsia" w:ascii="Times New Roman" w:hAnsi="Times New Roman" w:eastAsia="宋体" w:cs="Times New Roman"/>
                      <w:color w:val="auto"/>
                      <w:szCs w:val="21"/>
                    </w:rPr>
                    <w:t>项目位于鄂尔多斯市准格尔经济开发区大路产业园新能源科技产业基地范围内，项目用地为工业用地，属于新</w:t>
                  </w:r>
                  <w:r>
                    <w:rPr>
                      <w:rFonts w:hint="eastAsia" w:ascii="Times New Roman" w:hAnsi="Times New Roman" w:eastAsia="宋体" w:cs="Times New Roman"/>
                      <w:color w:val="auto"/>
                      <w:szCs w:val="21"/>
                      <w:lang w:val="en-US" w:eastAsia="zh-CN"/>
                    </w:rPr>
                    <w:t>材料</w:t>
                  </w:r>
                  <w:r>
                    <w:rPr>
                      <w:rFonts w:hint="eastAsia" w:ascii="Times New Roman" w:hAnsi="Times New Roman" w:eastAsia="宋体" w:cs="Times New Roman"/>
                      <w:color w:val="auto"/>
                      <w:szCs w:val="21"/>
                    </w:rPr>
                    <w:t>产业，符合园区主要产业定位，符合园区总体规划</w:t>
                  </w:r>
                  <w:r>
                    <w:rPr>
                      <w:rFonts w:hint="eastAsia" w:ascii="Times New Roman" w:hAnsi="Times New Roman" w:eastAsia="宋体" w:cs="Times New Roman"/>
                      <w:color w:val="auto"/>
                      <w:szCs w:val="21"/>
                      <w:lang w:eastAsia="zh-CN"/>
                    </w:rPr>
                    <w:t>。</w:t>
                  </w:r>
                </w:p>
              </w:tc>
              <w:tc>
                <w:tcPr>
                  <w:tcW w:w="690" w:type="dxa"/>
                  <w:vAlign w:val="center"/>
                </w:tcPr>
                <w:p w14:paraId="59930606">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14:paraId="5A33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4CE3ADF4">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三</w:t>
                  </w:r>
                </w:p>
              </w:tc>
              <w:tc>
                <w:tcPr>
                  <w:tcW w:w="3736" w:type="dxa"/>
                  <w:shd w:val="clear" w:color="auto" w:fill="auto"/>
                  <w:vAlign w:val="center"/>
                </w:tcPr>
                <w:p w14:paraId="7D5A15E1">
                  <w:pPr>
                    <w:adjustRightInd w:val="0"/>
                    <w:snapToGrid w:val="0"/>
                    <w:jc w:val="center"/>
                    <w:rPr>
                      <w:rFonts w:ascii="Times New Roman" w:hAnsi="Times New Roman" w:eastAsia="宋体" w:cs="Times New Roman"/>
                      <w:color w:val="auto"/>
                      <w:szCs w:val="21"/>
                      <w:lang w:val="en-US" w:eastAsia="zh-CN"/>
                    </w:rPr>
                  </w:pPr>
                  <w:r>
                    <w:rPr>
                      <w:rFonts w:ascii="Times New Roman" w:hAnsi="Times New Roman" w:eastAsia="宋体" w:cs="Times New Roman"/>
                      <w:color w:val="auto"/>
                      <w:szCs w:val="21"/>
                    </w:rPr>
                    <w:t>严格空间管控，优化产业布局。按照相关要求做好规划控制和防护带建设，园区与城区、黄河岸线及支流等环境敏感区之间应设置足够距离的隔离带并合理优化邻近区域产业布局，确保园区产业发展与生态环境、人居环境相协调。环境风险较高区块应向外设置一定的空间防护区并做好规划控制，有效防范环境污染和事故风险。配合准格尔旗人民政府及其有关部门做好园区及周边区域的国土空间规划和优化调整，发现不符合管控</w:t>
                  </w:r>
                  <w:r>
                    <w:rPr>
                      <w:rFonts w:hint="eastAsia" w:ascii="Times New Roman" w:hAnsi="Times New Roman" w:eastAsia="宋体" w:cs="Times New Roman"/>
                      <w:color w:val="auto"/>
                      <w:szCs w:val="21"/>
                    </w:rPr>
                    <w:t>要求</w:t>
                  </w:r>
                  <w:r>
                    <w:rPr>
                      <w:rFonts w:ascii="Times New Roman" w:hAnsi="Times New Roman" w:eastAsia="宋体" w:cs="Times New Roman"/>
                      <w:color w:val="auto"/>
                      <w:szCs w:val="21"/>
                    </w:rPr>
                    <w:t>的相关行为，应及时向准格尔旗人民政府报告。加强土壤污染重点企业监管，开展腾退企业遗留场地的土壤环境调查和风险评估，合理确定土地利用方式。</w:t>
                  </w:r>
                </w:p>
              </w:tc>
              <w:tc>
                <w:tcPr>
                  <w:tcW w:w="1981" w:type="dxa"/>
                  <w:vAlign w:val="center"/>
                </w:tcPr>
                <w:p w14:paraId="613B67C8">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本项目租用鄂尔多斯市准格尔内蒙古自治区鄂尔多斯市准格尔旗经济开发区大路产业园新能源基地已建空置的标准化厂房，不新增占地。</w:t>
                  </w:r>
                </w:p>
              </w:tc>
              <w:tc>
                <w:tcPr>
                  <w:tcW w:w="690" w:type="dxa"/>
                  <w:vAlign w:val="center"/>
                </w:tcPr>
                <w:p w14:paraId="4F749953">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14:paraId="7707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19BDA8DB">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四</w:t>
                  </w:r>
                </w:p>
              </w:tc>
              <w:tc>
                <w:tcPr>
                  <w:tcW w:w="3736" w:type="dxa"/>
                  <w:shd w:val="clear" w:color="auto" w:fill="auto"/>
                  <w:vAlign w:val="center"/>
                </w:tcPr>
                <w:p w14:paraId="04D3471A">
                  <w:pPr>
                    <w:adjustRightInd w:val="0"/>
                    <w:snapToGrid w:val="0"/>
                    <w:rPr>
                      <w:rFonts w:hint="eastAsia" w:ascii="Times New Roman" w:hAnsi="Times New Roman" w:eastAsia="宋体" w:cs="Times New Roman"/>
                      <w:color w:val="auto"/>
                      <w:kern w:val="2"/>
                      <w:sz w:val="21"/>
                      <w:szCs w:val="21"/>
                      <w:lang w:val="zh-TW" w:eastAsia="zh-TW" w:bidi="ar-SA"/>
                    </w:rPr>
                  </w:pPr>
                  <w:r>
                    <w:rPr>
                      <w:color w:val="auto"/>
                      <w:szCs w:val="21"/>
                      <w:lang w:val="zh-TW" w:eastAsia="zh-TW"/>
                    </w:rPr>
                    <w:t>严守环境质量底线，强化污染物排放总量管控。根据国家、自治区和鄂尔多斯市关于大气、水、土壤、挥发性有机物污染防治相关要求，落实与区域环境空气质量改善目标相匹配的区域削减措施，强化主要污染物总量管控，推动重点行业按照大气污染物超低排放或者特别排放限值进行建设或改造升级，持续减少主要污染物、挥发性有机物等有组织和无组织排放量，保障区域环境质量改善。</w:t>
                  </w:r>
                </w:p>
              </w:tc>
              <w:tc>
                <w:tcPr>
                  <w:tcW w:w="1981" w:type="dxa"/>
                  <w:vAlign w:val="center"/>
                </w:tcPr>
                <w:p w14:paraId="1A9DA45C">
                  <w:pPr>
                    <w:widowControl/>
                    <w:jc w:val="center"/>
                    <w:rPr>
                      <w:rFonts w:hint="eastAsia" w:ascii="宋体" w:hAnsi="宋体" w:eastAsia="宋体" w:cs="宋体"/>
                      <w:color w:val="auto"/>
                      <w:kern w:val="0"/>
                      <w:szCs w:val="21"/>
                      <w:lang w:eastAsia="zh-CN" w:bidi="ar"/>
                    </w:rPr>
                  </w:pPr>
                  <w:r>
                    <w:rPr>
                      <w:rFonts w:hint="eastAsia" w:ascii="宋体" w:hAnsi="宋体" w:cs="宋体"/>
                      <w:color w:val="auto"/>
                      <w:kern w:val="0"/>
                      <w:szCs w:val="21"/>
                      <w:lang w:bidi="ar"/>
                    </w:rPr>
                    <w:t>项目区总体环境现状符合环境功能区划要求，产生的废气、噪声等，在采取相应的污染 防治措施后，均能够达标排放，固废均得到妥善处置，对项目周边环境影响较小</w:t>
                  </w:r>
                  <w:r>
                    <w:rPr>
                      <w:rFonts w:hint="eastAsia" w:ascii="宋体" w:hAnsi="宋体" w:cs="宋体"/>
                      <w:color w:val="auto"/>
                      <w:kern w:val="0"/>
                      <w:szCs w:val="21"/>
                      <w:lang w:eastAsia="zh-CN" w:bidi="ar"/>
                    </w:rPr>
                    <w:t>。</w:t>
                  </w:r>
                </w:p>
              </w:tc>
              <w:tc>
                <w:tcPr>
                  <w:tcW w:w="690" w:type="dxa"/>
                  <w:vAlign w:val="center"/>
                </w:tcPr>
                <w:p w14:paraId="1B7F7BE9">
                  <w:pPr>
                    <w:autoSpaceDE w:val="0"/>
                    <w:autoSpaceDN w:val="0"/>
                    <w:adjustRightInd w:val="0"/>
                    <w:snapToGrid w:val="0"/>
                    <w:jc w:val="center"/>
                    <w:rPr>
                      <w:rFonts w:hint="eastAsia" w:eastAsia="宋体"/>
                      <w:color w:val="auto"/>
                      <w:kern w:val="0"/>
                      <w:szCs w:val="21"/>
                      <w:lang w:val="en-US" w:eastAsia="zh-CN" w:bidi="ar"/>
                    </w:rPr>
                  </w:pPr>
                  <w:r>
                    <w:rPr>
                      <w:rFonts w:hint="eastAsia"/>
                      <w:color w:val="auto"/>
                      <w:kern w:val="0"/>
                      <w:szCs w:val="21"/>
                      <w:lang w:val="en-US" w:eastAsia="zh-CN" w:bidi="ar"/>
                    </w:rPr>
                    <w:t>符合</w:t>
                  </w:r>
                </w:p>
              </w:tc>
            </w:tr>
            <w:tr w14:paraId="44E4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19AEEB4B">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五</w:t>
                  </w:r>
                </w:p>
              </w:tc>
              <w:tc>
                <w:tcPr>
                  <w:tcW w:w="3736" w:type="dxa"/>
                  <w:shd w:val="clear" w:color="auto" w:fill="auto"/>
                  <w:vAlign w:val="center"/>
                </w:tcPr>
                <w:p w14:paraId="30F9E826">
                  <w:pPr>
                    <w:adjustRightInd w:val="0"/>
                    <w:snapToGrid w:val="0"/>
                    <w:rPr>
                      <w:rFonts w:hint="eastAsia" w:ascii="Times New Roman" w:hAnsi="Times New Roman" w:eastAsia="宋体" w:cs="Times New Roman"/>
                      <w:color w:val="auto"/>
                      <w:kern w:val="2"/>
                      <w:sz w:val="21"/>
                      <w:szCs w:val="21"/>
                      <w:lang w:val="zh-TW" w:eastAsia="zh-TW" w:bidi="ar-SA"/>
                    </w:rPr>
                  </w:pPr>
                  <w:r>
                    <w:rPr>
                      <w:color w:val="auto"/>
                      <w:szCs w:val="21"/>
                      <w:lang w:val="zh-TW" w:eastAsia="zh-TW"/>
                    </w:rPr>
                    <w:t>加强环境基础设施建设，推进污染集中治理。强化企业生产废水预处理，化工企业应建设规范的雨水收集系统，实现化工废水专业化集中处理及专管或明管输送。合理规划园区污水集中处理设施及配套管网，统筹制定园区废水处理和综合利用总体方案并做好落实，实现园区生产废水、雨水、非正常状况事故废水等全部利用。建设足够处理能力的园区高盐水处置工程，加快完成晾晒池改园区事故水池相关工作。因地制宜利用集中供热或清洁能源实现供热、供汽，禁止新建35吨/小时以下燃煤锅炉。组织企业开展大宗工业固废资源化利用科学研究、技术开发和先进技术推广，切实提高综合利用水平，暂时无法综合利用的须规范贮存、处置。强化企业的危险废物鉴别主体责任，对园区各类危废实施严格监管和严密监控，实现全过程安全妥善处置。园区煤炭、矿石等大宗货物中长距离运输原则上采用铁路方式，短距离运输优先采用封闭式皮带廊道、管道或新能源车。</w:t>
                  </w:r>
                </w:p>
              </w:tc>
              <w:tc>
                <w:tcPr>
                  <w:tcW w:w="1981" w:type="dxa"/>
                  <w:shd w:val="clear" w:color="auto" w:fill="auto"/>
                  <w:vAlign w:val="center"/>
                </w:tcPr>
                <w:p w14:paraId="18E550F8">
                  <w:pPr>
                    <w:pStyle w:val="47"/>
                    <w:spacing w:before="29" w:line="250" w:lineRule="auto"/>
                    <w:ind w:left="114" w:leftChars="0" w:right="91" w:rightChars="0" w:firstLine="4" w:firstLineChars="0"/>
                    <w:jc w:val="center"/>
                    <w:rPr>
                      <w:rFonts w:hint="eastAsia" w:ascii="宋体" w:hAnsi="宋体" w:eastAsia="宋体" w:cs="宋体"/>
                      <w:color w:val="auto"/>
                      <w:kern w:val="2"/>
                      <w:sz w:val="20"/>
                      <w:szCs w:val="20"/>
                      <w:lang w:val="en-US" w:eastAsia="zh-CN" w:bidi="ar-SA"/>
                    </w:rPr>
                  </w:pPr>
                  <w:r>
                    <w:rPr>
                      <w:rFonts w:ascii="Times New Roman" w:hAnsi="Times New Roman" w:eastAsia="宋体" w:cs="Times New Roman"/>
                      <w:color w:val="auto"/>
                      <w:kern w:val="2"/>
                      <w:sz w:val="21"/>
                      <w:szCs w:val="21"/>
                      <w:lang w:val="zh-TW" w:eastAsia="zh-TW" w:bidi="ar-SA"/>
                    </w:rPr>
                    <w:t>项目生活污水经</w:t>
                  </w:r>
                  <w:r>
                    <w:rPr>
                      <w:rFonts w:hint="eastAsia" w:ascii="Times New Roman" w:hAnsi="Times New Roman" w:cs="Times New Roman"/>
                      <w:color w:val="auto"/>
                      <w:kern w:val="2"/>
                      <w:sz w:val="21"/>
                      <w:szCs w:val="21"/>
                      <w:lang w:val="zh-TW" w:eastAsia="zh-CN" w:bidi="ar-SA"/>
                    </w:rPr>
                    <w:t>园区化粪池</w:t>
                  </w:r>
                  <w:r>
                    <w:rPr>
                      <w:rFonts w:ascii="Times New Roman" w:hAnsi="Times New Roman" w:eastAsia="宋体" w:cs="Times New Roman"/>
                      <w:color w:val="auto"/>
                      <w:kern w:val="2"/>
                      <w:sz w:val="21"/>
                      <w:szCs w:val="21"/>
                      <w:lang w:val="zh-TW" w:eastAsia="zh-TW" w:bidi="ar-SA"/>
                    </w:rPr>
                    <w:t>处理后，接管排入</w:t>
                  </w:r>
                  <w:r>
                    <w:rPr>
                      <w:rFonts w:hint="eastAsia" w:ascii="Times New Roman" w:hAnsi="Times New Roman" w:cs="Times New Roman"/>
                      <w:color w:val="auto"/>
                      <w:kern w:val="2"/>
                      <w:sz w:val="21"/>
                      <w:szCs w:val="21"/>
                      <w:lang w:val="zh-TW" w:eastAsia="zh-CN" w:bidi="ar-SA"/>
                    </w:rPr>
                    <w:t>内蒙古天河水务有限公司</w:t>
                  </w:r>
                  <w:r>
                    <w:rPr>
                      <w:rFonts w:ascii="Times New Roman" w:hAnsi="Times New Roman" w:eastAsia="宋体" w:cs="Times New Roman"/>
                      <w:color w:val="auto"/>
                      <w:kern w:val="2"/>
                      <w:sz w:val="21"/>
                      <w:szCs w:val="21"/>
                      <w:lang w:val="zh-TW" w:eastAsia="zh-TW" w:bidi="ar-SA"/>
                    </w:rPr>
                    <w:t>进一步处理。项目一般固废和危废都得到妥善处理；不建设燃煤锅炉，</w:t>
                  </w:r>
                  <w:r>
                    <w:rPr>
                      <w:rFonts w:hint="eastAsia" w:ascii="Times New Roman" w:hAnsi="Times New Roman" w:eastAsia="宋体" w:cs="Times New Roman"/>
                      <w:color w:val="auto"/>
                      <w:kern w:val="2"/>
                      <w:sz w:val="21"/>
                      <w:szCs w:val="21"/>
                      <w:lang w:val="zh-TW" w:eastAsia="zh-TW" w:bidi="ar-SA"/>
                    </w:rPr>
                    <w:t>供热</w:t>
                  </w:r>
                  <w:r>
                    <w:rPr>
                      <w:rFonts w:hint="eastAsia" w:ascii="Times New Roman" w:hAnsi="Times New Roman" w:cs="Times New Roman"/>
                      <w:color w:val="auto"/>
                      <w:kern w:val="2"/>
                      <w:sz w:val="21"/>
                      <w:szCs w:val="21"/>
                      <w:lang w:val="en-US" w:eastAsia="zh-CN" w:bidi="ar-SA"/>
                    </w:rPr>
                    <w:t>由</w:t>
                  </w:r>
                  <w:r>
                    <w:rPr>
                      <w:rFonts w:hint="eastAsia" w:ascii="Times New Roman" w:hAnsi="Times New Roman" w:eastAsia="宋体" w:cs="Times New Roman"/>
                      <w:color w:val="auto"/>
                      <w:kern w:val="2"/>
                      <w:sz w:val="21"/>
                      <w:szCs w:val="21"/>
                      <w:lang w:val="en-US" w:eastAsia="zh-CN" w:bidi="ar-SA"/>
                    </w:rPr>
                    <w:t>园区统一供热</w:t>
                  </w:r>
                  <w:r>
                    <w:rPr>
                      <w:rFonts w:hint="eastAsia" w:ascii="Times New Roman" w:hAnsi="Times New Roman" w:cs="Times New Roman"/>
                      <w:color w:val="auto"/>
                      <w:kern w:val="2"/>
                      <w:sz w:val="21"/>
                      <w:szCs w:val="21"/>
                      <w:lang w:val="en-US" w:eastAsia="zh-CN" w:bidi="ar-SA"/>
                    </w:rPr>
                    <w:t>；</w:t>
                  </w:r>
                  <w:r>
                    <w:rPr>
                      <w:rFonts w:ascii="Times New Roman" w:hAnsi="Times New Roman" w:eastAsia="宋体" w:cs="Times New Roman"/>
                      <w:color w:val="auto"/>
                      <w:kern w:val="2"/>
                      <w:sz w:val="21"/>
                      <w:szCs w:val="21"/>
                      <w:lang w:val="zh-TW" w:eastAsia="zh-TW" w:bidi="ar-SA"/>
                    </w:rPr>
                    <w:t>不涉及大宗货物</w:t>
                  </w:r>
                  <w:r>
                    <w:rPr>
                      <w:rFonts w:hint="eastAsia" w:ascii="Times New Roman" w:hAnsi="Times New Roman" w:eastAsia="宋体" w:cs="Times New Roman"/>
                      <w:color w:val="auto"/>
                      <w:kern w:val="2"/>
                      <w:sz w:val="21"/>
                      <w:szCs w:val="21"/>
                      <w:lang w:val="en-US" w:eastAsia="zh-CN" w:bidi="ar-SA"/>
                    </w:rPr>
                    <w:t>固废及</w:t>
                  </w:r>
                  <w:r>
                    <w:rPr>
                      <w:rFonts w:ascii="Times New Roman" w:hAnsi="Times New Roman" w:eastAsia="宋体" w:cs="Times New Roman"/>
                      <w:color w:val="auto"/>
                      <w:kern w:val="2"/>
                      <w:sz w:val="21"/>
                      <w:szCs w:val="21"/>
                      <w:lang w:val="zh-TW" w:eastAsia="zh-TW" w:bidi="ar-SA"/>
                    </w:rPr>
                    <w:t>运输</w:t>
                  </w:r>
                  <w:r>
                    <w:rPr>
                      <w:rFonts w:hint="eastAsia" w:ascii="Times New Roman" w:hAnsi="Times New Roman" w:eastAsia="宋体" w:cs="Times New Roman"/>
                      <w:color w:val="auto"/>
                      <w:kern w:val="2"/>
                      <w:sz w:val="21"/>
                      <w:szCs w:val="21"/>
                      <w:lang w:val="zh-TW" w:eastAsia="zh-CN" w:bidi="ar-SA"/>
                    </w:rPr>
                    <w:t>。</w:t>
                  </w:r>
                </w:p>
              </w:tc>
              <w:tc>
                <w:tcPr>
                  <w:tcW w:w="690" w:type="dxa"/>
                  <w:shd w:val="clear" w:color="auto" w:fill="auto"/>
                  <w:vAlign w:val="top"/>
                </w:tcPr>
                <w:p w14:paraId="64840FD8">
                  <w:pPr>
                    <w:spacing w:line="247" w:lineRule="auto"/>
                    <w:rPr>
                      <w:rFonts w:ascii="Arial"/>
                      <w:color w:val="auto"/>
                      <w:sz w:val="21"/>
                    </w:rPr>
                  </w:pPr>
                </w:p>
                <w:p w14:paraId="69A49D7F">
                  <w:pPr>
                    <w:spacing w:line="247" w:lineRule="auto"/>
                    <w:rPr>
                      <w:rFonts w:ascii="Arial"/>
                      <w:color w:val="auto"/>
                      <w:sz w:val="21"/>
                    </w:rPr>
                  </w:pPr>
                </w:p>
                <w:p w14:paraId="520C10B7">
                  <w:pPr>
                    <w:spacing w:line="247" w:lineRule="auto"/>
                    <w:rPr>
                      <w:rFonts w:ascii="Arial"/>
                      <w:color w:val="auto"/>
                      <w:sz w:val="21"/>
                    </w:rPr>
                  </w:pPr>
                </w:p>
                <w:p w14:paraId="20BF382B">
                  <w:pPr>
                    <w:spacing w:line="247" w:lineRule="auto"/>
                    <w:rPr>
                      <w:rFonts w:ascii="Arial"/>
                      <w:color w:val="auto"/>
                      <w:sz w:val="21"/>
                    </w:rPr>
                  </w:pPr>
                </w:p>
                <w:p w14:paraId="19971E40">
                  <w:pPr>
                    <w:spacing w:line="247" w:lineRule="auto"/>
                    <w:rPr>
                      <w:rFonts w:ascii="Arial"/>
                      <w:color w:val="auto"/>
                      <w:sz w:val="21"/>
                    </w:rPr>
                  </w:pPr>
                </w:p>
                <w:p w14:paraId="568E02CF">
                  <w:pPr>
                    <w:spacing w:line="247" w:lineRule="auto"/>
                    <w:rPr>
                      <w:rFonts w:ascii="Arial"/>
                      <w:color w:val="auto"/>
                      <w:sz w:val="21"/>
                    </w:rPr>
                  </w:pPr>
                </w:p>
                <w:p w14:paraId="6338AC91">
                  <w:pPr>
                    <w:spacing w:line="247" w:lineRule="auto"/>
                    <w:rPr>
                      <w:rFonts w:ascii="Arial"/>
                      <w:color w:val="auto"/>
                      <w:sz w:val="21"/>
                    </w:rPr>
                  </w:pPr>
                </w:p>
                <w:p w14:paraId="020FB450">
                  <w:pPr>
                    <w:spacing w:line="247" w:lineRule="auto"/>
                    <w:rPr>
                      <w:rFonts w:ascii="Arial"/>
                      <w:color w:val="auto"/>
                      <w:sz w:val="21"/>
                    </w:rPr>
                  </w:pPr>
                </w:p>
                <w:p w14:paraId="61AA1092">
                  <w:pPr>
                    <w:spacing w:line="247" w:lineRule="auto"/>
                    <w:rPr>
                      <w:rFonts w:ascii="Arial"/>
                      <w:color w:val="auto"/>
                      <w:sz w:val="21"/>
                    </w:rPr>
                  </w:pPr>
                </w:p>
                <w:p w14:paraId="0E70F827">
                  <w:pPr>
                    <w:spacing w:line="248" w:lineRule="auto"/>
                    <w:rPr>
                      <w:rFonts w:ascii="Arial"/>
                      <w:color w:val="auto"/>
                      <w:sz w:val="21"/>
                    </w:rPr>
                  </w:pPr>
                </w:p>
                <w:p w14:paraId="3B6DC47E">
                  <w:pPr>
                    <w:spacing w:line="248" w:lineRule="auto"/>
                    <w:rPr>
                      <w:rFonts w:ascii="Arial"/>
                      <w:color w:val="auto"/>
                      <w:sz w:val="21"/>
                    </w:rPr>
                  </w:pPr>
                </w:p>
                <w:p w14:paraId="045AB681">
                  <w:pPr>
                    <w:spacing w:line="248" w:lineRule="auto"/>
                    <w:rPr>
                      <w:rFonts w:ascii="Arial"/>
                      <w:color w:val="auto"/>
                      <w:sz w:val="21"/>
                    </w:rPr>
                  </w:pPr>
                </w:p>
                <w:p w14:paraId="3298A7BF">
                  <w:pPr>
                    <w:spacing w:line="248" w:lineRule="auto"/>
                    <w:rPr>
                      <w:rFonts w:ascii="Times New Roman" w:hAnsi="Times New Roman" w:eastAsia="宋体" w:cs="Times New Roman"/>
                      <w:color w:val="auto"/>
                      <w:kern w:val="2"/>
                      <w:sz w:val="21"/>
                      <w:szCs w:val="21"/>
                      <w:lang w:val="zh-TW" w:eastAsia="zh-TW" w:bidi="ar-SA"/>
                    </w:rPr>
                  </w:pPr>
                </w:p>
                <w:p w14:paraId="1A0BD1FB">
                  <w:pPr>
                    <w:pStyle w:val="47"/>
                    <w:spacing w:before="65" w:line="228" w:lineRule="auto"/>
                    <w:rPr>
                      <w:rFonts w:hint="eastAsia" w:ascii="宋体" w:hAnsi="宋体" w:eastAsia="宋体" w:cs="宋体"/>
                      <w:color w:val="auto"/>
                      <w:kern w:val="2"/>
                      <w:sz w:val="20"/>
                      <w:szCs w:val="20"/>
                      <w:lang w:val="en-US" w:eastAsia="en-US" w:bidi="ar-SA"/>
                    </w:rPr>
                  </w:pPr>
                  <w:r>
                    <w:rPr>
                      <w:rFonts w:ascii="Times New Roman" w:hAnsi="Times New Roman" w:eastAsia="宋体" w:cs="Times New Roman"/>
                      <w:color w:val="auto"/>
                      <w:kern w:val="2"/>
                      <w:sz w:val="21"/>
                      <w:szCs w:val="21"/>
                      <w:lang w:val="zh-TW" w:eastAsia="zh-TW" w:bidi="ar-SA"/>
                    </w:rPr>
                    <w:t>符合</w:t>
                  </w:r>
                </w:p>
              </w:tc>
            </w:tr>
            <w:tr w14:paraId="17AB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61D5CE5A">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六</w:t>
                  </w:r>
                </w:p>
              </w:tc>
              <w:tc>
                <w:tcPr>
                  <w:tcW w:w="3736" w:type="dxa"/>
                  <w:shd w:val="clear" w:color="auto" w:fill="auto"/>
                  <w:vAlign w:val="center"/>
                </w:tcPr>
                <w:p w14:paraId="76FAE13B">
                  <w:pPr>
                    <w:adjustRightInd w:val="0"/>
                    <w:snapToGrid w:val="0"/>
                    <w:rPr>
                      <w:rFonts w:hint="eastAsia" w:ascii="Times New Roman" w:hAnsi="Times New Roman" w:eastAsia="宋体" w:cs="Times New Roman"/>
                      <w:color w:val="auto"/>
                      <w:kern w:val="2"/>
                      <w:sz w:val="21"/>
                      <w:szCs w:val="21"/>
                      <w:lang w:val="zh-TW" w:eastAsia="zh-TW" w:bidi="ar-SA"/>
                    </w:rPr>
                  </w:pPr>
                  <w:r>
                    <w:rPr>
                      <w:color w:val="auto"/>
                      <w:szCs w:val="21"/>
                      <w:lang w:val="zh-TW" w:eastAsia="zh-TW"/>
                    </w:rPr>
                    <w:t>强化源头防控，有效防范环境污染和事故风险。按照国家、自治区化工园区建设和管理相关要求，切实强化园区突发环境事件应急处置能力建设，建立完善的环境风险防控和应急监测体系，强化应急演练和应急物资储备，不断提升应急响应能力，保障区域环境安全。入园企业按要求设置事故水池，并与园区事故水池联通形成综合调控系统，确保任何情况下园区事故废水不进入黄河及其支流。加强有毒有害大气污染物、水污染物环境治理，落实新污染物管控措施，按要求开展化工园区地下水环境质量状况详细调查及溯源分析，实施防泄漏、防渗漏、防流失等地下水污染防控，保障区域生态环境安全。</w:t>
                  </w:r>
                </w:p>
              </w:tc>
              <w:tc>
                <w:tcPr>
                  <w:tcW w:w="1981" w:type="dxa"/>
                  <w:vAlign w:val="center"/>
                </w:tcPr>
                <w:p w14:paraId="54304E29">
                  <w:pPr>
                    <w:pStyle w:val="6"/>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本项目租赁园区生产厂房和公辅工程，事故废水的收集处置均由园区统一规划收集处置，不另行建设事故池；</w:t>
                  </w:r>
                  <w:r>
                    <w:rPr>
                      <w:rFonts w:hint="eastAsia" w:ascii="Times New Roman" w:hAnsi="Times New Roman" w:eastAsia="宋体" w:cs="Times New Roman"/>
                      <w:color w:val="auto"/>
                      <w:kern w:val="2"/>
                      <w:sz w:val="21"/>
                      <w:szCs w:val="21"/>
                      <w:lang w:val="en-US" w:eastAsia="zh-CN" w:bidi="ar-SA"/>
                    </w:rPr>
                    <w:t>本次环评要求</w:t>
                  </w:r>
                  <w:r>
                    <w:rPr>
                      <w:rFonts w:ascii="Times New Roman" w:hAnsi="Times New Roman" w:eastAsia="宋体" w:cs="Times New Roman"/>
                      <w:color w:val="auto"/>
                      <w:kern w:val="2"/>
                      <w:sz w:val="21"/>
                      <w:szCs w:val="21"/>
                      <w:lang w:val="zh-TW" w:eastAsia="zh-TW" w:bidi="ar-SA"/>
                    </w:rPr>
                    <w:t>将严格执行各项环境风险防范措施，按照规定编制突发环境事件风险应急预案，配备熟悉安全操作技能和应急处理措施的专业技术人员，</w:t>
                  </w:r>
                  <w:r>
                    <w:rPr>
                      <w:rFonts w:hint="eastAsia" w:ascii="Times New Roman" w:hAnsi="Times New Roman" w:eastAsia="宋体" w:cs="Times New Roman"/>
                      <w:color w:val="auto"/>
                      <w:kern w:val="2"/>
                      <w:sz w:val="21"/>
                      <w:szCs w:val="21"/>
                      <w:lang w:val="en-US" w:eastAsia="zh-CN" w:bidi="ar-SA"/>
                    </w:rPr>
                    <w:t>确</w:t>
                  </w:r>
                  <w:r>
                    <w:rPr>
                      <w:rFonts w:ascii="Times New Roman" w:hAnsi="Times New Roman" w:eastAsia="宋体" w:cs="Times New Roman"/>
                      <w:color w:val="auto"/>
                      <w:kern w:val="2"/>
                      <w:sz w:val="21"/>
                      <w:szCs w:val="21"/>
                      <w:lang w:val="zh-TW" w:eastAsia="zh-TW" w:bidi="ar-SA"/>
                    </w:rPr>
                    <w:t>保项目生产安全，最大限度降低环境风险。</w:t>
                  </w:r>
                </w:p>
              </w:tc>
              <w:tc>
                <w:tcPr>
                  <w:tcW w:w="690" w:type="dxa"/>
                  <w:vAlign w:val="center"/>
                </w:tcPr>
                <w:p w14:paraId="7CCBDA96">
                  <w:pPr>
                    <w:autoSpaceDE w:val="0"/>
                    <w:autoSpaceDN w:val="0"/>
                    <w:adjustRightInd w:val="0"/>
                    <w:snapToGrid w:val="0"/>
                    <w:jc w:val="center"/>
                    <w:rPr>
                      <w:rFonts w:hint="eastAsia" w:eastAsia="宋体"/>
                      <w:color w:val="auto"/>
                      <w:kern w:val="0"/>
                      <w:szCs w:val="21"/>
                      <w:lang w:val="en-US" w:eastAsia="zh-CN" w:bidi="ar"/>
                    </w:rPr>
                  </w:pPr>
                  <w:r>
                    <w:rPr>
                      <w:rFonts w:hint="eastAsia"/>
                      <w:color w:val="auto"/>
                      <w:kern w:val="0"/>
                      <w:szCs w:val="21"/>
                      <w:lang w:val="en-US" w:eastAsia="zh-CN" w:bidi="ar"/>
                    </w:rPr>
                    <w:t>符合</w:t>
                  </w:r>
                </w:p>
              </w:tc>
            </w:tr>
            <w:tr w14:paraId="43B3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0CB13636">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七</w:t>
                  </w:r>
                </w:p>
              </w:tc>
              <w:tc>
                <w:tcPr>
                  <w:tcW w:w="3736" w:type="dxa"/>
                  <w:shd w:val="clear" w:color="auto" w:fill="auto"/>
                  <w:vAlign w:val="center"/>
                </w:tcPr>
                <w:p w14:paraId="309F458A">
                  <w:pPr>
                    <w:adjustRightInd w:val="0"/>
                    <w:snapToGrid w:val="0"/>
                    <w:rPr>
                      <w:rFonts w:hint="eastAsia" w:ascii="Times New Roman" w:hAnsi="Times New Roman" w:eastAsia="宋体" w:cs="Times New Roman"/>
                      <w:color w:val="auto"/>
                      <w:kern w:val="2"/>
                      <w:sz w:val="21"/>
                      <w:szCs w:val="21"/>
                      <w:lang w:val="zh-TW" w:eastAsia="zh-TW" w:bidi="ar-SA"/>
                    </w:rPr>
                  </w:pPr>
                  <w:r>
                    <w:rPr>
                      <w:color w:val="auto"/>
                      <w:szCs w:val="21"/>
                      <w:lang w:val="zh-TW" w:eastAsia="zh-TW"/>
                    </w:rPr>
                    <w:t>加强环境监管及日常环境质量监测。园区应建立完善的环境监测计划，开展包括常规污染物、特征污染物、挥发性有机物等在内的环境空气、地下水、土壤、生态系统等环境质量监测工作，实现长期监测与有效监控。重点企业排污口要设置在线监测系统并与生态环境部门联网。</w:t>
                  </w:r>
                </w:p>
              </w:tc>
              <w:tc>
                <w:tcPr>
                  <w:tcW w:w="1981" w:type="dxa"/>
                  <w:shd w:val="clear" w:color="auto" w:fill="auto"/>
                  <w:vAlign w:val="center"/>
                </w:tcPr>
                <w:p w14:paraId="76D4AB51">
                  <w:pPr>
                    <w:adjustRightInd w:val="0"/>
                    <w:snapToGrid w:val="0"/>
                    <w:jc w:val="center"/>
                    <w:rPr>
                      <w:rFonts w:hint="eastAsia" w:ascii="Times New Roman" w:hAnsi="Times New Roman" w:eastAsia="宋体" w:cs="Times New Roman"/>
                      <w:color w:val="auto"/>
                      <w:sz w:val="21"/>
                      <w:szCs w:val="21"/>
                      <w:lang w:val="en-US" w:eastAsia="en-US"/>
                    </w:rPr>
                  </w:pPr>
                  <w:r>
                    <w:rPr>
                      <w:rFonts w:hint="eastAsia" w:ascii="Times New Roman" w:hAnsi="Times New Roman" w:eastAsia="宋体" w:cs="Times New Roman"/>
                      <w:color w:val="auto"/>
                      <w:kern w:val="2"/>
                      <w:sz w:val="21"/>
                      <w:szCs w:val="21"/>
                      <w:lang w:val="en-US" w:eastAsia="zh-CN" w:bidi="ar-SA"/>
                    </w:rPr>
                    <w:t>本次环评要求</w:t>
                  </w:r>
                  <w:r>
                    <w:rPr>
                      <w:rFonts w:ascii="Times New Roman" w:hAnsi="Times New Roman" w:eastAsia="宋体" w:cs="Times New Roman"/>
                      <w:color w:val="auto"/>
                      <w:sz w:val="21"/>
                      <w:szCs w:val="21"/>
                      <w:lang w:val="zh-TW" w:eastAsia="zh-TW"/>
                    </w:rPr>
                    <w:t>企业在运营期建立齐备的环境管理机构，并按环评拟定的环境监测计划定期开展自行监测。</w:t>
                  </w:r>
                </w:p>
              </w:tc>
              <w:tc>
                <w:tcPr>
                  <w:tcW w:w="690" w:type="dxa"/>
                  <w:shd w:val="clear" w:color="auto" w:fill="auto"/>
                  <w:vAlign w:val="top"/>
                </w:tcPr>
                <w:p w14:paraId="57E76D05">
                  <w:pPr>
                    <w:spacing w:line="320" w:lineRule="auto"/>
                    <w:rPr>
                      <w:rFonts w:ascii="Arial"/>
                      <w:color w:val="auto"/>
                      <w:sz w:val="21"/>
                    </w:rPr>
                  </w:pPr>
                </w:p>
                <w:p w14:paraId="6D507BD0">
                  <w:pPr>
                    <w:spacing w:line="321" w:lineRule="auto"/>
                    <w:rPr>
                      <w:rFonts w:ascii="Arial"/>
                      <w:color w:val="auto"/>
                      <w:sz w:val="21"/>
                    </w:rPr>
                  </w:pPr>
                </w:p>
                <w:p w14:paraId="63B85923">
                  <w:pPr>
                    <w:pStyle w:val="47"/>
                    <w:spacing w:before="65" w:line="228" w:lineRule="auto"/>
                    <w:rPr>
                      <w:rFonts w:hint="eastAsia" w:ascii="宋体" w:hAnsi="宋体" w:eastAsia="宋体" w:cs="宋体"/>
                      <w:color w:val="auto"/>
                      <w:kern w:val="2"/>
                      <w:sz w:val="20"/>
                      <w:szCs w:val="20"/>
                      <w:lang w:val="en-US" w:eastAsia="en-US" w:bidi="ar-SA"/>
                    </w:rPr>
                  </w:pPr>
                  <w:r>
                    <w:rPr>
                      <w:color w:val="auto"/>
                      <w:spacing w:val="3"/>
                      <w:sz w:val="20"/>
                      <w:szCs w:val="20"/>
                    </w:rPr>
                    <w:t>符合</w:t>
                  </w:r>
                </w:p>
              </w:tc>
            </w:tr>
            <w:tr w14:paraId="1D65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624" w:type="dxa"/>
                  <w:shd w:val="clear" w:color="auto" w:fill="auto"/>
                  <w:vAlign w:val="center"/>
                </w:tcPr>
                <w:p w14:paraId="1F9F3574">
                  <w:pPr>
                    <w:adjustRightInd w:val="0"/>
                    <w:snapToGrid w:val="0"/>
                    <w:jc w:val="center"/>
                    <w:rPr>
                      <w:rFonts w:ascii="Times New Roman" w:hAnsi="Times New Roman" w:eastAsia="宋体" w:cs="Times New Roman"/>
                      <w:color w:val="auto"/>
                      <w:kern w:val="2"/>
                      <w:sz w:val="21"/>
                      <w:szCs w:val="21"/>
                      <w:lang w:val="en-US" w:eastAsia="zh-CN" w:bidi="ar-SA"/>
                    </w:rPr>
                  </w:pPr>
                  <w:r>
                    <w:rPr>
                      <w:color w:val="auto"/>
                      <w:szCs w:val="21"/>
                    </w:rPr>
                    <w:t>八</w:t>
                  </w:r>
                </w:p>
              </w:tc>
              <w:tc>
                <w:tcPr>
                  <w:tcW w:w="3736" w:type="dxa"/>
                  <w:shd w:val="clear" w:color="auto" w:fill="auto"/>
                  <w:vAlign w:val="center"/>
                </w:tcPr>
                <w:p w14:paraId="2C097FE7">
                  <w:pPr>
                    <w:adjustRightInd w:val="0"/>
                    <w:snapToGrid w:val="0"/>
                    <w:rPr>
                      <w:rFonts w:hint="eastAsia" w:ascii="Times New Roman" w:hAnsi="Times New Roman" w:eastAsia="宋体" w:cs="Times New Roman"/>
                      <w:color w:val="auto"/>
                      <w:kern w:val="2"/>
                      <w:sz w:val="21"/>
                      <w:szCs w:val="21"/>
                      <w:lang w:val="zh-TW" w:eastAsia="zh-TW" w:bidi="ar-SA"/>
                    </w:rPr>
                  </w:pPr>
                  <w:r>
                    <w:rPr>
                      <w:color w:val="auto"/>
                      <w:szCs w:val="21"/>
                      <w:lang w:val="zh-TW" w:eastAsia="zh-TW"/>
                    </w:rPr>
                    <w:t>总体规划实施对环境产生重大影响时，应当及时组织环境影响的跟踪评价。对规划所包含的建设项目，在开展环境影响评价时，应重点分析污染防治措施和环境风险防控措施的可行性、可靠性，规划协调性分析、环境现状等工作内容可适当简化。</w:t>
                  </w:r>
                </w:p>
              </w:tc>
              <w:tc>
                <w:tcPr>
                  <w:tcW w:w="1981" w:type="dxa"/>
                  <w:vAlign w:val="center"/>
                </w:tcPr>
                <w:p w14:paraId="4E8707EF">
                  <w:pPr>
                    <w:widowControl/>
                    <w:jc w:val="center"/>
                    <w:rPr>
                      <w:rFonts w:hint="default"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w:t>
                  </w:r>
                </w:p>
              </w:tc>
              <w:tc>
                <w:tcPr>
                  <w:tcW w:w="690" w:type="dxa"/>
                  <w:vAlign w:val="center"/>
                </w:tcPr>
                <w:p w14:paraId="7A1C7003">
                  <w:pPr>
                    <w:autoSpaceDE w:val="0"/>
                    <w:autoSpaceDN w:val="0"/>
                    <w:adjustRightInd w:val="0"/>
                    <w:snapToGrid w:val="0"/>
                    <w:jc w:val="center"/>
                    <w:rPr>
                      <w:rFonts w:hint="eastAsia" w:eastAsia="宋体"/>
                      <w:color w:val="auto"/>
                      <w:kern w:val="0"/>
                      <w:szCs w:val="21"/>
                      <w:lang w:val="en-US" w:eastAsia="zh-CN" w:bidi="ar"/>
                    </w:rPr>
                  </w:pPr>
                  <w:r>
                    <w:rPr>
                      <w:rFonts w:hint="eastAsia"/>
                      <w:color w:val="auto"/>
                      <w:kern w:val="0"/>
                      <w:szCs w:val="21"/>
                      <w:lang w:val="en-US" w:eastAsia="zh-CN" w:bidi="ar"/>
                    </w:rPr>
                    <w:t>/</w:t>
                  </w:r>
                </w:p>
              </w:tc>
            </w:tr>
          </w:tbl>
          <w:p w14:paraId="4C75E015">
            <w:pPr>
              <w:spacing w:line="360" w:lineRule="auto"/>
              <w:ind w:firstLine="480" w:firstLineChars="200"/>
              <w:jc w:val="left"/>
              <w:rPr>
                <w:rFonts w:hint="eastAsia"/>
                <w:color w:val="auto"/>
                <w:kern w:val="0"/>
                <w:sz w:val="24"/>
              </w:rPr>
            </w:pPr>
            <w:r>
              <w:rPr>
                <w:rFonts w:hint="eastAsia"/>
                <w:color w:val="auto"/>
                <w:kern w:val="0"/>
                <w:sz w:val="24"/>
              </w:rPr>
              <w:t>根据以上与园区规划环评审查意见符合性分析可知，本项目符合园区规划环评审查意见的要求。</w:t>
            </w:r>
          </w:p>
        </w:tc>
      </w:tr>
      <w:tr w14:paraId="73AF26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1" w:hRule="atLeast"/>
          <w:jc w:val="center"/>
        </w:trPr>
        <w:tc>
          <w:tcPr>
            <w:tcW w:w="1731" w:type="dxa"/>
            <w:vAlign w:val="center"/>
          </w:tcPr>
          <w:p w14:paraId="610651E1">
            <w:pPr>
              <w:autoSpaceDE w:val="0"/>
              <w:autoSpaceDN w:val="0"/>
              <w:adjustRightInd w:val="0"/>
              <w:snapToGrid w:val="0"/>
              <w:jc w:val="center"/>
              <w:rPr>
                <w:color w:val="auto"/>
                <w:kern w:val="0"/>
                <w:sz w:val="24"/>
              </w:rPr>
            </w:pPr>
            <w:r>
              <w:rPr>
                <w:color w:val="auto"/>
                <w:kern w:val="0"/>
                <w:sz w:val="24"/>
              </w:rPr>
              <w:t>其他符合性分析</w:t>
            </w:r>
          </w:p>
        </w:tc>
        <w:tc>
          <w:tcPr>
            <w:tcW w:w="7185" w:type="dxa"/>
            <w:gridSpan w:val="3"/>
            <w:vAlign w:val="center"/>
          </w:tcPr>
          <w:p w14:paraId="2B902364">
            <w:pPr>
              <w:autoSpaceDE w:val="0"/>
              <w:autoSpaceDN w:val="0"/>
              <w:adjustRightInd w:val="0"/>
              <w:snapToGrid w:val="0"/>
              <w:spacing w:line="360" w:lineRule="auto"/>
              <w:ind w:left="420" w:leftChars="200"/>
              <w:jc w:val="left"/>
              <w:rPr>
                <w:b/>
                <w:bCs/>
                <w:color w:val="auto"/>
                <w:kern w:val="0"/>
                <w:sz w:val="24"/>
              </w:rPr>
            </w:pPr>
            <w:r>
              <w:rPr>
                <w:rFonts w:hint="eastAsia"/>
                <w:b/>
                <w:bCs/>
                <w:color w:val="auto"/>
                <w:kern w:val="0"/>
                <w:sz w:val="24"/>
              </w:rPr>
              <w:t>1、产业政策符合性</w:t>
            </w:r>
          </w:p>
          <w:p w14:paraId="5B428574">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本项目产品为</w:t>
            </w:r>
            <w:r>
              <w:rPr>
                <w:rFonts w:hint="eastAsia"/>
                <w:color w:val="auto"/>
                <w:kern w:val="0"/>
                <w:sz w:val="24"/>
                <w:lang w:val="en-US" w:eastAsia="zh-CN"/>
              </w:rPr>
              <w:t>环氧</w:t>
            </w:r>
            <w:r>
              <w:rPr>
                <w:rFonts w:hint="eastAsia"/>
                <w:color w:val="auto"/>
                <w:kern w:val="0"/>
                <w:sz w:val="24"/>
              </w:rPr>
              <w:t>玻璃</w:t>
            </w:r>
            <w:r>
              <w:rPr>
                <w:rFonts w:hint="eastAsia"/>
                <w:color w:val="auto"/>
                <w:kern w:val="0"/>
                <w:sz w:val="24"/>
                <w:lang w:val="en-US" w:eastAsia="zh-CN"/>
              </w:rPr>
              <w:t>纤维</w:t>
            </w:r>
            <w:r>
              <w:rPr>
                <w:rFonts w:hint="eastAsia"/>
                <w:color w:val="auto"/>
                <w:kern w:val="0"/>
                <w:sz w:val="24"/>
              </w:rPr>
              <w:t>管道，属于C3062玻璃纤维增强塑料制品制造，对照《产业结构调整指导目录(2024年本)》(发展和改革委员会令第</w:t>
            </w:r>
            <w:r>
              <w:rPr>
                <w:rFonts w:hint="eastAsia"/>
                <w:color w:val="auto"/>
                <w:kern w:val="0"/>
                <w:sz w:val="24"/>
                <w:lang w:val="en-US" w:eastAsia="zh-CN"/>
              </w:rPr>
              <w:t>7</w:t>
            </w:r>
            <w:r>
              <w:rPr>
                <w:rFonts w:hint="eastAsia"/>
                <w:color w:val="auto"/>
                <w:kern w:val="0"/>
                <w:sz w:val="24"/>
              </w:rPr>
              <w:t>号)，本项目不属于目录规定的鼓励类、限制类和淘汰类范围，属于允许类。对照《市场准入负面清单(2022年版)》，本项目不属于禁止准入类项目。</w:t>
            </w:r>
          </w:p>
          <w:p w14:paraId="0398F7BF">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本项目已在</w:t>
            </w:r>
            <w:r>
              <w:rPr>
                <w:rFonts w:hint="eastAsia"/>
                <w:color w:val="auto"/>
                <w:sz w:val="24"/>
                <w:lang w:val="en-US" w:eastAsia="zh-CN"/>
              </w:rPr>
              <w:t>准格尔旗发展和改革委员会</w:t>
            </w:r>
            <w:r>
              <w:rPr>
                <w:rFonts w:hint="eastAsia"/>
                <w:color w:val="auto"/>
                <w:kern w:val="0"/>
                <w:sz w:val="24"/>
              </w:rPr>
              <w:t>进行备案，项目代码为</w:t>
            </w:r>
            <w:r>
              <w:rPr>
                <w:rFonts w:hint="eastAsia"/>
                <w:color w:val="auto"/>
                <w:sz w:val="24"/>
                <w:lang w:val="en-US" w:eastAsia="zh-CN"/>
              </w:rPr>
              <w:t>2607-150622-04-01-956819</w:t>
            </w:r>
            <w:r>
              <w:rPr>
                <w:rFonts w:hint="eastAsia"/>
                <w:color w:val="auto"/>
                <w:sz w:val="24"/>
              </w:rPr>
              <w:t>，确定本项目符合相关政策的要求。综上所述，本项目建设符合国家及地方产业政策。</w:t>
            </w:r>
          </w:p>
          <w:p w14:paraId="6BC377FE">
            <w:pPr>
              <w:pStyle w:val="6"/>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kern w:val="0"/>
                <w:sz w:val="24"/>
                <w:szCs w:val="24"/>
                <w:lang w:val="en-US" w:eastAsia="zh-CN" w:bidi="ar-SA"/>
              </w:rPr>
            </w:pPr>
            <w:r>
              <w:rPr>
                <w:rFonts w:hint="eastAsia"/>
                <w:b/>
                <w:bCs/>
                <w:color w:val="auto"/>
                <w:kern w:val="0"/>
                <w:sz w:val="24"/>
                <w:lang w:val="en-US" w:eastAsia="zh-CN"/>
              </w:rPr>
              <w:t>2、</w:t>
            </w:r>
            <w:r>
              <w:rPr>
                <w:rFonts w:hint="eastAsia" w:ascii="Times New Roman" w:hAnsi="Times New Roman" w:eastAsia="宋体" w:cs="Times New Roman"/>
                <w:b/>
                <w:bCs/>
                <w:color w:val="auto"/>
                <w:kern w:val="0"/>
                <w:sz w:val="24"/>
                <w:szCs w:val="24"/>
                <w:lang w:val="en-US" w:eastAsia="zh-CN" w:bidi="ar-SA"/>
              </w:rPr>
              <w:t>与《准格尔旗国土空间总体规划（2020~2035）》符</w:t>
            </w:r>
            <w:r>
              <w:rPr>
                <w:rFonts w:hint="default" w:ascii="Times New Roman" w:hAnsi="Times New Roman" w:eastAsia="宋体" w:cs="Times New Roman"/>
                <w:b/>
                <w:bCs/>
                <w:color w:val="auto"/>
                <w:kern w:val="0"/>
                <w:sz w:val="24"/>
                <w:szCs w:val="24"/>
                <w:lang w:val="en-US" w:eastAsia="zh-CN" w:bidi="ar-SA"/>
              </w:rPr>
              <w:t>合性分析</w:t>
            </w:r>
          </w:p>
          <w:p w14:paraId="79874E15">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根据《准格尔旗国土空间总体规划</w:t>
            </w:r>
            <w:r>
              <w:rPr>
                <w:rFonts w:hint="eastAsia" w:ascii="Times New Roman" w:hAnsi="Times New Roman" w:eastAsia="宋体" w:cs="Times New Roman"/>
                <w:b w:val="0"/>
                <w:bCs w:val="0"/>
                <w:color w:val="auto"/>
                <w:kern w:val="0"/>
                <w:sz w:val="24"/>
                <w:szCs w:val="24"/>
                <w:lang w:val="en-US" w:eastAsia="zh-CN" w:bidi="ar-SA"/>
              </w:rPr>
              <w:t>（2020--2035）》</w:t>
            </w:r>
            <w:r>
              <w:rPr>
                <w:rFonts w:hint="eastAsia" w:ascii="宋体" w:hAnsi="宋体" w:cs="宋体"/>
                <w:color w:val="auto"/>
                <w:kern w:val="0"/>
                <w:sz w:val="24"/>
                <w:szCs w:val="24"/>
                <w:lang w:val="en-US" w:eastAsia="zh-CN" w:bidi="ar"/>
              </w:rPr>
              <w:t>内容</w:t>
            </w:r>
            <w:r>
              <w:rPr>
                <w:rFonts w:hint="eastAsia" w:ascii="宋体" w:hAnsi="宋体" w:eastAsia="宋体" w:cs="宋体"/>
                <w:color w:val="auto"/>
                <w:kern w:val="0"/>
                <w:sz w:val="24"/>
                <w:szCs w:val="24"/>
                <w:lang w:val="en-US" w:eastAsia="zh-CN" w:bidi="ar"/>
              </w:rPr>
              <w:t>“</w:t>
            </w:r>
            <w:r>
              <w:rPr>
                <w:rFonts w:hint="default" w:ascii="Times New Roman" w:hAnsi="Times New Roman" w:cs="Times New Roman"/>
                <w:color w:val="auto"/>
                <w:kern w:val="0"/>
                <w:sz w:val="24"/>
                <w:szCs w:val="24"/>
                <w:lang w:val="en-US" w:eastAsia="zh-CN" w:bidi="ar"/>
              </w:rPr>
              <w:t>3.1区域协同发展格局：加强与呼包鄂榆周边地区协调发展：立足区位优势，主动对接呼包银榆经济区、呼包鄂榆城市群、呼包鄂乌协同发展、</w:t>
            </w:r>
            <w:r>
              <w:rPr>
                <w:rFonts w:hint="eastAsia" w:ascii="Times New Roman" w:hAnsi="Times New Roman" w:cs="Times New Roman"/>
                <w:color w:val="auto"/>
                <w:kern w:val="0"/>
                <w:sz w:val="24"/>
                <w:szCs w:val="24"/>
                <w:lang w:val="en-US" w:eastAsia="zh-CN" w:bidi="ar"/>
              </w:rPr>
              <w:t>“</w:t>
            </w:r>
            <w:r>
              <w:rPr>
                <w:rFonts w:hint="default" w:ascii="Times New Roman" w:hAnsi="Times New Roman" w:cs="Times New Roman"/>
                <w:color w:val="auto"/>
                <w:kern w:val="0"/>
                <w:sz w:val="24"/>
                <w:szCs w:val="24"/>
                <w:lang w:val="en-US" w:eastAsia="zh-CN" w:bidi="ar"/>
              </w:rPr>
              <w:t>黄河几字弯</w:t>
            </w:r>
            <w:r>
              <w:rPr>
                <w:rFonts w:hint="eastAsia" w:ascii="Times New Roman" w:hAnsi="Times New Roman" w:cs="Times New Roman"/>
                <w:color w:val="auto"/>
                <w:kern w:val="0"/>
                <w:sz w:val="24"/>
                <w:szCs w:val="24"/>
                <w:lang w:val="en-US" w:eastAsia="zh-CN" w:bidi="ar"/>
              </w:rPr>
              <w:t>”</w:t>
            </w:r>
            <w:r>
              <w:rPr>
                <w:rFonts w:hint="default" w:ascii="Times New Roman" w:hAnsi="Times New Roman" w:cs="Times New Roman"/>
                <w:color w:val="auto"/>
                <w:kern w:val="0"/>
                <w:sz w:val="24"/>
                <w:szCs w:val="24"/>
                <w:lang w:val="en-US" w:eastAsia="zh-CN" w:bidi="ar"/>
              </w:rPr>
              <w:t>都市圈等国家和自治区层面重大区域发展战略，促进区域内城市间产业优势互补和融合互动发展，聚焦能源化工、新材料、装备制造、农畜产品加工、现代文旅、交通、生态等重点行业领域。加快基础设施建设互联互通，加强与周边重大交通枢纽的连接，强化作为鄂尔多斯市与呼和浩特市协同发展的桥头堡功能。</w:t>
            </w:r>
            <w:r>
              <w:rPr>
                <w:rFonts w:hint="eastAsia" w:ascii="Times New Roman" w:hAnsi="Times New Roman" w:cs="Times New Roman"/>
                <w:color w:val="auto"/>
                <w:kern w:val="0"/>
                <w:sz w:val="24"/>
                <w:szCs w:val="24"/>
                <w:lang w:val="en-US" w:eastAsia="zh-CN" w:bidi="ar"/>
              </w:rPr>
              <w:t>”</w:t>
            </w:r>
          </w:p>
          <w:p w14:paraId="27E8064D">
            <w:pPr>
              <w:pStyle w:val="47"/>
              <w:spacing w:line="359" w:lineRule="auto"/>
              <w:ind w:left="113" w:right="107" w:firstLine="480"/>
              <w:jc w:val="both"/>
              <w:rPr>
                <w:rFonts w:hint="eastAsia"/>
                <w:color w:val="auto"/>
                <w:sz w:val="24"/>
                <w:lang w:val="en-US" w:eastAsia="zh-CN"/>
              </w:rPr>
            </w:pPr>
            <w:r>
              <w:rPr>
                <w:rFonts w:hint="eastAsia" w:ascii="宋体" w:hAnsi="宋体" w:cs="宋体"/>
                <w:color w:val="auto"/>
                <w:kern w:val="0"/>
                <w:sz w:val="24"/>
                <w:szCs w:val="24"/>
                <w:lang w:val="en-US" w:eastAsia="zh-CN" w:bidi="ar"/>
              </w:rPr>
              <w:t>本项目</w:t>
            </w:r>
            <w:r>
              <w:rPr>
                <w:rFonts w:hint="eastAsia" w:cs="Times New Roman"/>
                <w:color w:val="auto"/>
                <w:kern w:val="0"/>
                <w:sz w:val="24"/>
                <w:szCs w:val="24"/>
                <w:lang w:val="en-US" w:eastAsia="zh-CN" w:bidi="ar"/>
              </w:rPr>
              <w:t>原材料无溶剂改性环氧树脂能，属于新材料；其他原材料为玻璃纤维、改性液体酸酐固化剂、钢丝和环氧粉末，经过原材料配比、搅拌、玻璃纤维缠绕、固化成型、切割打磨、静电喷涂、成品检验等工序形成产品为环氧玻璃纤维高压管道，属高性能纤维增强热固性树脂基复合材料，属于新材料应用行业，</w:t>
            </w:r>
            <w:r>
              <w:rPr>
                <w:rFonts w:hint="eastAsia"/>
                <w:color w:val="auto"/>
                <w:sz w:val="24"/>
                <w:lang w:val="en-US" w:eastAsia="zh-CN"/>
              </w:rPr>
              <w:t>符合《准格尔旗国土空间总体规划》。</w:t>
            </w:r>
          </w:p>
          <w:p w14:paraId="08B0C365">
            <w:pPr>
              <w:pStyle w:val="47"/>
              <w:numPr>
                <w:ilvl w:val="0"/>
                <w:numId w:val="0"/>
              </w:numPr>
              <w:spacing w:line="359" w:lineRule="auto"/>
              <w:ind w:left="577" w:leftChars="0" w:right="31" w:rightChars="0"/>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cs="Times New Roman"/>
                <w:b/>
                <w:bCs/>
                <w:color w:val="auto"/>
                <w:kern w:val="0"/>
                <w:sz w:val="24"/>
                <w:szCs w:val="24"/>
                <w:lang w:val="en-US" w:eastAsia="zh-CN" w:bidi="ar-SA"/>
              </w:rPr>
              <w:t>3、</w:t>
            </w:r>
            <w:r>
              <w:rPr>
                <w:rFonts w:hint="eastAsia" w:ascii="Times New Roman" w:hAnsi="Times New Roman" w:eastAsia="宋体" w:cs="Times New Roman"/>
                <w:b/>
                <w:bCs/>
                <w:color w:val="auto"/>
                <w:kern w:val="0"/>
                <w:sz w:val="24"/>
                <w:szCs w:val="24"/>
                <w:lang w:val="en-US" w:eastAsia="zh-CN" w:bidi="ar-SA"/>
              </w:rPr>
              <w:t>与《鄂尔多斯市“十四五”生态环境保护规划》（鄂府办发〔2022〕7号）的符合性分析</w:t>
            </w:r>
          </w:p>
          <w:p w14:paraId="5E22DF9C">
            <w:pPr>
              <w:pStyle w:val="47"/>
              <w:spacing w:line="357" w:lineRule="auto"/>
              <w:ind w:left="113" w:right="31" w:firstLine="481"/>
              <w:rPr>
                <w:rFonts w:hint="eastAsia" w:ascii="Times New Roman" w:hAnsi="Times New Roman" w:eastAsia="宋体" w:cs="Times New Roman"/>
                <w:color w:val="auto"/>
                <w:kern w:val="0"/>
                <w:sz w:val="24"/>
                <w:szCs w:val="20"/>
                <w:lang w:val="en-US" w:eastAsia="zh-CN" w:bidi="ar-SA"/>
              </w:rPr>
            </w:pPr>
            <w:r>
              <w:rPr>
                <w:rFonts w:hint="eastAsia" w:ascii="Times New Roman" w:hAnsi="Times New Roman" w:eastAsia="宋体" w:cs="Times New Roman"/>
                <w:color w:val="auto"/>
                <w:kern w:val="0"/>
                <w:sz w:val="24"/>
                <w:szCs w:val="20"/>
                <w:lang w:val="en-US" w:eastAsia="zh-CN" w:bidi="ar-SA"/>
              </w:rPr>
              <w:t>本项目与《鄂尔多斯市“十四五”生态环境保护规划》（鄂府办发〔2022〕</w:t>
            </w:r>
            <w:r>
              <w:rPr>
                <w:rFonts w:hint="eastAsia" w:ascii="Times New Roman" w:hAnsi="Times New Roman" w:cs="Times New Roman"/>
                <w:color w:val="auto"/>
                <w:kern w:val="0"/>
                <w:sz w:val="24"/>
                <w:szCs w:val="20"/>
                <w:lang w:val="en-US" w:eastAsia="zh-CN" w:bidi="ar-SA"/>
              </w:rPr>
              <w:t>7</w:t>
            </w:r>
            <w:r>
              <w:rPr>
                <w:rFonts w:hint="eastAsia" w:ascii="Times New Roman" w:hAnsi="Times New Roman" w:eastAsia="宋体" w:cs="Times New Roman"/>
                <w:color w:val="auto"/>
                <w:kern w:val="0"/>
                <w:sz w:val="24"/>
                <w:szCs w:val="20"/>
                <w:lang w:val="en-US" w:eastAsia="zh-CN" w:bidi="ar-SA"/>
              </w:rPr>
              <w:t>号）的符合性分析见下表：</w:t>
            </w:r>
          </w:p>
          <w:p w14:paraId="522EAC0E">
            <w:pPr>
              <w:pStyle w:val="47"/>
              <w:spacing w:line="223" w:lineRule="auto"/>
              <w:jc w:val="center"/>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表1-</w:t>
            </w:r>
            <w:r>
              <w:rPr>
                <w:rFonts w:hint="eastAsia" w:ascii="Times New Roman" w:hAnsi="Times New Roman" w:cs="Times New Roman"/>
                <w:b/>
                <w:bCs/>
                <w:color w:val="auto"/>
                <w:kern w:val="0"/>
                <w:sz w:val="24"/>
                <w:szCs w:val="24"/>
                <w:lang w:val="en-US" w:eastAsia="zh-CN" w:bidi="ar-SA"/>
              </w:rPr>
              <w:t>3</w:t>
            </w:r>
            <w:r>
              <w:rPr>
                <w:rFonts w:hint="eastAsia" w:ascii="Times New Roman" w:hAnsi="Times New Roman" w:eastAsia="宋体" w:cs="Times New Roman"/>
                <w:b/>
                <w:bCs/>
                <w:color w:val="auto"/>
                <w:kern w:val="0"/>
                <w:sz w:val="24"/>
                <w:szCs w:val="24"/>
                <w:lang w:val="en-US" w:eastAsia="zh-CN" w:bidi="ar-SA"/>
              </w:rPr>
              <w:t>与</w:t>
            </w:r>
            <w:r>
              <w:rPr>
                <w:rFonts w:hint="eastAsia" w:ascii="Times New Roman" w:hAnsi="Times New Roman" w:cs="Times New Roman"/>
                <w:b/>
                <w:bCs/>
                <w:color w:val="auto"/>
                <w:kern w:val="0"/>
                <w:sz w:val="24"/>
                <w:szCs w:val="24"/>
                <w:lang w:val="en-US" w:eastAsia="zh-CN" w:bidi="ar-SA"/>
              </w:rPr>
              <w:t xml:space="preserve">   </w:t>
            </w:r>
            <w:r>
              <w:rPr>
                <w:rFonts w:hint="eastAsia" w:ascii="Times New Roman" w:hAnsi="Times New Roman" w:eastAsia="宋体" w:cs="Times New Roman"/>
                <w:b/>
                <w:bCs/>
                <w:color w:val="auto"/>
                <w:kern w:val="0"/>
                <w:sz w:val="24"/>
                <w:szCs w:val="24"/>
                <w:lang w:val="en-US" w:eastAsia="zh-CN" w:bidi="ar-SA"/>
              </w:rPr>
              <w:t>《鄂尔多斯市“十四五”生态环境保护规划》</w:t>
            </w:r>
          </w:p>
          <w:p w14:paraId="4E5436A4">
            <w:pPr>
              <w:pStyle w:val="47"/>
              <w:spacing w:line="223" w:lineRule="auto"/>
              <w:jc w:val="center"/>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的符合性分析</w:t>
            </w:r>
          </w:p>
          <w:tbl>
            <w:tblPr>
              <w:tblStyle w:val="46"/>
              <w:tblW w:w="6834"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76"/>
              <w:gridCol w:w="2273"/>
              <w:gridCol w:w="885"/>
            </w:tblGrid>
            <w:tr w14:paraId="1BC6A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3676" w:type="dxa"/>
                  <w:vAlign w:val="top"/>
                </w:tcPr>
                <w:p w14:paraId="37C23DB4">
                  <w:pPr>
                    <w:pStyle w:val="47"/>
                    <w:spacing w:before="95" w:line="228" w:lineRule="auto"/>
                    <w:ind w:left="1689"/>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7"/>
                      <w:sz w:val="21"/>
                      <w:szCs w:val="21"/>
                    </w:rPr>
                    <w:t>规划内容</w:t>
                  </w:r>
                </w:p>
              </w:tc>
              <w:tc>
                <w:tcPr>
                  <w:tcW w:w="2273" w:type="dxa"/>
                  <w:vAlign w:val="center"/>
                </w:tcPr>
                <w:p w14:paraId="3A9E773A">
                  <w:pPr>
                    <w:pStyle w:val="47"/>
                    <w:spacing w:before="96" w:line="228" w:lineRule="auto"/>
                    <w:ind w:left="89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项目情况</w:t>
                  </w:r>
                </w:p>
              </w:tc>
              <w:tc>
                <w:tcPr>
                  <w:tcW w:w="885" w:type="dxa"/>
                  <w:vAlign w:val="top"/>
                </w:tcPr>
                <w:p w14:paraId="329D8071">
                  <w:pPr>
                    <w:pStyle w:val="47"/>
                    <w:spacing w:before="95" w:line="228" w:lineRule="auto"/>
                    <w:ind w:left="87"/>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符合性</w:t>
                  </w:r>
                </w:p>
              </w:tc>
            </w:tr>
            <w:tr w14:paraId="1E041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3" w:hRule="atLeast"/>
              </w:trPr>
              <w:tc>
                <w:tcPr>
                  <w:tcW w:w="3676" w:type="dxa"/>
                  <w:vAlign w:val="top"/>
                </w:tcPr>
                <w:p w14:paraId="4D6BE916">
                  <w:pPr>
                    <w:pStyle w:val="47"/>
                    <w:spacing w:before="29" w:line="246" w:lineRule="auto"/>
                    <w:ind w:left="51" w:right="32"/>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6"/>
                      <w:sz w:val="21"/>
                      <w:szCs w:val="21"/>
                    </w:rPr>
                    <w:t>深入推进“三线一单”成果在规划环评、项目环</w:t>
                  </w:r>
                  <w:r>
                    <w:rPr>
                      <w:rFonts w:hint="default" w:ascii="Times New Roman" w:hAnsi="Times New Roman" w:eastAsia="宋体" w:cs="Times New Roman"/>
                      <w:color w:val="auto"/>
                      <w:spacing w:val="9"/>
                      <w:sz w:val="21"/>
                      <w:szCs w:val="21"/>
                    </w:rPr>
                    <w:t>评以及环评预审等环境管理中的全面应用实</w:t>
                  </w:r>
                  <w:r>
                    <w:rPr>
                      <w:rFonts w:hint="default" w:ascii="Times New Roman" w:hAnsi="Times New Roman" w:eastAsia="宋体" w:cs="Times New Roman"/>
                      <w:color w:val="auto"/>
                      <w:spacing w:val="6"/>
                      <w:sz w:val="21"/>
                      <w:szCs w:val="21"/>
                    </w:rPr>
                    <w:t>施，充分发挥“三线一单”对环评管理的优化，</w:t>
                  </w:r>
                  <w:r>
                    <w:rPr>
                      <w:rFonts w:hint="default" w:ascii="Times New Roman" w:hAnsi="Times New Roman" w:eastAsia="宋体" w:cs="Times New Roman"/>
                      <w:color w:val="auto"/>
                      <w:spacing w:val="9"/>
                      <w:sz w:val="21"/>
                      <w:szCs w:val="21"/>
                    </w:rPr>
                    <w:t>各类开发建设应将“三线一单”等管控要求融</w:t>
                  </w:r>
                  <w:r>
                    <w:rPr>
                      <w:rFonts w:hint="default" w:ascii="Times New Roman" w:hAnsi="Times New Roman" w:eastAsia="宋体" w:cs="Times New Roman"/>
                      <w:color w:val="auto"/>
                      <w:spacing w:val="5"/>
                      <w:sz w:val="21"/>
                      <w:szCs w:val="21"/>
                    </w:rPr>
                    <w:t>入决策和实施过程，以生态环境分区管控推动</w:t>
                  </w:r>
                  <w:r>
                    <w:rPr>
                      <w:rFonts w:hint="default" w:ascii="Times New Roman" w:hAnsi="Times New Roman" w:eastAsia="宋体" w:cs="Times New Roman"/>
                      <w:color w:val="auto"/>
                      <w:spacing w:val="7"/>
                      <w:sz w:val="21"/>
                      <w:szCs w:val="21"/>
                    </w:rPr>
                    <w:t>经济高质量发展。</w:t>
                  </w:r>
                </w:p>
              </w:tc>
              <w:tc>
                <w:tcPr>
                  <w:tcW w:w="2273" w:type="dxa"/>
                  <w:vAlign w:val="center"/>
                </w:tcPr>
                <w:p w14:paraId="4376C1DA">
                  <w:pPr>
                    <w:pStyle w:val="47"/>
                    <w:spacing w:before="65" w:line="252" w:lineRule="auto"/>
                    <w:ind w:left="71" w:right="63" w:firstLine="3"/>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14"/>
                      <w:sz w:val="21"/>
                      <w:szCs w:val="21"/>
                    </w:rPr>
                    <w:t>项目符合鄂尔多斯市“生态</w:t>
                  </w:r>
                  <w:r>
                    <w:rPr>
                      <w:rFonts w:hint="default" w:ascii="Times New Roman" w:hAnsi="Times New Roman" w:eastAsia="宋体" w:cs="Times New Roman"/>
                      <w:color w:val="auto"/>
                      <w:spacing w:val="8"/>
                      <w:sz w:val="21"/>
                      <w:szCs w:val="21"/>
                    </w:rPr>
                    <w:t>环境分区管控”要求</w:t>
                  </w:r>
                  <w:r>
                    <w:rPr>
                      <w:rFonts w:hint="eastAsia" w:ascii="Times New Roman" w:hAnsi="Times New Roman" w:eastAsia="宋体" w:cs="Times New Roman"/>
                      <w:color w:val="auto"/>
                      <w:spacing w:val="8"/>
                      <w:sz w:val="21"/>
                      <w:szCs w:val="21"/>
                      <w:lang w:eastAsia="zh-CN"/>
                    </w:rPr>
                    <w:t>。</w:t>
                  </w:r>
                </w:p>
              </w:tc>
              <w:tc>
                <w:tcPr>
                  <w:tcW w:w="885" w:type="dxa"/>
                  <w:vAlign w:val="top"/>
                </w:tcPr>
                <w:p w14:paraId="1D384F1E">
                  <w:pPr>
                    <w:spacing w:line="321" w:lineRule="auto"/>
                    <w:rPr>
                      <w:rFonts w:hint="default" w:ascii="Times New Roman" w:hAnsi="Times New Roman" w:eastAsia="宋体" w:cs="Times New Roman"/>
                      <w:color w:val="auto"/>
                      <w:sz w:val="21"/>
                      <w:szCs w:val="21"/>
                    </w:rPr>
                  </w:pPr>
                </w:p>
                <w:p w14:paraId="277A6249">
                  <w:pPr>
                    <w:spacing w:line="322" w:lineRule="auto"/>
                    <w:rPr>
                      <w:rFonts w:hint="default" w:ascii="Times New Roman" w:hAnsi="Times New Roman" w:eastAsia="宋体" w:cs="Times New Roman"/>
                      <w:color w:val="auto"/>
                      <w:sz w:val="21"/>
                      <w:szCs w:val="21"/>
                    </w:rPr>
                  </w:pPr>
                </w:p>
                <w:p w14:paraId="1B45F3E3">
                  <w:pPr>
                    <w:pStyle w:val="47"/>
                    <w:spacing w:before="65" w:line="228" w:lineRule="auto"/>
                    <w:ind w:left="19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符合</w:t>
                  </w:r>
                </w:p>
              </w:tc>
            </w:tr>
            <w:tr w14:paraId="4EDB8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3676" w:type="dxa"/>
                  <w:vAlign w:val="top"/>
                </w:tcPr>
                <w:p w14:paraId="485E8246">
                  <w:pPr>
                    <w:pStyle w:val="47"/>
                    <w:spacing w:before="27" w:line="248" w:lineRule="auto"/>
                    <w:ind w:left="52" w:right="44"/>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推进园区高质量发展。始终把园区作为产业转型升级和经济高质量发展的主战场，优化生产力空间布局，推动优势产业向园区集中、资源要素向产业链集聚，走高端化、特色化、品牌化、智慧化及绿色化园区发展之路。突出主导产业核心地位，园区整合提质和产业统筹，围绕主导产业上下游引进和建设项目，促进业态集聚、资源集约、功能集成，进一步优化产业生态环境。</w:t>
                  </w:r>
                </w:p>
              </w:tc>
              <w:tc>
                <w:tcPr>
                  <w:tcW w:w="2273" w:type="dxa"/>
                  <w:vAlign w:val="center"/>
                </w:tcPr>
                <w:p w14:paraId="579A7FE9">
                  <w:pPr>
                    <w:pStyle w:val="47"/>
                    <w:spacing w:before="65" w:line="252" w:lineRule="auto"/>
                    <w:ind w:left="49" w:right="42" w:firstLine="4"/>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21"/>
                      <w:sz w:val="21"/>
                      <w:szCs w:val="21"/>
                    </w:rPr>
                    <w:t>项目位于大路产业园新能</w:t>
                  </w:r>
                  <w:r>
                    <w:rPr>
                      <w:rFonts w:hint="default" w:ascii="Times New Roman" w:hAnsi="Times New Roman" w:eastAsia="宋体" w:cs="Times New Roman"/>
                      <w:color w:val="auto"/>
                      <w:spacing w:val="8"/>
                      <w:sz w:val="21"/>
                      <w:szCs w:val="21"/>
                    </w:rPr>
                    <w:t>源科技产业基地范围内，符合园区产业布局</w:t>
                  </w:r>
                  <w:r>
                    <w:rPr>
                      <w:rFonts w:hint="eastAsia" w:ascii="Times New Roman" w:hAnsi="Times New Roman" w:eastAsia="宋体" w:cs="Times New Roman"/>
                      <w:color w:val="auto"/>
                      <w:spacing w:val="7"/>
                      <w:sz w:val="21"/>
                      <w:szCs w:val="21"/>
                      <w:lang w:eastAsia="zh-CN"/>
                    </w:rPr>
                    <w:t>。</w:t>
                  </w:r>
                </w:p>
              </w:tc>
              <w:tc>
                <w:tcPr>
                  <w:tcW w:w="885" w:type="dxa"/>
                  <w:vAlign w:val="top"/>
                </w:tcPr>
                <w:p w14:paraId="21A55C5D">
                  <w:pPr>
                    <w:spacing w:line="262" w:lineRule="auto"/>
                    <w:rPr>
                      <w:rFonts w:hint="default" w:ascii="Times New Roman" w:hAnsi="Times New Roman" w:eastAsia="宋体" w:cs="Times New Roman"/>
                      <w:color w:val="auto"/>
                      <w:sz w:val="21"/>
                      <w:szCs w:val="21"/>
                    </w:rPr>
                  </w:pPr>
                </w:p>
                <w:p w14:paraId="46237287">
                  <w:pPr>
                    <w:spacing w:line="262" w:lineRule="auto"/>
                    <w:rPr>
                      <w:rFonts w:hint="default" w:ascii="Times New Roman" w:hAnsi="Times New Roman" w:eastAsia="宋体" w:cs="Times New Roman"/>
                      <w:color w:val="auto"/>
                      <w:sz w:val="21"/>
                      <w:szCs w:val="21"/>
                    </w:rPr>
                  </w:pPr>
                </w:p>
                <w:p w14:paraId="533F1AFE">
                  <w:pPr>
                    <w:spacing w:line="262" w:lineRule="auto"/>
                    <w:rPr>
                      <w:rFonts w:hint="default" w:ascii="Times New Roman" w:hAnsi="Times New Roman" w:eastAsia="宋体" w:cs="Times New Roman"/>
                      <w:color w:val="auto"/>
                      <w:sz w:val="21"/>
                      <w:szCs w:val="21"/>
                    </w:rPr>
                  </w:pPr>
                </w:p>
                <w:p w14:paraId="34139974">
                  <w:pPr>
                    <w:spacing w:line="263" w:lineRule="auto"/>
                    <w:rPr>
                      <w:rFonts w:hint="default" w:ascii="Times New Roman" w:hAnsi="Times New Roman" w:eastAsia="宋体" w:cs="Times New Roman"/>
                      <w:color w:val="auto"/>
                      <w:sz w:val="21"/>
                      <w:szCs w:val="21"/>
                    </w:rPr>
                  </w:pPr>
                </w:p>
                <w:p w14:paraId="4A8B4943">
                  <w:pPr>
                    <w:pStyle w:val="47"/>
                    <w:spacing w:before="65" w:line="228" w:lineRule="auto"/>
                    <w:ind w:left="19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符合</w:t>
                  </w:r>
                </w:p>
              </w:tc>
            </w:tr>
            <w:tr w14:paraId="5ED52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3676" w:type="dxa"/>
                  <w:vAlign w:val="top"/>
                </w:tcPr>
                <w:p w14:paraId="7035B51B">
                  <w:pPr>
                    <w:pStyle w:val="47"/>
                    <w:spacing w:before="65" w:line="251" w:lineRule="auto"/>
                    <w:ind w:right="44"/>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继续推进工业园区污水集中处理，开展自治区</w:t>
                  </w:r>
                  <w:r>
                    <w:rPr>
                      <w:rFonts w:hint="default" w:ascii="Times New Roman" w:hAnsi="Times New Roman" w:eastAsia="宋体" w:cs="Times New Roman"/>
                      <w:color w:val="auto"/>
                      <w:spacing w:val="9"/>
                      <w:sz w:val="21"/>
                      <w:szCs w:val="21"/>
                    </w:rPr>
                    <w:t>级及以上工业园区依托城镇污水处理厂综合</w:t>
                  </w:r>
                  <w:r>
                    <w:rPr>
                      <w:rFonts w:hint="default" w:ascii="Times New Roman" w:hAnsi="Times New Roman" w:eastAsia="宋体" w:cs="Times New Roman"/>
                      <w:color w:val="auto"/>
                      <w:spacing w:val="5"/>
                      <w:sz w:val="21"/>
                      <w:szCs w:val="21"/>
                    </w:rPr>
                    <w:t>评估，加强对工业园区污水集中处理配套设施建设及运行管控，确保园区内企业污水全收集</w:t>
                  </w:r>
                  <w:r>
                    <w:rPr>
                      <w:rFonts w:hint="default" w:ascii="Times New Roman" w:hAnsi="Times New Roman" w:eastAsia="宋体" w:cs="Times New Roman"/>
                      <w:color w:val="auto"/>
                      <w:spacing w:val="7"/>
                      <w:sz w:val="21"/>
                      <w:szCs w:val="21"/>
                    </w:rPr>
                    <w:t>全处理、稳定达标。</w:t>
                  </w:r>
                </w:p>
              </w:tc>
              <w:tc>
                <w:tcPr>
                  <w:tcW w:w="2273" w:type="dxa"/>
                  <w:vAlign w:val="center"/>
                </w:tcPr>
                <w:p w14:paraId="3420A36E">
                  <w:pPr>
                    <w:pStyle w:val="47"/>
                    <w:spacing w:before="31" w:line="249" w:lineRule="auto"/>
                    <w:ind w:left="70" w:right="48" w:firstLine="4"/>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17"/>
                      <w:sz w:val="21"/>
                      <w:szCs w:val="21"/>
                    </w:rPr>
                    <w:t>项目生活污水经</w:t>
                  </w:r>
                  <w:r>
                    <w:rPr>
                      <w:rFonts w:hint="eastAsia" w:ascii="Times New Roman" w:hAnsi="Times New Roman" w:eastAsia="宋体" w:cs="Times New Roman"/>
                      <w:color w:val="auto"/>
                      <w:spacing w:val="17"/>
                      <w:sz w:val="21"/>
                      <w:szCs w:val="21"/>
                      <w:lang w:eastAsia="zh-CN"/>
                    </w:rPr>
                    <w:t>园区化粪池</w:t>
                  </w:r>
                  <w:r>
                    <w:rPr>
                      <w:rFonts w:hint="default" w:ascii="Times New Roman" w:hAnsi="Times New Roman" w:eastAsia="宋体" w:cs="Times New Roman"/>
                      <w:color w:val="auto"/>
                      <w:spacing w:val="5"/>
                      <w:sz w:val="21"/>
                      <w:szCs w:val="21"/>
                    </w:rPr>
                    <w:t>处理后，接管排入园区污水处理厂进一步处理</w:t>
                  </w:r>
                  <w:r>
                    <w:rPr>
                      <w:rFonts w:hint="eastAsia" w:ascii="Times New Roman" w:hAnsi="Times New Roman" w:eastAsia="宋体" w:cs="Times New Roman"/>
                      <w:color w:val="auto"/>
                      <w:spacing w:val="5"/>
                      <w:sz w:val="21"/>
                      <w:szCs w:val="21"/>
                      <w:lang w:eastAsia="zh-CN"/>
                    </w:rPr>
                    <w:t>，</w:t>
                  </w:r>
                  <w:r>
                    <w:rPr>
                      <w:rFonts w:hint="eastAsia" w:ascii="Times New Roman" w:hAnsi="Times New Roman" w:cs="Times New Roman"/>
                      <w:color w:val="auto"/>
                      <w:spacing w:val="5"/>
                      <w:sz w:val="21"/>
                      <w:szCs w:val="21"/>
                      <w:lang w:val="en-US" w:eastAsia="zh-CN"/>
                    </w:rPr>
                    <w:t>不外排</w:t>
                  </w:r>
                  <w:r>
                    <w:rPr>
                      <w:rFonts w:hint="default" w:ascii="Times New Roman" w:hAnsi="Times New Roman" w:eastAsia="宋体" w:cs="Times New Roman"/>
                      <w:color w:val="auto"/>
                      <w:spacing w:val="5"/>
                      <w:sz w:val="21"/>
                      <w:szCs w:val="21"/>
                    </w:rPr>
                    <w:t>，园区污水处理厂配</w:t>
                  </w:r>
                  <w:r>
                    <w:rPr>
                      <w:rFonts w:hint="default" w:ascii="Times New Roman" w:hAnsi="Times New Roman" w:eastAsia="宋体" w:cs="Times New Roman"/>
                      <w:color w:val="auto"/>
                      <w:spacing w:val="9"/>
                      <w:sz w:val="21"/>
                      <w:szCs w:val="21"/>
                    </w:rPr>
                    <w:t>套设施完善，运行稳定</w:t>
                  </w:r>
                  <w:r>
                    <w:rPr>
                      <w:rFonts w:hint="eastAsia" w:ascii="Times New Roman" w:hAnsi="Times New Roman" w:eastAsia="宋体" w:cs="Times New Roman"/>
                      <w:color w:val="auto"/>
                      <w:spacing w:val="9"/>
                      <w:sz w:val="21"/>
                      <w:szCs w:val="21"/>
                      <w:lang w:eastAsia="zh-CN"/>
                    </w:rPr>
                    <w:t>。</w:t>
                  </w:r>
                </w:p>
              </w:tc>
              <w:tc>
                <w:tcPr>
                  <w:tcW w:w="885" w:type="dxa"/>
                  <w:vAlign w:val="top"/>
                </w:tcPr>
                <w:p w14:paraId="70071489">
                  <w:pPr>
                    <w:spacing w:line="266" w:lineRule="auto"/>
                    <w:rPr>
                      <w:rFonts w:hint="default" w:ascii="Times New Roman" w:hAnsi="Times New Roman" w:eastAsia="宋体" w:cs="Times New Roman"/>
                      <w:color w:val="auto"/>
                      <w:sz w:val="21"/>
                      <w:szCs w:val="21"/>
                    </w:rPr>
                  </w:pPr>
                </w:p>
                <w:p w14:paraId="2FBC758C">
                  <w:pPr>
                    <w:pStyle w:val="47"/>
                    <w:spacing w:before="65" w:line="228" w:lineRule="auto"/>
                    <w:ind w:left="19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符合</w:t>
                  </w:r>
                </w:p>
              </w:tc>
            </w:tr>
            <w:tr w14:paraId="5D83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 w:hRule="atLeast"/>
              </w:trPr>
              <w:tc>
                <w:tcPr>
                  <w:tcW w:w="3676" w:type="dxa"/>
                  <w:vAlign w:val="top"/>
                </w:tcPr>
                <w:p w14:paraId="0C2B9FAC">
                  <w:pPr>
                    <w:pStyle w:val="47"/>
                    <w:spacing w:before="33" w:line="245" w:lineRule="auto"/>
                    <w:ind w:left="52" w:right="44" w:firstLine="5"/>
                    <w:jc w:val="both"/>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5"/>
                      <w:sz w:val="21"/>
                      <w:szCs w:val="21"/>
                    </w:rPr>
                    <w:t>强化地下水污染风险防控，对高风险的化工生产企业以及工业集聚区、危险废物处置场、垃圾填埋场等区域开展必要的防渗处理，防止持续污染地下水。继续实施报废矿井、钻井、取</w:t>
                  </w:r>
                  <w:r>
                    <w:rPr>
                      <w:rFonts w:hint="default" w:ascii="Times New Roman" w:hAnsi="Times New Roman" w:eastAsia="宋体" w:cs="Times New Roman"/>
                      <w:color w:val="auto"/>
                      <w:spacing w:val="8"/>
                      <w:sz w:val="21"/>
                      <w:szCs w:val="21"/>
                    </w:rPr>
                    <w:t>水井封井回填工程，强化示范评估。</w:t>
                  </w:r>
                </w:p>
              </w:tc>
              <w:tc>
                <w:tcPr>
                  <w:tcW w:w="2273" w:type="dxa"/>
                  <w:vAlign w:val="center"/>
                </w:tcPr>
                <w:p w14:paraId="4E9FCE29">
                  <w:pPr>
                    <w:pStyle w:val="47"/>
                    <w:spacing w:before="167" w:line="253" w:lineRule="auto"/>
                    <w:ind w:left="49" w:right="42" w:firstLine="4"/>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5"/>
                      <w:sz w:val="21"/>
                      <w:szCs w:val="21"/>
                    </w:rPr>
                    <w:t>项目不属于化工企业，化学品类原辅料均单独密闭储存，项目采取分区防渗措施，阻断地下水污染途径</w:t>
                  </w:r>
                  <w:r>
                    <w:rPr>
                      <w:rFonts w:hint="eastAsia" w:ascii="Times New Roman" w:hAnsi="Times New Roman" w:eastAsia="宋体" w:cs="Times New Roman"/>
                      <w:color w:val="auto"/>
                      <w:spacing w:val="5"/>
                      <w:sz w:val="21"/>
                      <w:szCs w:val="21"/>
                      <w:lang w:eastAsia="zh-CN"/>
                    </w:rPr>
                    <w:t>。</w:t>
                  </w:r>
                </w:p>
              </w:tc>
              <w:tc>
                <w:tcPr>
                  <w:tcW w:w="885" w:type="dxa"/>
                  <w:vAlign w:val="top"/>
                </w:tcPr>
                <w:p w14:paraId="77D386C0">
                  <w:pPr>
                    <w:spacing w:line="255" w:lineRule="auto"/>
                    <w:rPr>
                      <w:rFonts w:hint="default" w:ascii="Times New Roman" w:hAnsi="Times New Roman" w:eastAsia="宋体" w:cs="Times New Roman"/>
                      <w:color w:val="auto"/>
                      <w:sz w:val="21"/>
                      <w:szCs w:val="21"/>
                    </w:rPr>
                  </w:pPr>
                </w:p>
                <w:p w14:paraId="177CA556">
                  <w:pPr>
                    <w:spacing w:line="256" w:lineRule="auto"/>
                    <w:rPr>
                      <w:rFonts w:hint="default" w:ascii="Times New Roman" w:hAnsi="Times New Roman" w:eastAsia="宋体" w:cs="Times New Roman"/>
                      <w:color w:val="auto"/>
                      <w:sz w:val="21"/>
                      <w:szCs w:val="21"/>
                    </w:rPr>
                  </w:pPr>
                </w:p>
                <w:p w14:paraId="41452A3A">
                  <w:pPr>
                    <w:pStyle w:val="47"/>
                    <w:spacing w:before="65" w:line="228" w:lineRule="auto"/>
                    <w:ind w:left="19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3"/>
                      <w:sz w:val="21"/>
                      <w:szCs w:val="21"/>
                    </w:rPr>
                    <w:t>符合</w:t>
                  </w:r>
                </w:p>
              </w:tc>
            </w:tr>
          </w:tbl>
          <w:p w14:paraId="34DE69BD">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
                <w:bCs/>
                <w:color w:val="auto"/>
                <w:kern w:val="0"/>
                <w:sz w:val="24"/>
                <w:szCs w:val="24"/>
                <w:lang w:val="en-US" w:eastAsia="zh-CN" w:bidi="ar-SA"/>
              </w:rPr>
            </w:pPr>
            <w:r>
              <w:rPr>
                <w:rFonts w:hint="default" w:ascii="Times New Roman" w:hAnsi="Times New Roman" w:cs="Times New Roman"/>
                <w:color w:val="auto"/>
                <w:kern w:val="0"/>
                <w:sz w:val="24"/>
                <w:szCs w:val="24"/>
                <w:lang w:val="en-US" w:eastAsia="zh-CN" w:bidi="ar"/>
              </w:rPr>
              <w:t>综上，项目建设符合《鄂尔多斯市“十四五”生态环境保护规划》（鄂府办发〔2022〕7号）的相关要求。</w:t>
            </w:r>
          </w:p>
          <w:p w14:paraId="0F2EA793">
            <w:pPr>
              <w:pStyle w:val="47"/>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right="0" w:firstLine="465"/>
              <w:textAlignment w:val="auto"/>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与《鄂尔多斯生态环境保护条例》的符合性分析</w:t>
            </w:r>
          </w:p>
          <w:p w14:paraId="5DF3F839">
            <w:pPr>
              <w:pStyle w:val="47"/>
              <w:keepNext w:val="0"/>
              <w:keepLines w:val="0"/>
              <w:pageBreakBefore w:val="0"/>
              <w:widowControl w:val="0"/>
              <w:kinsoku/>
              <w:wordWrap/>
              <w:overflowPunct/>
              <w:topLinePunct w:val="0"/>
              <w:autoSpaceDE/>
              <w:autoSpaceDN/>
              <w:bidi w:val="0"/>
              <w:adjustRightInd/>
              <w:snapToGrid/>
              <w:spacing w:line="360" w:lineRule="auto"/>
              <w:ind w:left="0" w:right="0" w:firstLine="461"/>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本项目不属于条例限制的煤炭石油天然气开发活动，本项目搅拌废气</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缠绕、固化废气经集气罩收集后经密闭抽尘管道引至“二级活性炭吸附”装置处理后经</w:t>
            </w:r>
            <w:r>
              <w:rPr>
                <w:rFonts w:hint="eastAsia" w:ascii="Times New Roman" w:hAnsi="Times New Roman" w:cs="Times New Roman"/>
                <w:color w:val="auto"/>
                <w:kern w:val="0"/>
                <w:sz w:val="24"/>
                <w:szCs w:val="24"/>
                <w:lang w:val="en-US" w:eastAsia="zh-CN" w:bidi="ar"/>
              </w:rPr>
              <w:t>20.5</w:t>
            </w:r>
            <w:r>
              <w:rPr>
                <w:rFonts w:hint="eastAsia" w:ascii="Times New Roman" w:hAnsi="Times New Roman" w:eastAsia="宋体" w:cs="Times New Roman"/>
                <w:color w:val="auto"/>
                <w:kern w:val="0"/>
                <w:sz w:val="24"/>
                <w:szCs w:val="24"/>
                <w:lang w:val="en-US" w:eastAsia="zh-CN" w:bidi="ar"/>
              </w:rPr>
              <w:t>m高排气筒（DA001）排放</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静电喷涂废气经设备自带废气处理装置“两级活性炭吸附”装置处理后经</w:t>
            </w:r>
            <w:r>
              <w:rPr>
                <w:rFonts w:hint="eastAsia" w:ascii="Times New Roman" w:hAnsi="Times New Roman" w:cs="Times New Roman"/>
                <w:color w:val="auto"/>
                <w:kern w:val="0"/>
                <w:sz w:val="24"/>
                <w:szCs w:val="24"/>
                <w:lang w:val="en-US" w:eastAsia="zh-CN" w:bidi="ar"/>
              </w:rPr>
              <w:t>20.5</w:t>
            </w:r>
            <w:r>
              <w:rPr>
                <w:rFonts w:hint="eastAsia" w:ascii="Times New Roman" w:hAnsi="Times New Roman" w:eastAsia="宋体" w:cs="Times New Roman"/>
                <w:color w:val="auto"/>
                <w:kern w:val="0"/>
                <w:sz w:val="24"/>
                <w:szCs w:val="24"/>
                <w:lang w:val="en-US" w:eastAsia="zh-CN" w:bidi="ar"/>
              </w:rPr>
              <w:t>m高排气筒（DA001）排放</w:t>
            </w:r>
            <w:r>
              <w:rPr>
                <w:rFonts w:hint="eastAsia" w:ascii="Times New Roman" w:hAnsi="Times New Roman" w:cs="Times New Roman"/>
                <w:color w:val="auto"/>
                <w:kern w:val="0"/>
                <w:sz w:val="24"/>
                <w:szCs w:val="24"/>
                <w:lang w:val="en-US" w:eastAsia="zh-CN" w:bidi="ar"/>
              </w:rPr>
              <w:t>；固废及危废经收集得到妥</w:t>
            </w:r>
            <w:r>
              <w:rPr>
                <w:rFonts w:hint="eastAsia" w:ascii="Times New Roman" w:hAnsi="Times New Roman" w:eastAsia="宋体" w:cs="Times New Roman"/>
                <w:color w:val="auto"/>
                <w:kern w:val="0"/>
                <w:sz w:val="24"/>
                <w:szCs w:val="24"/>
                <w:lang w:val="en-US" w:eastAsia="zh-CN" w:bidi="ar"/>
              </w:rPr>
              <w:t>善处置，均满足《鄂尔多斯生态环境保护条例》的相关要求。</w:t>
            </w:r>
          </w:p>
          <w:p w14:paraId="77B470DA">
            <w:pPr>
              <w:pStyle w:val="47"/>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right="0" w:firstLine="465"/>
              <w:textAlignment w:val="auto"/>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与《内蒙古自治区大气污染防治条例》的符合性分析</w:t>
            </w:r>
          </w:p>
          <w:p w14:paraId="089757DC">
            <w:pPr>
              <w:pStyle w:val="47"/>
              <w:keepNext w:val="0"/>
              <w:keepLines w:val="0"/>
              <w:pageBreakBefore w:val="0"/>
              <w:widowControl w:val="0"/>
              <w:kinsoku/>
              <w:wordWrap/>
              <w:overflowPunct/>
              <w:topLinePunct w:val="0"/>
              <w:autoSpaceDE/>
              <w:autoSpaceDN/>
              <w:bidi w:val="0"/>
              <w:adjustRightInd/>
              <w:snapToGrid/>
              <w:spacing w:line="360" w:lineRule="auto"/>
              <w:ind w:left="0" w:right="0" w:firstLine="461"/>
              <w:textAlignment w:val="auto"/>
              <w:rPr>
                <w:rFonts w:hint="eastAsia" w:ascii="Times New Roman" w:hAnsi="Times New Roman"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w:t>
            </w:r>
            <w:r>
              <w:rPr>
                <w:rFonts w:hint="eastAsia" w:ascii="Times New Roman" w:hAnsi="Times New Roman" w:cs="Times New Roman"/>
                <w:color w:val="auto"/>
                <w:kern w:val="0"/>
                <w:sz w:val="24"/>
                <w:szCs w:val="24"/>
                <w:lang w:val="en-US" w:eastAsia="zh-CN" w:bidi="ar"/>
              </w:rPr>
              <w:t>为环氧玻璃纤维高压管道生产项目，主要生产工艺包含原材料配比、搅拌、玻璃纤维缠绕、固化成型、切割打磨、静电喷涂、成品检验等工序。项目生产过程大气污染物主要为少量原料搅拌、玻璃纤维缠绕（浸润）、固化工序产生的有机废气和静电喷涂产生的有机废气，废气产生量小、污染物浓度低，全程配套完善的废气收集、处理及防尘抑尘设施，生产运营全过程遵循绿色低碳、低污染排放原则。</w:t>
            </w:r>
          </w:p>
          <w:p w14:paraId="35BC5C2D">
            <w:pPr>
              <w:pStyle w:val="47"/>
              <w:keepNext w:val="0"/>
              <w:keepLines w:val="0"/>
              <w:pageBreakBefore w:val="0"/>
              <w:widowControl w:val="0"/>
              <w:kinsoku/>
              <w:wordWrap/>
              <w:overflowPunct/>
              <w:topLinePunct w:val="0"/>
              <w:autoSpaceDE/>
              <w:autoSpaceDN/>
              <w:bidi w:val="0"/>
              <w:adjustRightInd/>
              <w:snapToGrid/>
              <w:spacing w:line="360" w:lineRule="auto"/>
              <w:ind w:left="0" w:right="0" w:firstLine="461"/>
              <w:textAlignment w:val="auto"/>
              <w:rPr>
                <w:rFonts w:hint="default"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因此，项目建设符合《内蒙古自治区大气污染防治条例》的相关要求。</w:t>
            </w:r>
          </w:p>
          <w:p w14:paraId="39020B56">
            <w:pPr>
              <w:pStyle w:val="47"/>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right="0" w:firstLine="465"/>
              <w:textAlignment w:val="auto"/>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与《挥发性有机物无组织排放控制标准（GB37822-2019）》的符合性分析</w:t>
            </w:r>
          </w:p>
          <w:p w14:paraId="4F8E4F18">
            <w:pPr>
              <w:pStyle w:val="47"/>
              <w:keepNext w:val="0"/>
              <w:keepLines w:val="0"/>
              <w:pageBreakBefore w:val="0"/>
              <w:widowControl w:val="0"/>
              <w:kinsoku/>
              <w:wordWrap/>
              <w:overflowPunct/>
              <w:topLinePunct w:val="0"/>
              <w:autoSpaceDE/>
              <w:autoSpaceDN/>
              <w:bidi w:val="0"/>
              <w:adjustRightInd/>
              <w:snapToGrid/>
              <w:spacing w:line="360" w:lineRule="auto"/>
              <w:ind w:left="0" w:right="0" w:firstLine="461"/>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本项目与《挥发性有机物无组织排放控制标准（GB37822-2019）》的符合性分析见下表：</w:t>
            </w:r>
          </w:p>
          <w:p w14:paraId="3BFB71DC">
            <w:pPr>
              <w:pStyle w:val="6"/>
              <w:keepNext w:val="0"/>
              <w:keepLines w:val="0"/>
              <w:pageBreakBefore w:val="0"/>
              <w:widowControl w:val="0"/>
              <w:kinsoku/>
              <w:wordWrap/>
              <w:overflowPunct/>
              <w:topLinePunct w:val="0"/>
              <w:autoSpaceDE/>
              <w:autoSpaceDN/>
              <w:bidi w:val="0"/>
              <w:adjustRightInd/>
              <w:snapToGrid/>
              <w:spacing w:line="240" w:lineRule="auto"/>
              <w:ind w:firstLine="482" w:firstLineChars="200"/>
              <w:jc w:val="center"/>
              <w:textAlignment w:val="auto"/>
              <w:rPr>
                <w:rFonts w:hint="eastAsia" w:ascii="Times New Roman" w:hAnsi="Times New Roman" w:eastAsia="宋体" w:cs="Times New Roman"/>
                <w:b/>
                <w:bCs/>
                <w:color w:val="auto"/>
                <w:kern w:val="0"/>
                <w:sz w:val="24"/>
                <w:szCs w:val="24"/>
                <w:lang w:val="en-US" w:eastAsia="zh-CN" w:bidi="ar-SA"/>
              </w:rPr>
            </w:pPr>
            <w:r>
              <w:rPr>
                <w:rFonts w:hint="eastAsia" w:ascii="Times New Roman" w:hAnsi="Times New Roman" w:eastAsia="宋体" w:cs="Times New Roman"/>
                <w:b/>
                <w:bCs/>
                <w:color w:val="auto"/>
                <w:kern w:val="0"/>
                <w:sz w:val="24"/>
                <w:szCs w:val="24"/>
                <w:lang w:val="en-US" w:eastAsia="zh-CN" w:bidi="ar-SA"/>
              </w:rPr>
              <w:t>表1-</w:t>
            </w:r>
            <w:r>
              <w:rPr>
                <w:rFonts w:hint="eastAsia" w:cs="Times New Roman"/>
                <w:b/>
                <w:bCs/>
                <w:color w:val="auto"/>
                <w:kern w:val="0"/>
                <w:sz w:val="24"/>
                <w:szCs w:val="24"/>
                <w:lang w:val="en-US" w:eastAsia="zh-CN" w:bidi="ar-SA"/>
              </w:rPr>
              <w:t>4</w:t>
            </w:r>
            <w:r>
              <w:rPr>
                <w:rFonts w:hint="eastAsia" w:ascii="Times New Roman" w:hAnsi="Times New Roman" w:eastAsia="宋体" w:cs="Times New Roman"/>
                <w:b/>
                <w:bCs/>
                <w:color w:val="auto"/>
                <w:kern w:val="0"/>
                <w:sz w:val="24"/>
                <w:szCs w:val="24"/>
                <w:lang w:val="en-US" w:eastAsia="zh-CN" w:bidi="ar-SA"/>
              </w:rPr>
              <w:t xml:space="preserve">    与《挥发性有机物无组织排放控制标准》（GB37822-2019）符合性</w:t>
            </w:r>
          </w:p>
          <w:tbl>
            <w:tblPr>
              <w:tblStyle w:val="23"/>
              <w:tblW w:w="70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4"/>
              <w:gridCol w:w="2196"/>
              <w:gridCol w:w="992"/>
            </w:tblGrid>
            <w:tr w14:paraId="7400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24" w:type="dxa"/>
                  <w:shd w:val="clear" w:color="auto" w:fill="auto"/>
                  <w:vAlign w:val="center"/>
                </w:tcPr>
                <w:p w14:paraId="3F9FB047">
                  <w:pPr>
                    <w:pStyle w:val="47"/>
                    <w:spacing w:before="26" w:line="217"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标准内容</w:t>
                  </w:r>
                </w:p>
              </w:tc>
              <w:tc>
                <w:tcPr>
                  <w:tcW w:w="2196" w:type="dxa"/>
                  <w:shd w:val="clear" w:color="auto" w:fill="auto"/>
                  <w:vAlign w:val="center"/>
                </w:tcPr>
                <w:p w14:paraId="1A47A0AF">
                  <w:pPr>
                    <w:pStyle w:val="47"/>
                    <w:spacing w:before="26" w:line="217" w:lineRule="auto"/>
                    <w:ind w:firstLine="224" w:firstLineChars="10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7"/>
                      <w:sz w:val="21"/>
                      <w:szCs w:val="21"/>
                    </w:rPr>
                    <w:t>项目建设情况</w:t>
                  </w:r>
                </w:p>
              </w:tc>
              <w:tc>
                <w:tcPr>
                  <w:tcW w:w="992" w:type="dxa"/>
                  <w:shd w:val="clear" w:color="auto" w:fill="auto"/>
                  <w:vAlign w:val="top"/>
                </w:tcPr>
                <w:p w14:paraId="4C12D869">
                  <w:pPr>
                    <w:pStyle w:val="47"/>
                    <w:spacing w:before="26" w:line="217" w:lineRule="auto"/>
                    <w:ind w:left="54" w:left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6"/>
                      <w:sz w:val="21"/>
                      <w:szCs w:val="21"/>
                    </w:rPr>
                    <w:t>符合性</w:t>
                  </w:r>
                </w:p>
              </w:tc>
            </w:tr>
            <w:tr w14:paraId="614F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4" w:type="dxa"/>
                  <w:shd w:val="clear" w:color="auto" w:fill="auto"/>
                  <w:vAlign w:val="top"/>
                </w:tcPr>
                <w:p w14:paraId="26BC9A2B">
                  <w:pPr>
                    <w:pStyle w:val="47"/>
                    <w:spacing w:before="29" w:line="244" w:lineRule="auto"/>
                    <w:ind w:left="46" w:leftChars="0" w:right="40" w:rightChars="0" w:hanging="6"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6"/>
                      <w:sz w:val="21"/>
                      <w:szCs w:val="21"/>
                    </w:rPr>
                    <w:t>物料应储存于密闭的容器、包装袋、储罐、储</w:t>
                  </w:r>
                  <w:r>
                    <w:rPr>
                      <w:rFonts w:hint="default" w:ascii="Times New Roman" w:hAnsi="Times New Roman" w:eastAsia="宋体" w:cs="Times New Roman"/>
                      <w:color w:val="auto"/>
                      <w:spacing w:val="13"/>
                      <w:sz w:val="21"/>
                      <w:szCs w:val="21"/>
                    </w:rPr>
                    <w:t>库、料仓中。盛装</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3"/>
                      <w:sz w:val="21"/>
                      <w:szCs w:val="21"/>
                    </w:rPr>
                    <w:t>物料的容器或包装袋应存放于室内，或存放于设置有雨棚、遮阳和防渗设施的专用场地。盛装</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3"/>
                      <w:sz w:val="21"/>
                      <w:szCs w:val="21"/>
                    </w:rPr>
                    <w:t>物料的容器或包装袋在非</w:t>
                  </w:r>
                  <w:r>
                    <w:rPr>
                      <w:rFonts w:hint="default" w:ascii="Times New Roman" w:hAnsi="Times New Roman" w:eastAsia="宋体" w:cs="Times New Roman"/>
                      <w:color w:val="auto"/>
                      <w:spacing w:val="8"/>
                      <w:sz w:val="21"/>
                      <w:szCs w:val="21"/>
                    </w:rPr>
                    <w:t>取用状态时应加盖、封口，保持密闭。</w:t>
                  </w:r>
                </w:p>
              </w:tc>
              <w:tc>
                <w:tcPr>
                  <w:tcW w:w="2196" w:type="dxa"/>
                  <w:shd w:val="clear" w:color="auto" w:fill="auto"/>
                  <w:vAlign w:val="center"/>
                </w:tcPr>
                <w:p w14:paraId="64C8A31D">
                  <w:pPr>
                    <w:pStyle w:val="47"/>
                    <w:spacing w:before="160" w:line="252" w:lineRule="auto"/>
                    <w:ind w:left="45" w:leftChars="0" w:right="41" w:rightChars="0" w:firstLine="9" w:firstLine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9"/>
                      <w:sz w:val="21"/>
                      <w:szCs w:val="21"/>
                    </w:rPr>
                    <w:t>项目有机原辅料均密</w:t>
                  </w:r>
                  <w:r>
                    <w:rPr>
                      <w:rFonts w:hint="default" w:ascii="Times New Roman" w:hAnsi="Times New Roman" w:eastAsia="宋体" w:cs="Times New Roman"/>
                      <w:color w:val="auto"/>
                      <w:spacing w:val="32"/>
                      <w:sz w:val="21"/>
                      <w:szCs w:val="21"/>
                    </w:rPr>
                    <w:t>闭储存</w:t>
                  </w:r>
                  <w:r>
                    <w:rPr>
                      <w:rFonts w:hint="default" w:ascii="Times New Roman" w:hAnsi="Times New Roman" w:eastAsia="宋体" w:cs="Times New Roman"/>
                      <w:color w:val="auto"/>
                      <w:spacing w:val="4"/>
                      <w:sz w:val="21"/>
                      <w:szCs w:val="21"/>
                    </w:rPr>
                    <w:t>，物料仓库</w:t>
                  </w:r>
                  <w:r>
                    <w:rPr>
                      <w:rFonts w:hint="default" w:ascii="Times New Roman" w:hAnsi="Times New Roman" w:eastAsia="宋体" w:cs="Times New Roman"/>
                      <w:color w:val="auto"/>
                      <w:spacing w:val="9"/>
                      <w:sz w:val="21"/>
                      <w:szCs w:val="21"/>
                    </w:rPr>
                    <w:t>可满足上述要求</w:t>
                  </w:r>
                  <w:r>
                    <w:rPr>
                      <w:rFonts w:hint="eastAsia" w:ascii="Times New Roman" w:hAnsi="Times New Roman" w:eastAsia="宋体" w:cs="Times New Roman"/>
                      <w:color w:val="auto"/>
                      <w:spacing w:val="9"/>
                      <w:sz w:val="21"/>
                      <w:szCs w:val="21"/>
                      <w:lang w:eastAsia="zh-CN"/>
                    </w:rPr>
                    <w:t>。</w:t>
                  </w:r>
                </w:p>
              </w:tc>
              <w:tc>
                <w:tcPr>
                  <w:tcW w:w="992" w:type="dxa"/>
                  <w:shd w:val="clear" w:color="auto" w:fill="auto"/>
                  <w:vAlign w:val="top"/>
                </w:tcPr>
                <w:p w14:paraId="4AB19C48">
                  <w:pPr>
                    <w:spacing w:line="251" w:lineRule="auto"/>
                    <w:rPr>
                      <w:rFonts w:hint="default" w:ascii="Times New Roman" w:hAnsi="Times New Roman" w:eastAsia="宋体" w:cs="Times New Roman"/>
                      <w:color w:val="auto"/>
                      <w:sz w:val="21"/>
                      <w:szCs w:val="21"/>
                    </w:rPr>
                  </w:pPr>
                </w:p>
                <w:p w14:paraId="5375C992">
                  <w:pPr>
                    <w:spacing w:line="251" w:lineRule="auto"/>
                    <w:rPr>
                      <w:rFonts w:hint="default" w:ascii="Times New Roman" w:hAnsi="Times New Roman" w:eastAsia="宋体" w:cs="Times New Roman"/>
                      <w:color w:val="auto"/>
                      <w:sz w:val="21"/>
                      <w:szCs w:val="21"/>
                    </w:rPr>
                  </w:pPr>
                </w:p>
                <w:p w14:paraId="09FA9954">
                  <w:pPr>
                    <w:pStyle w:val="47"/>
                    <w:spacing w:before="65" w:line="227" w:lineRule="auto"/>
                    <w:ind w:left="159" w:left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3"/>
                      <w:sz w:val="21"/>
                      <w:szCs w:val="21"/>
                    </w:rPr>
                    <w:t>符合</w:t>
                  </w:r>
                </w:p>
              </w:tc>
            </w:tr>
            <w:tr w14:paraId="4BC3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4" w:type="dxa"/>
                  <w:shd w:val="clear" w:color="auto" w:fill="auto"/>
                  <w:vAlign w:val="top"/>
                </w:tcPr>
                <w:p w14:paraId="7375E212">
                  <w:pPr>
                    <w:pStyle w:val="47"/>
                    <w:spacing w:before="29" w:line="245" w:lineRule="auto"/>
                    <w:ind w:left="46" w:leftChars="0" w:firstLine="2"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2"/>
                      <w:sz w:val="21"/>
                      <w:szCs w:val="21"/>
                    </w:rPr>
                    <w:t>液态</w:t>
                  </w:r>
                  <w:r>
                    <w:rPr>
                      <w:rFonts w:hint="default" w:ascii="Times New Roman" w:hAnsi="Times New Roman" w:eastAsia="宋体" w:cs="Times New Roman"/>
                      <w:color w:val="auto"/>
                      <w:spacing w:val="-38"/>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8"/>
                      <w:sz w:val="21"/>
                      <w:szCs w:val="21"/>
                    </w:rPr>
                    <w:t xml:space="preserve"> </w:t>
                  </w:r>
                  <w:r>
                    <w:rPr>
                      <w:rFonts w:hint="default" w:ascii="Times New Roman" w:hAnsi="Times New Roman" w:eastAsia="宋体" w:cs="Times New Roman"/>
                      <w:color w:val="auto"/>
                      <w:spacing w:val="12"/>
                      <w:sz w:val="21"/>
                      <w:szCs w:val="21"/>
                    </w:rPr>
                    <w:t>物料应采用密闭管道输送。采用非管道</w:t>
                  </w:r>
                  <w:r>
                    <w:rPr>
                      <w:rFonts w:hint="default" w:ascii="Times New Roman" w:hAnsi="Times New Roman" w:eastAsia="宋体" w:cs="Times New Roman"/>
                      <w:color w:val="auto"/>
                      <w:spacing w:val="5"/>
                      <w:sz w:val="21"/>
                      <w:szCs w:val="21"/>
                    </w:rPr>
                    <w:t>输送方式转移液态</w:t>
                  </w:r>
                  <w:r>
                    <w:rPr>
                      <w:rFonts w:hint="default" w:ascii="Times New Roman" w:hAnsi="Times New Roman" w:eastAsia="宋体" w:cs="Times New Roman"/>
                      <w:color w:val="auto"/>
                      <w:spacing w:val="-27"/>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5"/>
                      <w:sz w:val="21"/>
                      <w:szCs w:val="21"/>
                    </w:rPr>
                    <w:t xml:space="preserve"> 物料时，应采用密闭容器、罐车。粉状、粒状</w:t>
                  </w:r>
                  <w:r>
                    <w:rPr>
                      <w:rFonts w:hint="default" w:ascii="Times New Roman" w:hAnsi="Times New Roman" w:eastAsia="宋体" w:cs="Times New Roman"/>
                      <w:color w:val="auto"/>
                      <w:spacing w:val="-27"/>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5"/>
                      <w:sz w:val="21"/>
                      <w:szCs w:val="21"/>
                    </w:rPr>
                    <w:t xml:space="preserve"> 物料应采用气力输送设备、</w:t>
                  </w:r>
                  <w:r>
                    <w:rPr>
                      <w:rFonts w:hint="default" w:ascii="Times New Roman" w:hAnsi="Times New Roman" w:eastAsia="宋体" w:cs="Times New Roman"/>
                      <w:color w:val="auto"/>
                      <w:spacing w:val="11"/>
                      <w:sz w:val="21"/>
                      <w:szCs w:val="21"/>
                    </w:rPr>
                    <w:t>管状带式输送机、螺旋输送机等密闭输送方式，或</w:t>
                  </w:r>
                  <w:r>
                    <w:rPr>
                      <w:rFonts w:hint="default" w:ascii="Times New Roman" w:hAnsi="Times New Roman" w:eastAsia="宋体" w:cs="Times New Roman"/>
                      <w:color w:val="auto"/>
                      <w:spacing w:val="12"/>
                      <w:sz w:val="21"/>
                      <w:szCs w:val="21"/>
                    </w:rPr>
                    <w:t>者采用密闭的包装袋、容器或罐车进行物料转移。</w:t>
                  </w:r>
                  <w:r>
                    <w:rPr>
                      <w:rFonts w:hint="default" w:ascii="Times New Roman" w:hAnsi="Times New Roman" w:eastAsia="宋体" w:cs="Times New Roman"/>
                      <w:color w:val="auto"/>
                      <w:spacing w:val="5"/>
                      <w:sz w:val="21"/>
                      <w:szCs w:val="21"/>
                    </w:rPr>
                    <w:t>对挥发性有机液体进行装载时，应符合</w:t>
                  </w:r>
                  <w:r>
                    <w:rPr>
                      <w:rFonts w:hint="default" w:ascii="Times New Roman" w:hAnsi="Times New Roman" w:eastAsia="宋体" w:cs="Times New Roman"/>
                      <w:color w:val="auto"/>
                      <w:spacing w:val="-20"/>
                      <w:sz w:val="21"/>
                      <w:szCs w:val="21"/>
                    </w:rPr>
                    <w:t xml:space="preserve"> </w:t>
                  </w:r>
                  <w:r>
                    <w:rPr>
                      <w:rFonts w:hint="default" w:ascii="Times New Roman" w:hAnsi="Times New Roman" w:eastAsia="宋体" w:cs="Times New Roman"/>
                      <w:color w:val="auto"/>
                      <w:spacing w:val="5"/>
                      <w:sz w:val="21"/>
                      <w:szCs w:val="21"/>
                    </w:rPr>
                    <w:t>6.2 条规定。</w:t>
                  </w:r>
                </w:p>
              </w:tc>
              <w:tc>
                <w:tcPr>
                  <w:tcW w:w="2196" w:type="dxa"/>
                  <w:shd w:val="clear" w:color="auto" w:fill="auto"/>
                  <w:vAlign w:val="center"/>
                </w:tcPr>
                <w:p w14:paraId="2067D8CD">
                  <w:pPr>
                    <w:pStyle w:val="47"/>
                    <w:spacing w:before="162" w:line="252" w:lineRule="auto"/>
                    <w:ind w:left="50" w:leftChars="0" w:right="39" w:rightChars="0" w:firstLine="4" w:firstLine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0"/>
                      <w:sz w:val="21"/>
                      <w:szCs w:val="21"/>
                    </w:rPr>
                    <w:t>项目有机原辅料均为桶装，在物料仓库内密闭存储，厂区内转移时直接转移</w:t>
                  </w:r>
                  <w:r>
                    <w:rPr>
                      <w:rFonts w:hint="default" w:ascii="Times New Roman" w:hAnsi="Times New Roman" w:eastAsia="宋体" w:cs="Times New Roman"/>
                      <w:color w:val="auto"/>
                      <w:spacing w:val="9"/>
                      <w:sz w:val="21"/>
                      <w:szCs w:val="21"/>
                    </w:rPr>
                    <w:t>密闭包装桶</w:t>
                  </w:r>
                  <w:r>
                    <w:rPr>
                      <w:rFonts w:hint="eastAsia" w:ascii="Times New Roman" w:hAnsi="Times New Roman" w:eastAsia="宋体" w:cs="Times New Roman"/>
                      <w:color w:val="auto"/>
                      <w:spacing w:val="9"/>
                      <w:sz w:val="21"/>
                      <w:szCs w:val="21"/>
                      <w:lang w:eastAsia="zh-CN"/>
                    </w:rPr>
                    <w:t>。</w:t>
                  </w:r>
                </w:p>
              </w:tc>
              <w:tc>
                <w:tcPr>
                  <w:tcW w:w="992" w:type="dxa"/>
                  <w:shd w:val="clear" w:color="auto" w:fill="auto"/>
                  <w:vAlign w:val="top"/>
                </w:tcPr>
                <w:p w14:paraId="3C4F4776">
                  <w:pPr>
                    <w:spacing w:line="318" w:lineRule="auto"/>
                    <w:rPr>
                      <w:rFonts w:hint="default" w:ascii="Times New Roman" w:hAnsi="Times New Roman" w:eastAsia="宋体" w:cs="Times New Roman"/>
                      <w:color w:val="auto"/>
                      <w:sz w:val="21"/>
                      <w:szCs w:val="21"/>
                    </w:rPr>
                  </w:pPr>
                </w:p>
                <w:p w14:paraId="154F1C30">
                  <w:pPr>
                    <w:spacing w:line="319" w:lineRule="auto"/>
                    <w:rPr>
                      <w:rFonts w:hint="default" w:ascii="Times New Roman" w:hAnsi="Times New Roman" w:eastAsia="宋体" w:cs="Times New Roman"/>
                      <w:color w:val="auto"/>
                      <w:sz w:val="21"/>
                      <w:szCs w:val="21"/>
                    </w:rPr>
                  </w:pPr>
                </w:p>
                <w:p w14:paraId="53A98391">
                  <w:pPr>
                    <w:pStyle w:val="47"/>
                    <w:spacing w:before="65" w:line="227" w:lineRule="auto"/>
                    <w:ind w:left="159" w:left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3"/>
                      <w:sz w:val="21"/>
                      <w:szCs w:val="21"/>
                    </w:rPr>
                    <w:t>符合</w:t>
                  </w:r>
                </w:p>
              </w:tc>
            </w:tr>
            <w:tr w14:paraId="3FA3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4" w:type="dxa"/>
                  <w:shd w:val="clear" w:color="auto" w:fill="auto"/>
                  <w:vAlign w:val="top"/>
                </w:tcPr>
                <w:p w14:paraId="22FAC46E">
                  <w:pPr>
                    <w:pStyle w:val="47"/>
                    <w:spacing w:before="31" w:line="248" w:lineRule="auto"/>
                    <w:ind w:left="40" w:leftChars="0" w:right="40" w:rightChars="0" w:firstLine="7"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3"/>
                      <w:sz w:val="21"/>
                      <w:szCs w:val="21"/>
                    </w:rPr>
                    <w:t>液态</w:t>
                  </w:r>
                  <w:r>
                    <w:rPr>
                      <w:rFonts w:hint="default" w:ascii="Times New Roman" w:hAnsi="Times New Roman" w:eastAsia="宋体" w:cs="Times New Roman"/>
                      <w:color w:val="auto"/>
                      <w:spacing w:val="-30"/>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8"/>
                      <w:w w:val="101"/>
                      <w:sz w:val="21"/>
                      <w:szCs w:val="21"/>
                    </w:rPr>
                    <w:t xml:space="preserve"> </w:t>
                  </w:r>
                  <w:r>
                    <w:rPr>
                      <w:rFonts w:hint="default" w:ascii="Times New Roman" w:hAnsi="Times New Roman" w:eastAsia="宋体" w:cs="Times New Roman"/>
                      <w:color w:val="auto"/>
                      <w:spacing w:val="13"/>
                      <w:sz w:val="21"/>
                      <w:szCs w:val="21"/>
                    </w:rPr>
                    <w:t>物料应采用密闭管道输送方式或采用高</w:t>
                  </w:r>
                  <w:r>
                    <w:rPr>
                      <w:rFonts w:hint="default" w:ascii="Times New Roman" w:hAnsi="Times New Roman" w:eastAsia="宋体" w:cs="Times New Roman"/>
                      <w:color w:val="auto"/>
                      <w:spacing w:val="11"/>
                      <w:sz w:val="21"/>
                      <w:szCs w:val="21"/>
                    </w:rPr>
                    <w:t>位槽（罐）</w:t>
                  </w:r>
                  <w:r>
                    <w:rPr>
                      <w:rFonts w:hint="default" w:ascii="Times New Roman" w:hAnsi="Times New Roman" w:eastAsia="宋体" w:cs="Times New Roman"/>
                      <w:color w:val="auto"/>
                      <w:spacing w:val="-51"/>
                      <w:sz w:val="21"/>
                      <w:szCs w:val="21"/>
                    </w:rPr>
                    <w:t xml:space="preserve"> </w:t>
                  </w:r>
                  <w:r>
                    <w:rPr>
                      <w:rFonts w:hint="default" w:ascii="Times New Roman" w:hAnsi="Times New Roman" w:eastAsia="宋体" w:cs="Times New Roman"/>
                      <w:color w:val="auto"/>
                      <w:spacing w:val="11"/>
                      <w:sz w:val="21"/>
                      <w:szCs w:val="21"/>
                    </w:rPr>
                    <w:t>、桶泵等给料方式密闭投加。无法密闭</w:t>
                  </w:r>
                  <w:r>
                    <w:rPr>
                      <w:rFonts w:hint="default" w:ascii="Times New Roman" w:hAnsi="Times New Roman" w:eastAsia="宋体" w:cs="Times New Roman"/>
                      <w:color w:val="auto"/>
                      <w:spacing w:val="13"/>
                      <w:sz w:val="21"/>
                      <w:szCs w:val="21"/>
                    </w:rPr>
                    <w:t>投加的，应在密闭空间内操作，或进行局部气体收</w:t>
                  </w:r>
                  <w:r>
                    <w:rPr>
                      <w:rFonts w:hint="default" w:ascii="Times New Roman" w:hAnsi="Times New Roman" w:eastAsia="宋体" w:cs="Times New Roman"/>
                      <w:color w:val="auto"/>
                      <w:spacing w:val="14"/>
                      <w:sz w:val="21"/>
                      <w:szCs w:val="21"/>
                    </w:rPr>
                    <w:t>集，废气应排至</w:t>
                  </w:r>
                  <w:r>
                    <w:rPr>
                      <w:rFonts w:hint="default" w:ascii="Times New Roman" w:hAnsi="Times New Roman" w:eastAsia="宋体" w:cs="Times New Roman"/>
                      <w:color w:val="auto"/>
                      <w:spacing w:val="-40"/>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8"/>
                      <w:sz w:val="21"/>
                      <w:szCs w:val="21"/>
                    </w:rPr>
                    <w:t xml:space="preserve"> </w:t>
                  </w:r>
                  <w:r>
                    <w:rPr>
                      <w:rFonts w:hint="default" w:ascii="Times New Roman" w:hAnsi="Times New Roman" w:eastAsia="宋体" w:cs="Times New Roman"/>
                      <w:color w:val="auto"/>
                      <w:spacing w:val="14"/>
                      <w:sz w:val="21"/>
                      <w:szCs w:val="21"/>
                    </w:rPr>
                    <w:t>废气收集处理系统。粉状、粒状</w:t>
                  </w:r>
                  <w:r>
                    <w:rPr>
                      <w:rFonts w:hint="default" w:ascii="Times New Roman" w:hAnsi="Times New Roman" w:eastAsia="宋体" w:cs="Times New Roman"/>
                      <w:color w:val="auto"/>
                      <w:spacing w:val="-41"/>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8"/>
                      <w:w w:val="101"/>
                      <w:sz w:val="21"/>
                      <w:szCs w:val="21"/>
                    </w:rPr>
                    <w:t xml:space="preserve"> </w:t>
                  </w:r>
                  <w:r>
                    <w:rPr>
                      <w:rFonts w:hint="default" w:ascii="Times New Roman" w:hAnsi="Times New Roman" w:eastAsia="宋体" w:cs="Times New Roman"/>
                      <w:color w:val="auto"/>
                      <w:spacing w:val="14"/>
                      <w:sz w:val="21"/>
                      <w:szCs w:val="21"/>
                    </w:rPr>
                    <w:t>物料应采用气力输送方式或采用密闭固</w:t>
                  </w:r>
                  <w:r>
                    <w:rPr>
                      <w:rFonts w:hint="default" w:ascii="Times New Roman" w:hAnsi="Times New Roman" w:eastAsia="宋体" w:cs="Times New Roman"/>
                      <w:color w:val="auto"/>
                      <w:spacing w:val="13"/>
                      <w:sz w:val="21"/>
                      <w:szCs w:val="21"/>
                    </w:rPr>
                    <w:t>体投料器等给料方式密闭投加。无法密闭投加的，应在密闭空间内操作，或进行局部气体收集，废气</w:t>
                  </w:r>
                  <w:r>
                    <w:rPr>
                      <w:rFonts w:hint="default" w:ascii="Times New Roman" w:hAnsi="Times New Roman" w:eastAsia="宋体" w:cs="Times New Roman"/>
                      <w:color w:val="auto"/>
                      <w:spacing w:val="12"/>
                      <w:sz w:val="21"/>
                      <w:szCs w:val="21"/>
                    </w:rPr>
                    <w:t>应排至除尘设施、</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2"/>
                      <w:sz w:val="21"/>
                      <w:szCs w:val="21"/>
                    </w:rPr>
                    <w:t xml:space="preserve"> 废气收集处理系统。</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3"/>
                      <w:sz w:val="21"/>
                      <w:szCs w:val="21"/>
                    </w:rPr>
                    <w:t>物料卸（出、放）料过程应密闭，卸料废气应排至</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6"/>
                      <w:sz w:val="21"/>
                      <w:szCs w:val="21"/>
                    </w:rPr>
                    <w:t xml:space="preserve"> 废气收集处理系统；无法密闭的，应采取局部</w:t>
                  </w:r>
                  <w:r>
                    <w:rPr>
                      <w:rFonts w:hint="default" w:ascii="Times New Roman" w:hAnsi="Times New Roman" w:eastAsia="宋体" w:cs="Times New Roman"/>
                      <w:color w:val="auto"/>
                      <w:spacing w:val="14"/>
                      <w:sz w:val="21"/>
                      <w:szCs w:val="21"/>
                    </w:rPr>
                    <w:t>气体收集措施，废气应排至</w:t>
                  </w:r>
                  <w:r>
                    <w:rPr>
                      <w:rFonts w:hint="default" w:ascii="Times New Roman" w:hAnsi="Times New Roman" w:eastAsia="宋体" w:cs="Times New Roman"/>
                      <w:color w:val="auto"/>
                      <w:spacing w:val="-40"/>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7"/>
                      <w:w w:val="101"/>
                      <w:sz w:val="21"/>
                      <w:szCs w:val="21"/>
                    </w:rPr>
                    <w:t xml:space="preserve"> </w:t>
                  </w:r>
                  <w:r>
                    <w:rPr>
                      <w:rFonts w:hint="default" w:ascii="Times New Roman" w:hAnsi="Times New Roman" w:eastAsia="宋体" w:cs="Times New Roman"/>
                      <w:color w:val="auto"/>
                      <w:spacing w:val="14"/>
                      <w:sz w:val="21"/>
                      <w:szCs w:val="21"/>
                    </w:rPr>
                    <w:t>废气收集处理系</w:t>
                  </w:r>
                  <w:r>
                    <w:rPr>
                      <w:rFonts w:hint="default" w:ascii="Times New Roman" w:hAnsi="Times New Roman" w:eastAsia="宋体" w:cs="Times New Roman"/>
                      <w:color w:val="auto"/>
                      <w:spacing w:val="3"/>
                      <w:sz w:val="21"/>
                      <w:szCs w:val="21"/>
                    </w:rPr>
                    <w:t>统。</w:t>
                  </w:r>
                </w:p>
              </w:tc>
              <w:tc>
                <w:tcPr>
                  <w:tcW w:w="2196" w:type="dxa"/>
                  <w:shd w:val="clear" w:color="auto" w:fill="auto"/>
                  <w:vAlign w:val="center"/>
                </w:tcPr>
                <w:p w14:paraId="4984B4CA">
                  <w:pPr>
                    <w:widowControl/>
                    <w:jc w:val="center"/>
                    <w:textAlignment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0"/>
                      <w:sz w:val="21"/>
                      <w:szCs w:val="21"/>
                    </w:rPr>
                    <w:t>项目生产车间密闭，搅拌废气</w:t>
                  </w:r>
                  <w:r>
                    <w:rPr>
                      <w:rFonts w:hint="eastAsia" w:ascii="Times New Roman" w:hAnsi="Times New Roman" w:eastAsia="宋体" w:cs="Times New Roman"/>
                      <w:color w:val="auto"/>
                      <w:spacing w:val="20"/>
                      <w:sz w:val="21"/>
                      <w:szCs w:val="21"/>
                      <w:lang w:eastAsia="zh-CN"/>
                    </w:rPr>
                    <w:t>、</w:t>
                  </w:r>
                  <w:r>
                    <w:rPr>
                      <w:rFonts w:hint="default" w:ascii="Times New Roman" w:hAnsi="Times New Roman" w:eastAsia="宋体" w:cs="Times New Roman"/>
                      <w:color w:val="auto"/>
                      <w:spacing w:val="20"/>
                      <w:sz w:val="21"/>
                      <w:szCs w:val="21"/>
                    </w:rPr>
                    <w:t>缠绕、固化废气</w:t>
                  </w:r>
                  <w:r>
                    <w:rPr>
                      <w:rFonts w:hint="eastAsia" w:ascii="Times New Roman" w:hAnsi="Times New Roman" w:eastAsia="宋体" w:cs="Times New Roman"/>
                      <w:color w:val="auto"/>
                      <w:spacing w:val="20"/>
                      <w:sz w:val="21"/>
                      <w:szCs w:val="21"/>
                      <w:lang w:val="en-US" w:eastAsia="zh-CN"/>
                    </w:rPr>
                    <w:t>经集气罩收集后</w:t>
                  </w:r>
                  <w:r>
                    <w:rPr>
                      <w:rFonts w:hint="default" w:ascii="Times New Roman" w:hAnsi="Times New Roman" w:eastAsia="宋体" w:cs="Times New Roman"/>
                      <w:color w:val="auto"/>
                      <w:spacing w:val="20"/>
                      <w:sz w:val="21"/>
                      <w:szCs w:val="21"/>
                    </w:rPr>
                    <w:t>经密闭抽尘管道引至</w:t>
                  </w:r>
                  <w:r>
                    <w:rPr>
                      <w:rFonts w:hint="eastAsia" w:ascii="Times New Roman" w:hAnsi="Times New Roman" w:eastAsia="宋体" w:cs="Times New Roman"/>
                      <w:color w:val="auto"/>
                      <w:spacing w:val="20"/>
                      <w:sz w:val="21"/>
                      <w:szCs w:val="21"/>
                      <w:lang w:eastAsia="zh-CN"/>
                    </w:rPr>
                    <w:t>“</w:t>
                  </w:r>
                  <w:r>
                    <w:rPr>
                      <w:rFonts w:hint="eastAsia" w:ascii="Times New Roman" w:hAnsi="Times New Roman" w:eastAsia="宋体" w:cs="Times New Roman"/>
                      <w:color w:val="auto"/>
                      <w:spacing w:val="20"/>
                      <w:sz w:val="21"/>
                      <w:szCs w:val="21"/>
                      <w:highlight w:val="none"/>
                      <w:lang w:eastAsia="zh-CN"/>
                    </w:rPr>
                    <w:t>二级活性炭吸附</w:t>
                  </w:r>
                  <w:r>
                    <w:rPr>
                      <w:rFonts w:hint="eastAsia" w:ascii="Times New Roman" w:hAnsi="Times New Roman" w:eastAsia="宋体" w:cs="Times New Roman"/>
                      <w:color w:val="auto"/>
                      <w:spacing w:val="20"/>
                      <w:sz w:val="21"/>
                      <w:szCs w:val="21"/>
                      <w:lang w:eastAsia="zh-CN"/>
                    </w:rPr>
                    <w:t>”装置处理后经</w:t>
                  </w:r>
                  <w:r>
                    <w:rPr>
                      <w:rFonts w:hint="eastAsia" w:cs="Times New Roman"/>
                      <w:color w:val="auto"/>
                      <w:spacing w:val="20"/>
                      <w:sz w:val="21"/>
                      <w:szCs w:val="21"/>
                      <w:lang w:eastAsia="zh-CN"/>
                    </w:rPr>
                    <w:t>20.5m</w:t>
                  </w:r>
                  <w:r>
                    <w:rPr>
                      <w:rFonts w:hint="eastAsia" w:ascii="Times New Roman" w:hAnsi="Times New Roman" w:eastAsia="宋体" w:cs="Times New Roman"/>
                      <w:color w:val="auto"/>
                      <w:spacing w:val="20"/>
                      <w:sz w:val="21"/>
                      <w:szCs w:val="21"/>
                      <w:lang w:eastAsia="zh-CN"/>
                    </w:rPr>
                    <w:t>高排气筒（</w:t>
                  </w:r>
                  <w:r>
                    <w:rPr>
                      <w:rFonts w:hint="eastAsia" w:ascii="Times New Roman" w:hAnsi="Times New Roman" w:eastAsia="宋体" w:cs="Times New Roman"/>
                      <w:color w:val="auto"/>
                      <w:spacing w:val="20"/>
                      <w:sz w:val="21"/>
                      <w:szCs w:val="21"/>
                      <w:lang w:val="en-US" w:eastAsia="zh-CN"/>
                    </w:rPr>
                    <w:t>DA001</w:t>
                  </w:r>
                  <w:r>
                    <w:rPr>
                      <w:rFonts w:hint="eastAsia" w:ascii="Times New Roman" w:hAnsi="Times New Roman" w:eastAsia="宋体" w:cs="Times New Roman"/>
                      <w:color w:val="auto"/>
                      <w:spacing w:val="20"/>
                      <w:sz w:val="21"/>
                      <w:szCs w:val="21"/>
                      <w:lang w:eastAsia="zh-CN"/>
                    </w:rPr>
                    <w:t>）排放；</w:t>
                  </w:r>
                  <w:r>
                    <w:rPr>
                      <w:rFonts w:hint="eastAsia"/>
                      <w:color w:val="auto"/>
                      <w:kern w:val="0"/>
                      <w:sz w:val="21"/>
                      <w:szCs w:val="21"/>
                      <w:lang w:val="en-US" w:eastAsia="zh-CN" w:bidi="ar"/>
                    </w:rPr>
                    <w:t>静电喷涂装置自带负压吸收装置和</w:t>
                  </w:r>
                  <w:r>
                    <w:rPr>
                      <w:rFonts w:hint="eastAsia"/>
                      <w:color w:val="auto"/>
                      <w:spacing w:val="7"/>
                      <w:sz w:val="21"/>
                      <w:szCs w:val="21"/>
                      <w:lang w:val="en-US" w:eastAsia="zh-CN"/>
                    </w:rPr>
                    <w:t>“</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w:t>
                  </w:r>
                  <w:r>
                    <w:rPr>
                      <w:rFonts w:hint="eastAsia" w:ascii="Times New Roman" w:hAnsi="Times New Roman" w:eastAsia="宋体" w:cs="Times New Roman"/>
                      <w:color w:val="auto"/>
                      <w:spacing w:val="20"/>
                      <w:sz w:val="21"/>
                      <w:szCs w:val="21"/>
                      <w:lang w:val="en-US" w:eastAsia="zh-CN"/>
                    </w:rPr>
                    <w:t>废气</w:t>
                  </w:r>
                  <w:r>
                    <w:rPr>
                      <w:rFonts w:hint="eastAsia" w:cs="Times New Roman"/>
                      <w:color w:val="auto"/>
                      <w:spacing w:val="20"/>
                      <w:sz w:val="21"/>
                      <w:szCs w:val="21"/>
                      <w:lang w:val="en-US" w:eastAsia="zh-CN"/>
                    </w:rPr>
                    <w:t>负压吸收后由</w:t>
                  </w:r>
                  <w:r>
                    <w:rPr>
                      <w:rFonts w:hint="eastAsia" w:ascii="Times New Roman" w:hAnsi="Times New Roman" w:eastAsia="宋体" w:cs="Times New Roman"/>
                      <w:color w:val="auto"/>
                      <w:spacing w:val="20"/>
                      <w:sz w:val="21"/>
                      <w:szCs w:val="21"/>
                      <w:lang w:val="en-US" w:eastAsia="zh-CN"/>
                    </w:rPr>
                    <w:t>“</w:t>
                  </w:r>
                  <w:r>
                    <w:rPr>
                      <w:rFonts w:hint="default" w:ascii="Times New Roman" w:hAnsi="Times New Roman" w:eastAsia="宋体" w:cs="Times New Roman"/>
                      <w:color w:val="auto"/>
                      <w:spacing w:val="20"/>
                      <w:sz w:val="21"/>
                      <w:szCs w:val="21"/>
                      <w:highlight w:val="none"/>
                    </w:rPr>
                    <w:t>两级活性炭</w:t>
                  </w:r>
                  <w:r>
                    <w:rPr>
                      <w:rFonts w:hint="eastAsia" w:ascii="Times New Roman" w:hAnsi="Times New Roman" w:eastAsia="宋体" w:cs="Times New Roman"/>
                      <w:color w:val="auto"/>
                      <w:spacing w:val="20"/>
                      <w:sz w:val="21"/>
                      <w:szCs w:val="21"/>
                      <w:highlight w:val="none"/>
                      <w:lang w:val="en-US" w:eastAsia="zh-CN"/>
                    </w:rPr>
                    <w:t>吸附”</w:t>
                  </w:r>
                  <w:r>
                    <w:rPr>
                      <w:rFonts w:hint="eastAsia" w:ascii="Times New Roman" w:hAnsi="Times New Roman" w:eastAsia="宋体" w:cs="Times New Roman"/>
                      <w:color w:val="auto"/>
                      <w:spacing w:val="20"/>
                      <w:sz w:val="21"/>
                      <w:szCs w:val="21"/>
                      <w:lang w:val="en-US" w:eastAsia="zh-CN"/>
                    </w:rPr>
                    <w:t>装置处</w:t>
                  </w:r>
                  <w:r>
                    <w:rPr>
                      <w:rFonts w:hint="eastAsia" w:ascii="Times New Roman" w:hAnsi="Times New Roman" w:eastAsia="宋体" w:cs="Times New Roman"/>
                      <w:color w:val="auto"/>
                      <w:spacing w:val="20"/>
                      <w:sz w:val="21"/>
                      <w:szCs w:val="21"/>
                      <w:lang w:eastAsia="zh-CN"/>
                    </w:rPr>
                    <w:t>理后经</w:t>
                  </w:r>
                  <w:r>
                    <w:rPr>
                      <w:rFonts w:hint="eastAsia" w:cs="Times New Roman"/>
                      <w:color w:val="auto"/>
                      <w:spacing w:val="20"/>
                      <w:sz w:val="21"/>
                      <w:szCs w:val="21"/>
                      <w:lang w:eastAsia="zh-CN"/>
                    </w:rPr>
                    <w:t>20.5m</w:t>
                  </w:r>
                  <w:r>
                    <w:rPr>
                      <w:rFonts w:hint="eastAsia" w:ascii="Times New Roman" w:hAnsi="Times New Roman" w:eastAsia="宋体" w:cs="Times New Roman"/>
                      <w:color w:val="auto"/>
                      <w:spacing w:val="20"/>
                      <w:sz w:val="21"/>
                      <w:szCs w:val="21"/>
                      <w:lang w:eastAsia="zh-CN"/>
                    </w:rPr>
                    <w:t>高排气筒（</w:t>
                  </w:r>
                  <w:r>
                    <w:rPr>
                      <w:rFonts w:hint="eastAsia" w:ascii="Times New Roman" w:hAnsi="Times New Roman" w:eastAsia="宋体" w:cs="Times New Roman"/>
                      <w:color w:val="auto"/>
                      <w:spacing w:val="20"/>
                      <w:sz w:val="21"/>
                      <w:szCs w:val="21"/>
                      <w:lang w:val="en-US" w:eastAsia="zh-CN"/>
                    </w:rPr>
                    <w:t>DA001</w:t>
                  </w:r>
                  <w:r>
                    <w:rPr>
                      <w:rFonts w:hint="eastAsia" w:ascii="Times New Roman" w:hAnsi="Times New Roman" w:eastAsia="宋体" w:cs="Times New Roman"/>
                      <w:color w:val="auto"/>
                      <w:spacing w:val="20"/>
                      <w:sz w:val="21"/>
                      <w:szCs w:val="21"/>
                      <w:lang w:eastAsia="zh-CN"/>
                    </w:rPr>
                    <w:t>）排放。</w:t>
                  </w:r>
                </w:p>
              </w:tc>
              <w:tc>
                <w:tcPr>
                  <w:tcW w:w="992" w:type="dxa"/>
                  <w:shd w:val="clear" w:color="auto" w:fill="auto"/>
                  <w:vAlign w:val="top"/>
                </w:tcPr>
                <w:p w14:paraId="70056018">
                  <w:pPr>
                    <w:spacing w:line="241" w:lineRule="auto"/>
                    <w:rPr>
                      <w:rFonts w:hint="default" w:ascii="Times New Roman" w:hAnsi="Times New Roman" w:eastAsia="宋体" w:cs="Times New Roman"/>
                      <w:color w:val="auto"/>
                      <w:sz w:val="21"/>
                      <w:szCs w:val="21"/>
                    </w:rPr>
                  </w:pPr>
                </w:p>
                <w:p w14:paraId="78276C69">
                  <w:pPr>
                    <w:spacing w:line="241" w:lineRule="auto"/>
                    <w:rPr>
                      <w:rFonts w:hint="default" w:ascii="Times New Roman" w:hAnsi="Times New Roman" w:eastAsia="宋体" w:cs="Times New Roman"/>
                      <w:color w:val="auto"/>
                      <w:sz w:val="21"/>
                      <w:szCs w:val="21"/>
                    </w:rPr>
                  </w:pPr>
                </w:p>
                <w:p w14:paraId="65AA2605">
                  <w:pPr>
                    <w:spacing w:line="242" w:lineRule="auto"/>
                    <w:rPr>
                      <w:rFonts w:hint="default" w:ascii="Times New Roman" w:hAnsi="Times New Roman" w:eastAsia="宋体" w:cs="Times New Roman"/>
                      <w:color w:val="auto"/>
                      <w:sz w:val="21"/>
                      <w:szCs w:val="21"/>
                    </w:rPr>
                  </w:pPr>
                </w:p>
                <w:p w14:paraId="5DD392B3">
                  <w:pPr>
                    <w:spacing w:line="242" w:lineRule="auto"/>
                    <w:rPr>
                      <w:rFonts w:hint="default" w:ascii="Times New Roman" w:hAnsi="Times New Roman" w:eastAsia="宋体" w:cs="Times New Roman"/>
                      <w:color w:val="auto"/>
                      <w:sz w:val="21"/>
                      <w:szCs w:val="21"/>
                    </w:rPr>
                  </w:pPr>
                </w:p>
                <w:p w14:paraId="4096E103">
                  <w:pPr>
                    <w:spacing w:line="242" w:lineRule="auto"/>
                    <w:rPr>
                      <w:rFonts w:hint="default" w:ascii="Times New Roman" w:hAnsi="Times New Roman" w:eastAsia="宋体" w:cs="Times New Roman"/>
                      <w:color w:val="auto"/>
                      <w:sz w:val="21"/>
                      <w:szCs w:val="21"/>
                    </w:rPr>
                  </w:pPr>
                </w:p>
                <w:p w14:paraId="4435A52E">
                  <w:pPr>
                    <w:spacing w:line="242" w:lineRule="auto"/>
                    <w:rPr>
                      <w:rFonts w:hint="default" w:ascii="Times New Roman" w:hAnsi="Times New Roman" w:eastAsia="宋体" w:cs="Times New Roman"/>
                      <w:color w:val="auto"/>
                      <w:sz w:val="21"/>
                      <w:szCs w:val="21"/>
                    </w:rPr>
                  </w:pPr>
                </w:p>
                <w:p w14:paraId="0E5D7E08">
                  <w:pPr>
                    <w:pStyle w:val="47"/>
                    <w:spacing w:before="65" w:line="227" w:lineRule="auto"/>
                    <w:ind w:left="159" w:left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3"/>
                      <w:sz w:val="21"/>
                      <w:szCs w:val="21"/>
                    </w:rPr>
                    <w:t>符合</w:t>
                  </w:r>
                </w:p>
              </w:tc>
            </w:tr>
            <w:tr w14:paraId="73DD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4" w:type="dxa"/>
                  <w:shd w:val="clear" w:color="auto" w:fill="auto"/>
                  <w:vAlign w:val="center"/>
                </w:tcPr>
                <w:p w14:paraId="263D1018">
                  <w:pPr>
                    <w:pStyle w:val="47"/>
                    <w:spacing w:before="29" w:line="246" w:lineRule="auto"/>
                    <w:ind w:left="46" w:leftChars="0" w:right="4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28"/>
                      <w:sz w:val="21"/>
                      <w:szCs w:val="21"/>
                    </w:rPr>
                    <w:t>废气收集系统排风罩（集气罩）的设置应符合</w:t>
                  </w:r>
                  <w:r>
                    <w:rPr>
                      <w:rFonts w:hint="default" w:ascii="Times New Roman" w:hAnsi="Times New Roman" w:eastAsia="宋体" w:cs="Times New Roman"/>
                      <w:color w:val="auto"/>
                      <w:spacing w:val="-2"/>
                      <w:sz w:val="21"/>
                      <w:szCs w:val="21"/>
                    </w:rPr>
                    <w:t>GB/T16758的</w:t>
                  </w:r>
                  <w:r>
                    <w:rPr>
                      <w:rFonts w:hint="default" w:ascii="Times New Roman" w:hAnsi="Times New Roman" w:eastAsia="宋体" w:cs="Times New Roman"/>
                      <w:color w:val="auto"/>
                      <w:spacing w:val="-43"/>
                      <w:sz w:val="21"/>
                      <w:szCs w:val="21"/>
                    </w:rPr>
                    <w:t xml:space="preserve"> </w:t>
                  </w:r>
                  <w:r>
                    <w:rPr>
                      <w:rFonts w:hint="default" w:ascii="Times New Roman" w:hAnsi="Times New Roman" w:eastAsia="宋体" w:cs="Times New Roman"/>
                      <w:color w:val="auto"/>
                      <w:spacing w:val="-2"/>
                      <w:sz w:val="21"/>
                      <w:szCs w:val="21"/>
                    </w:rPr>
                    <w:t>规</w:t>
                  </w:r>
                  <w:r>
                    <w:rPr>
                      <w:rFonts w:hint="default" w:ascii="Times New Roman" w:hAnsi="Times New Roman" w:eastAsia="宋体" w:cs="Times New Roman"/>
                      <w:color w:val="auto"/>
                      <w:spacing w:val="-53"/>
                      <w:sz w:val="21"/>
                      <w:szCs w:val="21"/>
                    </w:rPr>
                    <w:t xml:space="preserve"> </w:t>
                  </w:r>
                  <w:r>
                    <w:rPr>
                      <w:rFonts w:hint="default" w:ascii="Times New Roman" w:hAnsi="Times New Roman" w:eastAsia="宋体" w:cs="Times New Roman"/>
                      <w:color w:val="auto"/>
                      <w:spacing w:val="-2"/>
                      <w:sz w:val="21"/>
                      <w:szCs w:val="21"/>
                    </w:rPr>
                    <w:t>定。采</w:t>
                  </w:r>
                  <w:r>
                    <w:rPr>
                      <w:rFonts w:hint="default" w:ascii="Times New Roman" w:hAnsi="Times New Roman" w:eastAsia="宋体" w:cs="Times New Roman"/>
                      <w:color w:val="auto"/>
                      <w:spacing w:val="-55"/>
                      <w:sz w:val="21"/>
                      <w:szCs w:val="21"/>
                    </w:rPr>
                    <w:t xml:space="preserve"> </w:t>
                  </w:r>
                  <w:r>
                    <w:rPr>
                      <w:rFonts w:hint="default" w:ascii="Times New Roman" w:hAnsi="Times New Roman" w:eastAsia="宋体" w:cs="Times New Roman"/>
                      <w:color w:val="auto"/>
                      <w:spacing w:val="-2"/>
                      <w:sz w:val="21"/>
                      <w:szCs w:val="21"/>
                    </w:rPr>
                    <w:t>用</w:t>
                  </w:r>
                  <w:r>
                    <w:rPr>
                      <w:rFonts w:hint="default" w:ascii="Times New Roman" w:hAnsi="Times New Roman" w:eastAsia="宋体" w:cs="Times New Roman"/>
                      <w:color w:val="auto"/>
                      <w:spacing w:val="-54"/>
                      <w:sz w:val="21"/>
                      <w:szCs w:val="21"/>
                    </w:rPr>
                    <w:t xml:space="preserve"> </w:t>
                  </w:r>
                  <w:r>
                    <w:rPr>
                      <w:rFonts w:hint="default" w:ascii="Times New Roman" w:hAnsi="Times New Roman" w:eastAsia="宋体" w:cs="Times New Roman"/>
                      <w:color w:val="auto"/>
                      <w:spacing w:val="-2"/>
                      <w:sz w:val="21"/>
                      <w:szCs w:val="21"/>
                    </w:rPr>
                    <w:t>外</w:t>
                  </w:r>
                  <w:r>
                    <w:rPr>
                      <w:rFonts w:hint="default" w:ascii="Times New Roman" w:hAnsi="Times New Roman" w:eastAsia="宋体" w:cs="Times New Roman"/>
                      <w:color w:val="auto"/>
                      <w:spacing w:val="-56"/>
                      <w:sz w:val="21"/>
                      <w:szCs w:val="21"/>
                    </w:rPr>
                    <w:t xml:space="preserve"> </w:t>
                  </w:r>
                  <w:r>
                    <w:rPr>
                      <w:rFonts w:hint="default" w:ascii="Times New Roman" w:hAnsi="Times New Roman" w:eastAsia="宋体" w:cs="Times New Roman"/>
                      <w:color w:val="auto"/>
                      <w:spacing w:val="-2"/>
                      <w:sz w:val="21"/>
                      <w:szCs w:val="21"/>
                    </w:rPr>
                    <w:t>部</w:t>
                  </w:r>
                  <w:r>
                    <w:rPr>
                      <w:rFonts w:hint="default" w:ascii="Times New Roman" w:hAnsi="Times New Roman" w:eastAsia="宋体" w:cs="Times New Roman"/>
                      <w:color w:val="auto"/>
                      <w:spacing w:val="-59"/>
                      <w:sz w:val="21"/>
                      <w:szCs w:val="21"/>
                    </w:rPr>
                    <w:t xml:space="preserve"> </w:t>
                  </w:r>
                  <w:r>
                    <w:rPr>
                      <w:rFonts w:hint="default" w:ascii="Times New Roman" w:hAnsi="Times New Roman" w:eastAsia="宋体" w:cs="Times New Roman"/>
                      <w:color w:val="auto"/>
                      <w:spacing w:val="-2"/>
                      <w:sz w:val="21"/>
                      <w:szCs w:val="21"/>
                    </w:rPr>
                    <w:t>排</w:t>
                  </w:r>
                  <w:r>
                    <w:rPr>
                      <w:rFonts w:hint="default" w:ascii="Times New Roman" w:hAnsi="Times New Roman" w:eastAsia="宋体" w:cs="Times New Roman"/>
                      <w:color w:val="auto"/>
                      <w:spacing w:val="-57"/>
                      <w:sz w:val="21"/>
                      <w:szCs w:val="21"/>
                    </w:rPr>
                    <w:t xml:space="preserve"> </w:t>
                  </w:r>
                  <w:r>
                    <w:rPr>
                      <w:rFonts w:hint="default" w:ascii="Times New Roman" w:hAnsi="Times New Roman" w:eastAsia="宋体" w:cs="Times New Roman"/>
                      <w:color w:val="auto"/>
                      <w:spacing w:val="-2"/>
                      <w:sz w:val="21"/>
                      <w:szCs w:val="21"/>
                    </w:rPr>
                    <w:t>风</w:t>
                  </w:r>
                  <w:r>
                    <w:rPr>
                      <w:rFonts w:hint="default" w:ascii="Times New Roman" w:hAnsi="Times New Roman" w:eastAsia="宋体" w:cs="Times New Roman"/>
                      <w:color w:val="auto"/>
                      <w:spacing w:val="-59"/>
                      <w:sz w:val="21"/>
                      <w:szCs w:val="21"/>
                    </w:rPr>
                    <w:t xml:space="preserve"> </w:t>
                  </w:r>
                  <w:r>
                    <w:rPr>
                      <w:rFonts w:hint="default" w:ascii="Times New Roman" w:hAnsi="Times New Roman" w:eastAsia="宋体" w:cs="Times New Roman"/>
                      <w:color w:val="auto"/>
                      <w:spacing w:val="-2"/>
                      <w:sz w:val="21"/>
                      <w:szCs w:val="21"/>
                    </w:rPr>
                    <w:t>罩</w:t>
                  </w:r>
                  <w:r>
                    <w:rPr>
                      <w:rFonts w:hint="default" w:ascii="Times New Roman" w:hAnsi="Times New Roman" w:eastAsia="宋体" w:cs="Times New Roman"/>
                      <w:color w:val="auto"/>
                      <w:spacing w:val="-41"/>
                      <w:sz w:val="21"/>
                      <w:szCs w:val="21"/>
                    </w:rPr>
                    <w:t xml:space="preserve"> </w:t>
                  </w:r>
                  <w:r>
                    <w:rPr>
                      <w:rFonts w:hint="default" w:ascii="Times New Roman" w:hAnsi="Times New Roman" w:eastAsia="宋体" w:cs="Times New Roman"/>
                      <w:color w:val="auto"/>
                      <w:spacing w:val="-2"/>
                      <w:sz w:val="21"/>
                      <w:szCs w:val="21"/>
                    </w:rPr>
                    <w:t>的</w:t>
                  </w:r>
                  <w:r>
                    <w:rPr>
                      <w:rFonts w:hint="default" w:ascii="Times New Roman" w:hAnsi="Times New Roman" w:eastAsia="宋体" w:cs="Times New Roman"/>
                      <w:color w:val="auto"/>
                      <w:spacing w:val="-41"/>
                      <w:sz w:val="21"/>
                      <w:szCs w:val="21"/>
                    </w:rPr>
                    <w:t xml:space="preserve"> </w:t>
                  </w:r>
                  <w:r>
                    <w:rPr>
                      <w:rFonts w:hint="default" w:ascii="Times New Roman" w:hAnsi="Times New Roman" w:eastAsia="宋体" w:cs="Times New Roman"/>
                      <w:color w:val="auto"/>
                      <w:spacing w:val="-2"/>
                      <w:sz w:val="21"/>
                      <w:szCs w:val="21"/>
                    </w:rPr>
                    <w:t>，</w:t>
                  </w:r>
                  <w:r>
                    <w:rPr>
                      <w:rFonts w:hint="default" w:ascii="Times New Roman" w:hAnsi="Times New Roman" w:eastAsia="宋体" w:cs="Times New Roman"/>
                      <w:color w:val="auto"/>
                      <w:spacing w:val="-52"/>
                      <w:sz w:val="21"/>
                      <w:szCs w:val="21"/>
                    </w:rPr>
                    <w:t xml:space="preserve"> </w:t>
                  </w:r>
                  <w:r>
                    <w:rPr>
                      <w:rFonts w:hint="default" w:ascii="Times New Roman" w:hAnsi="Times New Roman" w:eastAsia="宋体" w:cs="Times New Roman"/>
                      <w:color w:val="auto"/>
                      <w:spacing w:val="-2"/>
                      <w:sz w:val="21"/>
                      <w:szCs w:val="21"/>
                    </w:rPr>
                    <w:t>应</w:t>
                  </w:r>
                  <w:r>
                    <w:rPr>
                      <w:rFonts w:hint="default" w:ascii="Times New Roman" w:hAnsi="Times New Roman" w:eastAsia="宋体" w:cs="Times New Roman"/>
                      <w:color w:val="auto"/>
                      <w:spacing w:val="-57"/>
                      <w:sz w:val="21"/>
                      <w:szCs w:val="21"/>
                    </w:rPr>
                    <w:t xml:space="preserve"> </w:t>
                  </w:r>
                  <w:r>
                    <w:rPr>
                      <w:rFonts w:hint="default" w:ascii="Times New Roman" w:hAnsi="Times New Roman" w:eastAsia="宋体" w:cs="Times New Roman"/>
                      <w:color w:val="auto"/>
                      <w:spacing w:val="-2"/>
                      <w:sz w:val="21"/>
                      <w:szCs w:val="21"/>
                    </w:rPr>
                    <w:t>按</w:t>
                  </w:r>
                  <w:r>
                    <w:rPr>
                      <w:rFonts w:hint="default" w:ascii="Times New Roman" w:hAnsi="Times New Roman" w:eastAsia="宋体" w:cs="Times New Roman"/>
                      <w:color w:val="auto"/>
                      <w:sz w:val="21"/>
                      <w:szCs w:val="21"/>
                    </w:rPr>
                    <w:t>GB</w:t>
                  </w:r>
                  <w:r>
                    <w:rPr>
                      <w:rFonts w:hint="default" w:ascii="Times New Roman" w:hAnsi="Times New Roman" w:eastAsia="宋体" w:cs="Times New Roman"/>
                      <w:color w:val="auto"/>
                      <w:spacing w:val="5"/>
                      <w:sz w:val="21"/>
                      <w:szCs w:val="21"/>
                    </w:rPr>
                    <w:t>/T16758、</w:t>
                  </w:r>
                  <w:r>
                    <w:rPr>
                      <w:rFonts w:hint="default" w:ascii="Times New Roman" w:hAnsi="Times New Roman" w:eastAsia="宋体" w:cs="Times New Roman"/>
                      <w:color w:val="auto"/>
                      <w:sz w:val="21"/>
                      <w:szCs w:val="21"/>
                    </w:rPr>
                    <w:t>AQ</w:t>
                  </w:r>
                  <w:r>
                    <w:rPr>
                      <w:rFonts w:hint="default" w:ascii="Times New Roman" w:hAnsi="Times New Roman" w:eastAsia="宋体" w:cs="Times New Roman"/>
                      <w:color w:val="auto"/>
                      <w:spacing w:val="5"/>
                      <w:sz w:val="21"/>
                      <w:szCs w:val="21"/>
                    </w:rPr>
                    <w:t>/T4274-2016 规定的方法测量</w:t>
                  </w:r>
                  <w:r>
                    <w:rPr>
                      <w:rFonts w:hint="default" w:ascii="Times New Roman" w:hAnsi="Times New Roman" w:eastAsia="宋体" w:cs="Times New Roman"/>
                      <w:color w:val="auto"/>
                      <w:spacing w:val="4"/>
                      <w:sz w:val="21"/>
                      <w:szCs w:val="21"/>
                    </w:rPr>
                    <w:t>控制风</w:t>
                  </w:r>
                  <w:r>
                    <w:rPr>
                      <w:rFonts w:hint="default" w:ascii="Times New Roman" w:hAnsi="Times New Roman" w:eastAsia="宋体" w:cs="Times New Roman"/>
                      <w:color w:val="auto"/>
                      <w:spacing w:val="6"/>
                      <w:sz w:val="21"/>
                      <w:szCs w:val="21"/>
                    </w:rPr>
                    <w:t>速，测量点应选取在距排风罩开口面最远处的</w:t>
                  </w:r>
                  <w:r>
                    <w:rPr>
                      <w:rFonts w:hint="default" w:ascii="Times New Roman" w:hAnsi="Times New Roman" w:eastAsia="宋体" w:cs="Times New Roman"/>
                      <w:color w:val="auto"/>
                      <w:spacing w:val="-32"/>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1"/>
                      <w:sz w:val="21"/>
                      <w:szCs w:val="21"/>
                    </w:rPr>
                    <w:t>无组织排放位置，控制风速不应低于</w:t>
                  </w:r>
                  <w:r>
                    <w:rPr>
                      <w:rFonts w:hint="default" w:ascii="Times New Roman" w:hAnsi="Times New Roman" w:eastAsia="宋体" w:cs="Times New Roman"/>
                      <w:color w:val="auto"/>
                      <w:spacing w:val="-26"/>
                      <w:sz w:val="21"/>
                      <w:szCs w:val="21"/>
                    </w:rPr>
                    <w:t xml:space="preserve"> </w:t>
                  </w:r>
                  <w:r>
                    <w:rPr>
                      <w:rFonts w:hint="default" w:ascii="Times New Roman" w:hAnsi="Times New Roman" w:eastAsia="宋体" w:cs="Times New Roman"/>
                      <w:color w:val="auto"/>
                      <w:spacing w:val="11"/>
                      <w:sz w:val="21"/>
                      <w:szCs w:val="21"/>
                    </w:rPr>
                    <w:t>0.3m/s（行业</w:t>
                  </w:r>
                  <w:r>
                    <w:rPr>
                      <w:rFonts w:hint="default" w:ascii="Times New Roman" w:hAnsi="Times New Roman" w:eastAsia="宋体" w:cs="Times New Roman"/>
                      <w:color w:val="auto"/>
                      <w:spacing w:val="8"/>
                      <w:sz w:val="21"/>
                      <w:szCs w:val="21"/>
                    </w:rPr>
                    <w:t>相关规范有具体规定的，按相关规定执行）。</w:t>
                  </w:r>
                </w:p>
              </w:tc>
              <w:tc>
                <w:tcPr>
                  <w:tcW w:w="2196" w:type="dxa"/>
                  <w:shd w:val="clear" w:color="auto" w:fill="auto"/>
                  <w:vAlign w:val="center"/>
                </w:tcPr>
                <w:p w14:paraId="1176171F">
                  <w:pPr>
                    <w:pStyle w:val="47"/>
                    <w:spacing w:before="65" w:line="251" w:lineRule="auto"/>
                    <w:ind w:left="52" w:leftChars="0" w:right="39" w:rightChars="0" w:firstLine="2" w:firstLineChars="0"/>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15"/>
                      <w:sz w:val="21"/>
                      <w:szCs w:val="21"/>
                    </w:rPr>
                    <w:t>项目生产车间密闭</w:t>
                  </w:r>
                  <w:r>
                    <w:rPr>
                      <w:rFonts w:hint="default" w:ascii="Times New Roman" w:hAnsi="Times New Roman" w:eastAsia="宋体" w:cs="Times New Roman"/>
                      <w:color w:val="auto"/>
                      <w:spacing w:val="-56"/>
                      <w:sz w:val="21"/>
                      <w:szCs w:val="21"/>
                    </w:rPr>
                    <w:t xml:space="preserve"> </w:t>
                  </w:r>
                  <w:r>
                    <w:rPr>
                      <w:rFonts w:hint="default" w:ascii="Times New Roman" w:hAnsi="Times New Roman" w:eastAsia="宋体" w:cs="Times New Roman"/>
                      <w:color w:val="auto"/>
                      <w:spacing w:val="15"/>
                      <w:sz w:val="21"/>
                      <w:szCs w:val="21"/>
                    </w:rPr>
                    <w:t>，</w:t>
                  </w:r>
                  <w:r>
                    <w:rPr>
                      <w:rFonts w:hint="default" w:ascii="Times New Roman" w:hAnsi="Times New Roman" w:eastAsia="宋体" w:cs="Times New Roman"/>
                      <w:color w:val="auto"/>
                      <w:spacing w:val="20"/>
                      <w:sz w:val="21"/>
                      <w:szCs w:val="21"/>
                    </w:rPr>
                    <w:t>有机废气均采用</w:t>
                  </w:r>
                  <w:r>
                    <w:rPr>
                      <w:rFonts w:hint="eastAsia" w:ascii="Times New Roman" w:hAnsi="Times New Roman" w:eastAsia="宋体" w:cs="Times New Roman"/>
                      <w:color w:val="auto"/>
                      <w:spacing w:val="20"/>
                      <w:sz w:val="21"/>
                      <w:szCs w:val="21"/>
                      <w:lang w:val="en-US" w:eastAsia="zh-CN"/>
                    </w:rPr>
                    <w:t>集气罩</w:t>
                  </w:r>
                  <w:r>
                    <w:rPr>
                      <w:rFonts w:hint="default" w:ascii="Times New Roman" w:hAnsi="Times New Roman" w:eastAsia="宋体" w:cs="Times New Roman"/>
                      <w:color w:val="auto"/>
                      <w:spacing w:val="7"/>
                      <w:sz w:val="21"/>
                      <w:szCs w:val="21"/>
                    </w:rPr>
                    <w:t>收集</w:t>
                  </w:r>
                  <w:r>
                    <w:rPr>
                      <w:rFonts w:hint="eastAsia" w:ascii="Times New Roman" w:hAnsi="Times New Roman" w:eastAsia="宋体" w:cs="Times New Roman"/>
                      <w:color w:val="auto"/>
                      <w:spacing w:val="7"/>
                      <w:sz w:val="21"/>
                      <w:szCs w:val="21"/>
                      <w:lang w:eastAsia="zh-CN"/>
                    </w:rPr>
                    <w:t>。</w:t>
                  </w:r>
                </w:p>
              </w:tc>
              <w:tc>
                <w:tcPr>
                  <w:tcW w:w="992" w:type="dxa"/>
                  <w:shd w:val="clear" w:color="auto" w:fill="auto"/>
                  <w:vAlign w:val="top"/>
                </w:tcPr>
                <w:p w14:paraId="2F1F601A">
                  <w:pPr>
                    <w:spacing w:line="319" w:lineRule="auto"/>
                    <w:rPr>
                      <w:rFonts w:hint="default" w:ascii="Times New Roman" w:hAnsi="Times New Roman" w:eastAsia="宋体" w:cs="Times New Roman"/>
                      <w:color w:val="auto"/>
                      <w:sz w:val="21"/>
                      <w:szCs w:val="21"/>
                    </w:rPr>
                  </w:pPr>
                </w:p>
                <w:p w14:paraId="7EC8A4FB">
                  <w:pPr>
                    <w:spacing w:line="320" w:lineRule="auto"/>
                    <w:rPr>
                      <w:rFonts w:hint="default" w:ascii="Times New Roman" w:hAnsi="Times New Roman" w:eastAsia="宋体" w:cs="Times New Roman"/>
                      <w:color w:val="auto"/>
                      <w:sz w:val="21"/>
                      <w:szCs w:val="21"/>
                    </w:rPr>
                  </w:pPr>
                </w:p>
                <w:p w14:paraId="70FDFE21">
                  <w:pPr>
                    <w:pStyle w:val="47"/>
                    <w:spacing w:before="65" w:line="227" w:lineRule="auto"/>
                    <w:ind w:left="159" w:left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3"/>
                      <w:sz w:val="21"/>
                      <w:szCs w:val="21"/>
                    </w:rPr>
                    <w:t>符合</w:t>
                  </w:r>
                </w:p>
              </w:tc>
            </w:tr>
            <w:tr w14:paraId="5633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4" w:type="dxa"/>
                  <w:shd w:val="clear" w:color="auto" w:fill="auto"/>
                  <w:vAlign w:val="center"/>
                </w:tcPr>
                <w:p w14:paraId="2EEA2F02">
                  <w:pPr>
                    <w:pStyle w:val="47"/>
                    <w:spacing w:before="42" w:line="245" w:lineRule="auto"/>
                    <w:ind w:left="41" w:leftChars="0" w:right="40" w:rightChars="0" w:firstLine="12"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6"/>
                      <w:sz w:val="21"/>
                      <w:szCs w:val="21"/>
                    </w:rPr>
                    <w:t>收集的废气中</w:t>
                  </w:r>
                  <w:r>
                    <w:rPr>
                      <w:rFonts w:hint="default" w:ascii="Times New Roman" w:hAnsi="Times New Roman" w:eastAsia="宋体" w:cs="Times New Roman"/>
                      <w:color w:val="auto"/>
                      <w:spacing w:val="-36"/>
                      <w:sz w:val="21"/>
                      <w:szCs w:val="21"/>
                    </w:rPr>
                    <w:t xml:space="preserve"> </w:t>
                  </w:r>
                  <w:r>
                    <w:rPr>
                      <w:rFonts w:hint="default" w:ascii="Times New Roman" w:hAnsi="Times New Roman" w:eastAsia="宋体" w:cs="Times New Roman"/>
                      <w:color w:val="auto"/>
                      <w:sz w:val="21"/>
                      <w:szCs w:val="21"/>
                    </w:rPr>
                    <w:t>NMHC</w:t>
                  </w:r>
                  <w:r>
                    <w:rPr>
                      <w:rFonts w:hint="default" w:ascii="Times New Roman" w:hAnsi="Times New Roman" w:eastAsia="宋体" w:cs="Times New Roman"/>
                      <w:color w:val="auto"/>
                      <w:spacing w:val="6"/>
                      <w:sz w:val="21"/>
                      <w:szCs w:val="21"/>
                    </w:rPr>
                    <w:t>初始排放速率≥3</w:t>
                  </w:r>
                  <w:r>
                    <w:rPr>
                      <w:rFonts w:hint="default" w:ascii="Times New Roman" w:hAnsi="Times New Roman" w:eastAsia="宋体" w:cs="Times New Roman"/>
                      <w:color w:val="auto"/>
                      <w:sz w:val="21"/>
                      <w:szCs w:val="21"/>
                    </w:rPr>
                    <w:t>kg</w:t>
                  </w:r>
                  <w:r>
                    <w:rPr>
                      <w:rFonts w:hint="default" w:ascii="Times New Roman" w:hAnsi="Times New Roman" w:eastAsia="宋体" w:cs="Times New Roman"/>
                      <w:color w:val="auto"/>
                      <w:spacing w:val="6"/>
                      <w:sz w:val="21"/>
                      <w:szCs w:val="21"/>
                    </w:rPr>
                    <w:t>/h时，应配</w:t>
                  </w:r>
                  <w:r>
                    <w:rPr>
                      <w:rFonts w:hint="default" w:ascii="Times New Roman" w:hAnsi="Times New Roman" w:eastAsia="宋体" w:cs="Times New Roman"/>
                      <w:color w:val="auto"/>
                      <w:spacing w:val="11"/>
                      <w:sz w:val="21"/>
                      <w:szCs w:val="21"/>
                    </w:rPr>
                    <w:t>置</w:t>
                  </w:r>
                  <w:r>
                    <w:rPr>
                      <w:rFonts w:hint="default" w:ascii="Times New Roman" w:hAnsi="Times New Roman" w:eastAsia="宋体" w:cs="Times New Roman"/>
                      <w:color w:val="auto"/>
                      <w:spacing w:val="-34"/>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20"/>
                      <w:w w:val="101"/>
                      <w:sz w:val="21"/>
                      <w:szCs w:val="21"/>
                    </w:rPr>
                    <w:t xml:space="preserve"> </w:t>
                  </w:r>
                  <w:r>
                    <w:rPr>
                      <w:rFonts w:hint="default" w:ascii="Times New Roman" w:hAnsi="Times New Roman" w:eastAsia="宋体" w:cs="Times New Roman"/>
                      <w:color w:val="auto"/>
                      <w:spacing w:val="11"/>
                      <w:sz w:val="21"/>
                      <w:szCs w:val="21"/>
                    </w:rPr>
                    <w:t>处理设施，处理效率不应低于</w:t>
                  </w:r>
                  <w:r>
                    <w:rPr>
                      <w:rFonts w:hint="default" w:ascii="Times New Roman" w:hAnsi="Times New Roman" w:eastAsia="宋体" w:cs="Times New Roman"/>
                      <w:color w:val="auto"/>
                      <w:spacing w:val="-30"/>
                      <w:sz w:val="21"/>
                      <w:szCs w:val="21"/>
                    </w:rPr>
                    <w:t xml:space="preserve"> </w:t>
                  </w:r>
                  <w:r>
                    <w:rPr>
                      <w:rFonts w:hint="default" w:ascii="Times New Roman" w:hAnsi="Times New Roman" w:eastAsia="宋体" w:cs="Times New Roman"/>
                      <w:color w:val="auto"/>
                      <w:spacing w:val="11"/>
                      <w:sz w:val="21"/>
                      <w:szCs w:val="21"/>
                    </w:rPr>
                    <w:t>80%；对于</w:t>
                  </w:r>
                  <w:r>
                    <w:rPr>
                      <w:rFonts w:hint="default" w:ascii="Times New Roman" w:hAnsi="Times New Roman" w:eastAsia="宋体" w:cs="Times New Roman"/>
                      <w:color w:val="auto"/>
                      <w:spacing w:val="22"/>
                      <w:sz w:val="21"/>
                      <w:szCs w:val="21"/>
                    </w:rPr>
                    <w:t>重点地区</w:t>
                  </w:r>
                  <w:r>
                    <w:rPr>
                      <w:rFonts w:hint="default" w:ascii="Times New Roman" w:hAnsi="Times New Roman" w:eastAsia="宋体" w:cs="Times New Roman"/>
                      <w:color w:val="auto"/>
                      <w:spacing w:val="-39"/>
                      <w:sz w:val="21"/>
                      <w:szCs w:val="21"/>
                    </w:rPr>
                    <w:t xml:space="preserve"> </w:t>
                  </w:r>
                  <w:r>
                    <w:rPr>
                      <w:rFonts w:hint="default" w:ascii="Times New Roman" w:hAnsi="Times New Roman" w:eastAsia="宋体" w:cs="Times New Roman"/>
                      <w:color w:val="auto"/>
                      <w:spacing w:val="22"/>
                      <w:sz w:val="21"/>
                      <w:szCs w:val="21"/>
                    </w:rPr>
                    <w:t>，</w:t>
                  </w:r>
                  <w:r>
                    <w:rPr>
                      <w:rFonts w:hint="default" w:ascii="Times New Roman" w:hAnsi="Times New Roman" w:eastAsia="宋体" w:cs="Times New Roman"/>
                      <w:color w:val="auto"/>
                      <w:spacing w:val="-54"/>
                      <w:sz w:val="21"/>
                      <w:szCs w:val="21"/>
                    </w:rPr>
                    <w:t xml:space="preserve"> </w:t>
                  </w:r>
                  <w:r>
                    <w:rPr>
                      <w:rFonts w:hint="default" w:ascii="Times New Roman" w:hAnsi="Times New Roman" w:eastAsia="宋体" w:cs="Times New Roman"/>
                      <w:color w:val="auto"/>
                      <w:spacing w:val="22"/>
                      <w:sz w:val="21"/>
                      <w:szCs w:val="21"/>
                    </w:rPr>
                    <w:t>收集</w:t>
                  </w:r>
                  <w:r>
                    <w:rPr>
                      <w:rFonts w:hint="default" w:ascii="Times New Roman" w:hAnsi="Times New Roman" w:eastAsia="宋体" w:cs="Times New Roman"/>
                      <w:color w:val="auto"/>
                      <w:spacing w:val="-49"/>
                      <w:sz w:val="21"/>
                      <w:szCs w:val="21"/>
                    </w:rPr>
                    <w:t xml:space="preserve"> </w:t>
                  </w:r>
                  <w:r>
                    <w:rPr>
                      <w:rFonts w:hint="default" w:ascii="Times New Roman" w:hAnsi="Times New Roman" w:eastAsia="宋体" w:cs="Times New Roman"/>
                      <w:color w:val="auto"/>
                      <w:spacing w:val="22"/>
                      <w:sz w:val="21"/>
                      <w:szCs w:val="21"/>
                    </w:rPr>
                    <w:t>的废气中</w:t>
                  </w:r>
                  <w:r>
                    <w:rPr>
                      <w:rFonts w:hint="default" w:ascii="Times New Roman" w:hAnsi="Times New Roman" w:eastAsia="宋体" w:cs="Times New Roman"/>
                      <w:color w:val="auto"/>
                      <w:spacing w:val="-26"/>
                      <w:sz w:val="21"/>
                      <w:szCs w:val="21"/>
                    </w:rPr>
                    <w:t xml:space="preserve"> </w:t>
                  </w:r>
                  <w:r>
                    <w:rPr>
                      <w:rFonts w:hint="default" w:ascii="Times New Roman" w:hAnsi="Times New Roman" w:eastAsia="宋体" w:cs="Times New Roman"/>
                      <w:color w:val="auto"/>
                      <w:sz w:val="21"/>
                      <w:szCs w:val="21"/>
                    </w:rPr>
                    <w:t>NMHC</w:t>
                  </w:r>
                  <w:r>
                    <w:rPr>
                      <w:rFonts w:hint="default" w:ascii="Times New Roman" w:hAnsi="Times New Roman" w:eastAsia="宋体" w:cs="Times New Roman"/>
                      <w:color w:val="auto"/>
                      <w:spacing w:val="34"/>
                      <w:w w:val="101"/>
                      <w:sz w:val="21"/>
                      <w:szCs w:val="21"/>
                    </w:rPr>
                    <w:t xml:space="preserve"> </w:t>
                  </w:r>
                  <w:r>
                    <w:rPr>
                      <w:rFonts w:hint="default" w:ascii="Times New Roman" w:hAnsi="Times New Roman" w:eastAsia="宋体" w:cs="Times New Roman"/>
                      <w:color w:val="auto"/>
                      <w:spacing w:val="22"/>
                      <w:sz w:val="21"/>
                      <w:szCs w:val="21"/>
                    </w:rPr>
                    <w:t>初始排放速率</w:t>
                  </w:r>
                  <w:r>
                    <w:rPr>
                      <w:rFonts w:hint="default" w:ascii="Times New Roman" w:hAnsi="Times New Roman" w:eastAsia="宋体" w:cs="Times New Roman"/>
                      <w:color w:val="auto"/>
                      <w:spacing w:val="11"/>
                      <w:sz w:val="21"/>
                      <w:szCs w:val="21"/>
                    </w:rPr>
                    <w:t>≥2</w:t>
                  </w:r>
                  <w:r>
                    <w:rPr>
                      <w:rFonts w:hint="default" w:ascii="Times New Roman" w:hAnsi="Times New Roman" w:eastAsia="宋体" w:cs="Times New Roman"/>
                      <w:color w:val="auto"/>
                      <w:sz w:val="21"/>
                      <w:szCs w:val="21"/>
                    </w:rPr>
                    <w:t>kg</w:t>
                  </w:r>
                  <w:r>
                    <w:rPr>
                      <w:rFonts w:hint="default" w:ascii="Times New Roman" w:hAnsi="Times New Roman" w:eastAsia="宋体" w:cs="Times New Roman"/>
                      <w:color w:val="auto"/>
                      <w:spacing w:val="11"/>
                      <w:sz w:val="21"/>
                      <w:szCs w:val="21"/>
                    </w:rPr>
                    <w:t>/h</w:t>
                  </w:r>
                  <w:r>
                    <w:rPr>
                      <w:rFonts w:hint="default" w:ascii="Times New Roman" w:hAnsi="Times New Roman" w:eastAsia="宋体" w:cs="Times New Roman"/>
                      <w:color w:val="auto"/>
                      <w:spacing w:val="28"/>
                      <w:sz w:val="21"/>
                      <w:szCs w:val="21"/>
                    </w:rPr>
                    <w:t xml:space="preserve"> </w:t>
                  </w:r>
                  <w:r>
                    <w:rPr>
                      <w:rFonts w:hint="default" w:ascii="Times New Roman" w:hAnsi="Times New Roman" w:eastAsia="宋体" w:cs="Times New Roman"/>
                      <w:color w:val="auto"/>
                      <w:spacing w:val="11"/>
                      <w:sz w:val="21"/>
                      <w:szCs w:val="21"/>
                    </w:rPr>
                    <w:t>时，应配置</w:t>
                  </w:r>
                  <w:r>
                    <w:rPr>
                      <w:rFonts w:hint="default" w:ascii="Times New Roman" w:hAnsi="Times New Roman" w:eastAsia="宋体" w:cs="Times New Roman"/>
                      <w:color w:val="auto"/>
                      <w:spacing w:val="-43"/>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11"/>
                      <w:sz w:val="21"/>
                      <w:szCs w:val="21"/>
                    </w:rPr>
                    <w:t>处理设施，处理效率不应</w:t>
                  </w:r>
                  <w:r>
                    <w:rPr>
                      <w:rFonts w:hint="default" w:ascii="Times New Roman" w:hAnsi="Times New Roman" w:eastAsia="宋体" w:cs="Times New Roman"/>
                      <w:color w:val="auto"/>
                      <w:spacing w:val="14"/>
                      <w:sz w:val="21"/>
                      <w:szCs w:val="21"/>
                    </w:rPr>
                    <w:t>低于80%；采用的原辅材料符合国家有关低</w:t>
                  </w:r>
                  <w:r>
                    <w:rPr>
                      <w:rFonts w:hint="default" w:ascii="Times New Roman" w:hAnsi="Times New Roman" w:eastAsia="宋体" w:cs="Times New Roman"/>
                      <w:color w:val="auto"/>
                      <w:spacing w:val="-38"/>
                      <w:sz w:val="21"/>
                      <w:szCs w:val="21"/>
                    </w:rPr>
                    <w:t xml:space="preserve"> </w:t>
                  </w:r>
                  <w:r>
                    <w:rPr>
                      <w:rFonts w:hint="default" w:ascii="Times New Roman" w:hAnsi="Times New Roman" w:eastAsia="宋体" w:cs="Times New Roman"/>
                      <w:color w:val="auto"/>
                      <w:sz w:val="21"/>
                      <w:szCs w:val="21"/>
                    </w:rPr>
                    <w:t>VOCs</w:t>
                  </w:r>
                  <w:r>
                    <w:rPr>
                      <w:rFonts w:hint="default" w:ascii="Times New Roman" w:hAnsi="Times New Roman" w:eastAsia="宋体" w:cs="Times New Roman"/>
                      <w:color w:val="auto"/>
                      <w:spacing w:val="8"/>
                      <w:sz w:val="21"/>
                      <w:szCs w:val="21"/>
                    </w:rPr>
                    <w:t>含量产品规定的除外。</w:t>
                  </w:r>
                </w:p>
              </w:tc>
              <w:tc>
                <w:tcPr>
                  <w:tcW w:w="2196" w:type="dxa"/>
                  <w:shd w:val="clear" w:color="auto" w:fill="auto"/>
                  <w:vAlign w:val="center"/>
                </w:tcPr>
                <w:p w14:paraId="4CD28B03">
                  <w:pPr>
                    <w:pStyle w:val="47"/>
                    <w:spacing w:before="65" w:line="253" w:lineRule="auto"/>
                    <w:ind w:left="51" w:leftChars="0" w:right="39"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9"/>
                      <w:sz w:val="21"/>
                      <w:szCs w:val="21"/>
                    </w:rPr>
                    <w:t>有机废气通过</w:t>
                  </w:r>
                  <w:r>
                    <w:rPr>
                      <w:rFonts w:hint="eastAsia" w:ascii="Times New Roman" w:hAnsi="Times New Roman" w:eastAsia="宋体" w:cs="Times New Roman"/>
                      <w:color w:val="auto"/>
                      <w:spacing w:val="20"/>
                      <w:sz w:val="21"/>
                      <w:szCs w:val="21"/>
                      <w:lang w:eastAsia="zh-CN"/>
                    </w:rPr>
                    <w:t>“二级活性炭吸附”装置</w:t>
                  </w:r>
                  <w:r>
                    <w:rPr>
                      <w:rFonts w:hint="eastAsia" w:ascii="Times New Roman" w:hAnsi="Times New Roman" w:cs="Times New Roman"/>
                      <w:color w:val="auto"/>
                      <w:spacing w:val="20"/>
                      <w:sz w:val="21"/>
                      <w:szCs w:val="21"/>
                      <w:lang w:eastAsia="zh-CN"/>
                    </w:rPr>
                    <w:t>、</w:t>
                  </w:r>
                  <w:r>
                    <w:rPr>
                      <w:rFonts w:hint="eastAsia" w:ascii="Times New Roman" w:hAnsi="Times New Roman" w:eastAsia="宋体" w:cs="Times New Roman"/>
                      <w:color w:val="auto"/>
                      <w:spacing w:val="20"/>
                      <w:sz w:val="21"/>
                      <w:szCs w:val="21"/>
                      <w:lang w:val="en-US" w:eastAsia="zh-CN"/>
                    </w:rPr>
                    <w:t>“</w:t>
                  </w:r>
                  <w:r>
                    <w:rPr>
                      <w:rFonts w:hint="default" w:ascii="Times New Roman" w:hAnsi="Times New Roman" w:eastAsia="宋体" w:cs="Times New Roman"/>
                      <w:color w:val="auto"/>
                      <w:spacing w:val="20"/>
                      <w:sz w:val="21"/>
                      <w:szCs w:val="21"/>
                    </w:rPr>
                    <w:t>两级活性炭</w:t>
                  </w:r>
                  <w:r>
                    <w:rPr>
                      <w:rFonts w:hint="eastAsia" w:ascii="Times New Roman" w:hAnsi="Times New Roman" w:eastAsia="宋体" w:cs="Times New Roman"/>
                      <w:color w:val="auto"/>
                      <w:spacing w:val="20"/>
                      <w:sz w:val="21"/>
                      <w:szCs w:val="21"/>
                      <w:lang w:val="en-US" w:eastAsia="zh-CN"/>
                    </w:rPr>
                    <w:t>吸附”装置</w:t>
                  </w:r>
                  <w:r>
                    <w:rPr>
                      <w:rFonts w:hint="default" w:ascii="Times New Roman" w:hAnsi="Times New Roman" w:eastAsia="宋体" w:cs="Times New Roman"/>
                      <w:color w:val="auto"/>
                      <w:spacing w:val="9"/>
                      <w:sz w:val="21"/>
                      <w:szCs w:val="21"/>
                    </w:rPr>
                    <w:t>处理后达标</w:t>
                  </w:r>
                  <w:r>
                    <w:rPr>
                      <w:rFonts w:hint="default" w:ascii="Times New Roman" w:hAnsi="Times New Roman" w:eastAsia="宋体" w:cs="Times New Roman"/>
                      <w:color w:val="auto"/>
                      <w:spacing w:val="20"/>
                      <w:sz w:val="21"/>
                      <w:szCs w:val="21"/>
                    </w:rPr>
                    <w:t>排放，活性炭吸附处</w:t>
                  </w:r>
                  <w:r>
                    <w:rPr>
                      <w:rFonts w:hint="default" w:ascii="Times New Roman" w:hAnsi="Times New Roman" w:eastAsia="宋体" w:cs="Times New Roman"/>
                      <w:color w:val="auto"/>
                      <w:spacing w:val="7"/>
                      <w:sz w:val="21"/>
                      <w:szCs w:val="21"/>
                    </w:rPr>
                    <w:t>理效率＞80%</w:t>
                  </w:r>
                </w:p>
              </w:tc>
              <w:tc>
                <w:tcPr>
                  <w:tcW w:w="992" w:type="dxa"/>
                  <w:shd w:val="clear" w:color="auto" w:fill="auto"/>
                  <w:vAlign w:val="top"/>
                </w:tcPr>
                <w:p w14:paraId="6AE06690">
                  <w:pPr>
                    <w:spacing w:line="252" w:lineRule="auto"/>
                    <w:rPr>
                      <w:rFonts w:hint="default" w:ascii="Times New Roman" w:hAnsi="Times New Roman" w:eastAsia="宋体" w:cs="Times New Roman"/>
                      <w:color w:val="auto"/>
                      <w:sz w:val="21"/>
                      <w:szCs w:val="21"/>
                    </w:rPr>
                  </w:pPr>
                </w:p>
                <w:p w14:paraId="7F4EEDF9">
                  <w:pPr>
                    <w:spacing w:line="253" w:lineRule="auto"/>
                    <w:rPr>
                      <w:rFonts w:hint="default" w:ascii="Times New Roman" w:hAnsi="Times New Roman" w:eastAsia="宋体" w:cs="Times New Roman"/>
                      <w:color w:val="auto"/>
                      <w:sz w:val="21"/>
                      <w:szCs w:val="21"/>
                    </w:rPr>
                  </w:pPr>
                </w:p>
                <w:p w14:paraId="183CEABE">
                  <w:pPr>
                    <w:spacing w:line="253" w:lineRule="auto"/>
                    <w:rPr>
                      <w:rFonts w:hint="default" w:ascii="Times New Roman" w:hAnsi="Times New Roman" w:eastAsia="宋体" w:cs="Times New Roman"/>
                      <w:color w:val="auto"/>
                      <w:sz w:val="21"/>
                      <w:szCs w:val="21"/>
                    </w:rPr>
                  </w:pPr>
                </w:p>
                <w:p w14:paraId="6BC357F5">
                  <w:pPr>
                    <w:spacing w:line="253" w:lineRule="auto"/>
                    <w:rPr>
                      <w:rFonts w:hint="default" w:ascii="Times New Roman" w:hAnsi="Times New Roman" w:eastAsia="宋体" w:cs="Times New Roman"/>
                      <w:color w:val="auto"/>
                      <w:sz w:val="21"/>
                      <w:szCs w:val="21"/>
                    </w:rPr>
                  </w:pPr>
                </w:p>
                <w:p w14:paraId="722D2291">
                  <w:pPr>
                    <w:pStyle w:val="47"/>
                    <w:spacing w:before="65" w:line="228" w:lineRule="auto"/>
                    <w:ind w:left="159" w:left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pacing w:val="3"/>
                      <w:sz w:val="21"/>
                      <w:szCs w:val="21"/>
                    </w:rPr>
                    <w:t>符合</w:t>
                  </w:r>
                </w:p>
              </w:tc>
            </w:tr>
          </w:tbl>
          <w:p w14:paraId="6A586C8A">
            <w:pPr>
              <w:pStyle w:val="6"/>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综上，项目建设符合《挥发性有机物无组织排放控制标准（GB37822-2019）》的相关要求。</w:t>
            </w:r>
          </w:p>
          <w:p w14:paraId="293D9A7D">
            <w:pPr>
              <w:autoSpaceDE w:val="0"/>
              <w:autoSpaceDN w:val="0"/>
              <w:adjustRightInd w:val="0"/>
              <w:snapToGrid w:val="0"/>
              <w:spacing w:line="360" w:lineRule="auto"/>
              <w:ind w:left="420" w:leftChars="200"/>
              <w:jc w:val="left"/>
              <w:rPr>
                <w:rFonts w:hint="eastAsia" w:ascii="Times New Roman" w:hAnsi="Times New Roman" w:eastAsia="宋体" w:cs="Times New Roman"/>
                <w:b/>
                <w:bCs/>
                <w:color w:val="auto"/>
                <w:kern w:val="0"/>
                <w:sz w:val="24"/>
                <w:szCs w:val="24"/>
                <w:lang w:val="en-US" w:eastAsia="zh-CN" w:bidi="ar-SA"/>
              </w:rPr>
            </w:pPr>
            <w:r>
              <w:rPr>
                <w:rFonts w:hint="eastAsia" w:cs="Times New Roman"/>
                <w:b/>
                <w:bCs/>
                <w:color w:val="auto"/>
                <w:kern w:val="0"/>
                <w:sz w:val="24"/>
                <w:szCs w:val="24"/>
                <w:lang w:val="en-US" w:eastAsia="zh-CN" w:bidi="ar-SA"/>
              </w:rPr>
              <w:t>7</w:t>
            </w:r>
            <w:r>
              <w:rPr>
                <w:rFonts w:hint="eastAsia" w:ascii="Times New Roman" w:hAnsi="Times New Roman" w:eastAsia="宋体" w:cs="Times New Roman"/>
                <w:b/>
                <w:bCs/>
                <w:color w:val="auto"/>
                <w:kern w:val="0"/>
                <w:sz w:val="24"/>
                <w:szCs w:val="24"/>
                <w:lang w:val="en-US" w:eastAsia="zh-CN" w:bidi="ar-SA"/>
              </w:rPr>
              <w:t>、选址合理性</w:t>
            </w:r>
          </w:p>
          <w:p w14:paraId="34EF38D2">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本项目位于</w:t>
            </w:r>
            <w:r>
              <w:rPr>
                <w:rFonts w:hint="eastAsia"/>
                <w:color w:val="auto"/>
                <w:sz w:val="24"/>
                <w:lang w:val="en-US" w:eastAsia="zh-CN"/>
              </w:rPr>
              <w:t>内蒙古自治区鄂尔多斯市准格尔经济开发区大路产业园新能源基地B3地块12号厂房</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kern w:val="2"/>
                <w:sz w:val="24"/>
                <w:szCs w:val="24"/>
                <w:lang w:val="en-US" w:eastAsia="zh-CN" w:bidi="ar-SA"/>
              </w:rPr>
              <w:t>该厂房土地用途为工业用地，规划用途为新材料产业区，</w:t>
            </w:r>
            <w:r>
              <w:rPr>
                <w:rFonts w:hint="eastAsia" w:cs="Times New Roman"/>
                <w:color w:val="auto"/>
                <w:sz w:val="24"/>
                <w:lang w:val="en-US" w:eastAsia="zh-CN"/>
              </w:rPr>
              <w:t>占地类型为工业用地，</w:t>
            </w:r>
            <w:r>
              <w:rPr>
                <w:rFonts w:hint="eastAsia"/>
                <w:color w:val="auto"/>
                <w:sz w:val="24"/>
              </w:rPr>
              <w:t>B3地块12号标准化厂房</w:t>
            </w:r>
            <w:r>
              <w:rPr>
                <w:rFonts w:hint="eastAsia"/>
                <w:color w:val="auto"/>
                <w:sz w:val="24"/>
                <w:lang w:val="en-US" w:eastAsia="zh-CN"/>
              </w:rPr>
              <w:t>建成后为空置厂房，未开展过生产活动；</w:t>
            </w:r>
            <w:r>
              <w:rPr>
                <w:rFonts w:hint="eastAsia" w:ascii="Times New Roman" w:hAnsi="Times New Roman" w:eastAsia="宋体" w:cs="Times New Roman"/>
                <w:color w:val="auto"/>
                <w:sz w:val="24"/>
                <w:lang w:eastAsia="zh-CN"/>
              </w:rPr>
              <w:t>项目占地范围内无</w:t>
            </w:r>
            <w:r>
              <w:rPr>
                <w:rFonts w:hint="eastAsia" w:ascii="Times New Roman" w:hAnsi="Times New Roman" w:eastAsia="宋体" w:cs="Times New Roman"/>
                <w:color w:val="auto"/>
                <w:sz w:val="24"/>
                <w:lang w:val="en-US" w:eastAsia="zh-CN"/>
              </w:rPr>
              <w:t>居民</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无</w:t>
            </w:r>
            <w:r>
              <w:rPr>
                <w:rFonts w:hint="eastAsia" w:ascii="Times New Roman" w:hAnsi="Times New Roman" w:eastAsia="宋体" w:cs="Times New Roman"/>
                <w:color w:val="auto"/>
                <w:sz w:val="24"/>
                <w:lang w:eastAsia="zh-CN"/>
              </w:rPr>
              <w:t>自然保护区、风景名胜区、文物保护区、生活饮用水源保护区等特殊敏感保护目标，项目周边也无需要特殊保护军事设施。</w:t>
            </w:r>
            <w:r>
              <w:rPr>
                <w:rFonts w:hint="eastAsia" w:ascii="Times New Roman" w:hAnsi="Times New Roman" w:eastAsia="宋体" w:cs="Times New Roman"/>
                <w:color w:val="auto"/>
                <w:sz w:val="24"/>
                <w:lang w:val="en-US" w:eastAsia="zh-CN"/>
              </w:rPr>
              <w:t>本项目临近</w:t>
            </w:r>
            <w:r>
              <w:rPr>
                <w:rFonts w:hint="eastAsia" w:cs="Times New Roman"/>
                <w:color w:val="auto"/>
                <w:sz w:val="24"/>
                <w:lang w:val="en-US" w:eastAsia="zh-CN"/>
              </w:rPr>
              <w:t>兴巴</w:t>
            </w:r>
            <w:r>
              <w:rPr>
                <w:rFonts w:hint="eastAsia" w:ascii="Times New Roman" w:hAnsi="Times New Roman" w:eastAsia="宋体" w:cs="Times New Roman"/>
                <w:color w:val="auto"/>
                <w:sz w:val="24"/>
                <w:lang w:val="en-US" w:eastAsia="zh-CN"/>
              </w:rPr>
              <w:t>高速公路、</w:t>
            </w:r>
            <w:r>
              <w:rPr>
                <w:rFonts w:hint="eastAsia" w:cs="Times New Roman"/>
                <w:color w:val="auto"/>
                <w:sz w:val="24"/>
                <w:lang w:val="en-US" w:eastAsia="zh-CN"/>
              </w:rPr>
              <w:t>103省道、2</w:t>
            </w:r>
            <w:r>
              <w:rPr>
                <w:rFonts w:hint="eastAsia" w:ascii="Times New Roman" w:hAnsi="Times New Roman" w:eastAsia="宋体" w:cs="Times New Roman"/>
                <w:color w:val="auto"/>
                <w:sz w:val="24"/>
                <w:lang w:val="en-US" w:eastAsia="zh-CN"/>
              </w:rPr>
              <w:t>09国道，现有厂区内部及</w:t>
            </w:r>
            <w:r>
              <w:rPr>
                <w:rFonts w:hint="eastAsia" w:ascii="Times New Roman" w:hAnsi="Times New Roman" w:eastAsia="宋体" w:cs="Times New Roman"/>
                <w:color w:val="auto"/>
                <w:sz w:val="24"/>
                <w:lang w:eastAsia="zh-CN"/>
              </w:rPr>
              <w:t>工业园区</w:t>
            </w:r>
            <w:r>
              <w:rPr>
                <w:rFonts w:hint="eastAsia" w:ascii="Times New Roman" w:hAnsi="Times New Roman" w:eastAsia="宋体" w:cs="Times New Roman"/>
                <w:color w:val="auto"/>
                <w:sz w:val="24"/>
                <w:lang w:val="en-US" w:eastAsia="zh-CN"/>
              </w:rPr>
              <w:t>均已建设道路，</w:t>
            </w:r>
            <w:r>
              <w:rPr>
                <w:rFonts w:hint="eastAsia"/>
                <w:color w:val="auto"/>
                <w:sz w:val="24"/>
              </w:rPr>
              <w:t>项目区域交通运输便捷，水源、电源有保</w:t>
            </w:r>
            <w:r>
              <w:rPr>
                <w:rFonts w:hint="eastAsia" w:ascii="Times New Roman" w:hAnsi="Times New Roman" w:eastAsia="宋体" w:cs="Times New Roman"/>
                <w:color w:val="auto"/>
                <w:sz w:val="24"/>
                <w:lang w:eastAsia="zh-CN"/>
              </w:rPr>
              <w:t>障。</w:t>
            </w:r>
            <w:r>
              <w:rPr>
                <w:rFonts w:hint="eastAsia" w:cs="Times New Roman"/>
                <w:color w:val="auto"/>
                <w:sz w:val="24"/>
                <w:lang w:eastAsia="zh-CN"/>
              </w:rPr>
              <w:t>（</w:t>
            </w:r>
            <w:r>
              <w:rPr>
                <w:rFonts w:hint="eastAsia" w:cs="Times New Roman"/>
                <w:color w:val="auto"/>
                <w:sz w:val="24"/>
                <w:lang w:val="en-US" w:eastAsia="zh-CN"/>
              </w:rPr>
              <w:t>入园协议见附件7</w:t>
            </w:r>
            <w:r>
              <w:rPr>
                <w:rFonts w:hint="eastAsia" w:cs="Times New Roman"/>
                <w:color w:val="auto"/>
                <w:sz w:val="24"/>
                <w:lang w:eastAsia="zh-CN"/>
              </w:rPr>
              <w:t>）</w:t>
            </w:r>
          </w:p>
          <w:p w14:paraId="202D4738">
            <w:pPr>
              <w:widowControl/>
              <w:spacing w:line="360" w:lineRule="auto"/>
              <w:ind w:firstLine="480" w:firstLineChars="200"/>
              <w:jc w:val="left"/>
              <w:rPr>
                <w:color w:val="auto"/>
              </w:rPr>
            </w:pPr>
            <w:r>
              <w:rPr>
                <w:rFonts w:hint="eastAsia"/>
                <w:color w:val="auto"/>
                <w:sz w:val="24"/>
              </w:rPr>
              <w:t>综上，本项目选址合理。</w:t>
            </w:r>
          </w:p>
          <w:p w14:paraId="0C48099F">
            <w:pPr>
              <w:autoSpaceDE w:val="0"/>
              <w:autoSpaceDN w:val="0"/>
              <w:adjustRightInd w:val="0"/>
              <w:snapToGrid w:val="0"/>
              <w:spacing w:line="360" w:lineRule="auto"/>
              <w:ind w:left="420" w:leftChars="200"/>
              <w:jc w:val="left"/>
              <w:rPr>
                <w:b/>
                <w:bCs/>
                <w:color w:val="auto"/>
                <w:kern w:val="0"/>
                <w:sz w:val="24"/>
              </w:rPr>
            </w:pPr>
            <w:r>
              <w:rPr>
                <w:rFonts w:hint="eastAsia"/>
                <w:b/>
                <w:bCs/>
                <w:color w:val="auto"/>
                <w:kern w:val="0"/>
                <w:sz w:val="24"/>
                <w:lang w:val="en-US" w:eastAsia="zh-CN"/>
              </w:rPr>
              <w:t>8</w:t>
            </w:r>
            <w:r>
              <w:rPr>
                <w:rFonts w:hint="eastAsia"/>
                <w:b/>
                <w:bCs/>
                <w:color w:val="auto"/>
                <w:kern w:val="0"/>
                <w:sz w:val="24"/>
              </w:rPr>
              <w:t>、生态环境分区管控要求的符合性分析</w:t>
            </w:r>
          </w:p>
          <w:p w14:paraId="6BE68F53">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（一）生态保护红线</w:t>
            </w:r>
          </w:p>
          <w:p w14:paraId="538F3D71">
            <w:pPr>
              <w:widowControl/>
              <w:spacing w:line="360" w:lineRule="auto"/>
              <w:ind w:firstLine="480" w:firstLineChars="200"/>
              <w:jc w:val="left"/>
              <w:rPr>
                <w:color w:val="auto"/>
                <w:sz w:val="24"/>
              </w:rPr>
            </w:pPr>
            <w:r>
              <w:rPr>
                <w:color w:val="auto"/>
                <w:sz w:val="24"/>
              </w:rPr>
              <w:t>根据《鄂尔多斯市生态环境分区管控动态更新成果(2023年版)》，鄂尔多斯市落实生态保护红线、环境质量底线、资源利用上线和生态环境准入清单，构建生态环境分区管控体系，全市共划定环境管控单元171个，包括优先保护单元、重点管控单元、一般管控单元三类，实施分类管控。</w:t>
            </w:r>
          </w:p>
          <w:p w14:paraId="50DF1404">
            <w:pPr>
              <w:widowControl/>
              <w:spacing w:line="360" w:lineRule="auto"/>
              <w:ind w:firstLine="480" w:firstLineChars="200"/>
              <w:jc w:val="left"/>
              <w:rPr>
                <w:color w:val="auto"/>
                <w:sz w:val="24"/>
              </w:rPr>
            </w:pPr>
            <w:r>
              <w:rPr>
                <w:color w:val="auto"/>
                <w:sz w:val="24"/>
              </w:rPr>
              <w:t>优先保护单元：共76个，面积占比为64.35%，主要包括鄂尔多斯市生态保护红线、自然保护地、集中式饮用水水源保护区等生态功能重要区和生态环境敏感区。该区域以生态环境保护优先为原则，依法禁止或限制大规模、高强度的工业开发和城镇建设，确保生态环境功能不降低。</w:t>
            </w:r>
          </w:p>
          <w:p w14:paraId="057C1FC9">
            <w:pPr>
              <w:widowControl/>
              <w:spacing w:line="360" w:lineRule="auto"/>
              <w:ind w:firstLine="480" w:firstLineChars="200"/>
              <w:jc w:val="left"/>
              <w:rPr>
                <w:color w:val="auto"/>
                <w:sz w:val="24"/>
              </w:rPr>
            </w:pPr>
            <w:r>
              <w:rPr>
                <w:color w:val="auto"/>
                <w:sz w:val="24"/>
              </w:rPr>
              <w:t>重点管控单元：共86个，面积占比为28.10%，主要包括工业园区、城市、矿区等开发强度高、污染排放量大、环境问题相对集中的区域，以及生态需水补给区等。该区域应不断提升资源利用效率，有针对性地加强污染物排放控制和环境风险防控，解决生态环境质量不达标、生态环境风险高等问题。</w:t>
            </w:r>
          </w:p>
          <w:p w14:paraId="418DBB7D">
            <w:pPr>
              <w:widowControl/>
              <w:spacing w:line="360" w:lineRule="auto"/>
              <w:ind w:firstLine="480" w:firstLineChars="200"/>
              <w:jc w:val="left"/>
              <w:rPr>
                <w:color w:val="auto"/>
                <w:sz w:val="24"/>
              </w:rPr>
            </w:pPr>
            <w:r>
              <w:rPr>
                <w:color w:val="auto"/>
                <w:sz w:val="24"/>
              </w:rPr>
              <w:t>一般管控单元：共</w:t>
            </w:r>
            <w:r>
              <w:rPr>
                <w:rFonts w:hint="eastAsia"/>
                <w:color w:val="auto"/>
                <w:sz w:val="24"/>
              </w:rPr>
              <w:t>9</w:t>
            </w:r>
            <w:r>
              <w:rPr>
                <w:color w:val="auto"/>
                <w:sz w:val="24"/>
              </w:rPr>
              <w:t>个，面积占比为7.56%，优先保护单元、重点管控单元之外为一般管控单元。该区域主要落实生态环境保护基本要求。</w:t>
            </w:r>
          </w:p>
          <w:p w14:paraId="70689012">
            <w:pPr>
              <w:widowControl/>
              <w:spacing w:line="360" w:lineRule="auto"/>
              <w:ind w:firstLine="480" w:firstLineChars="200"/>
              <w:jc w:val="left"/>
              <w:rPr>
                <w:color w:val="auto"/>
                <w:sz w:val="24"/>
              </w:rPr>
            </w:pPr>
            <w:r>
              <w:rPr>
                <w:rFonts w:hint="eastAsia"/>
                <w:color w:val="auto"/>
                <w:sz w:val="24"/>
              </w:rPr>
              <w:t>本项目位于</w:t>
            </w:r>
            <w:r>
              <w:rPr>
                <w:rFonts w:hint="eastAsia"/>
                <w:color w:val="auto"/>
                <w:sz w:val="24"/>
                <w:lang w:val="en-US" w:eastAsia="zh-CN"/>
              </w:rPr>
              <w:t>鄂尔多斯市准格尔旗大路产业园新能源基地</w:t>
            </w:r>
            <w:r>
              <w:rPr>
                <w:rFonts w:hint="eastAsia"/>
                <w:color w:val="auto"/>
                <w:sz w:val="24"/>
              </w:rPr>
              <w:t>，经内蒙古自治区生态环境分区管控公众端查询可知，不涉及生态保护红线。</w:t>
            </w:r>
          </w:p>
          <w:p w14:paraId="6FAEC06C">
            <w:pPr>
              <w:autoSpaceDE w:val="0"/>
              <w:autoSpaceDN w:val="0"/>
              <w:adjustRightInd w:val="0"/>
              <w:snapToGrid w:val="0"/>
              <w:spacing w:line="360" w:lineRule="auto"/>
              <w:ind w:firstLine="480" w:firstLineChars="200"/>
              <w:jc w:val="left"/>
              <w:rPr>
                <w:color w:val="auto"/>
                <w:kern w:val="0"/>
                <w:sz w:val="24"/>
              </w:rPr>
            </w:pPr>
            <w:r>
              <w:rPr>
                <w:color w:val="auto"/>
                <w:kern w:val="0"/>
                <w:sz w:val="24"/>
              </w:rPr>
              <w:t>（二）环境质量底线</w:t>
            </w:r>
          </w:p>
          <w:p w14:paraId="08CE4161">
            <w:pPr>
              <w:widowControl/>
              <w:spacing w:line="360" w:lineRule="auto"/>
              <w:ind w:firstLine="480" w:firstLineChars="200"/>
              <w:jc w:val="left"/>
              <w:rPr>
                <w:color w:val="auto"/>
                <w:sz w:val="24"/>
              </w:rPr>
            </w:pPr>
            <w:r>
              <w:rPr>
                <w:rFonts w:hint="eastAsia"/>
                <w:color w:val="auto"/>
                <w:sz w:val="24"/>
              </w:rPr>
              <w:t>本次评价采用内蒙古自治区生态环境厅202</w:t>
            </w:r>
            <w:r>
              <w:rPr>
                <w:rFonts w:hint="eastAsia"/>
                <w:color w:val="auto"/>
                <w:sz w:val="24"/>
                <w:lang w:val="en-US" w:eastAsia="zh-CN"/>
              </w:rPr>
              <w:t>6</w:t>
            </w:r>
            <w:r>
              <w:rPr>
                <w:rFonts w:hint="eastAsia"/>
                <w:color w:val="auto"/>
                <w:sz w:val="24"/>
              </w:rPr>
              <w:t>年6月发布的《202</w:t>
            </w:r>
            <w:r>
              <w:rPr>
                <w:rFonts w:hint="eastAsia"/>
                <w:color w:val="auto"/>
                <w:sz w:val="24"/>
                <w:lang w:val="en-US" w:eastAsia="zh-CN"/>
              </w:rPr>
              <w:t>5</w:t>
            </w:r>
            <w:r>
              <w:rPr>
                <w:rFonts w:hint="eastAsia"/>
                <w:color w:val="auto"/>
                <w:sz w:val="24"/>
              </w:rPr>
              <w:t>年内蒙古自治区生态环境状况公报》作为评价区域达标情况的依据。《202</w:t>
            </w:r>
            <w:r>
              <w:rPr>
                <w:rFonts w:hint="eastAsia"/>
                <w:color w:val="auto"/>
                <w:sz w:val="24"/>
                <w:lang w:val="en-US" w:eastAsia="zh-CN"/>
              </w:rPr>
              <w:t>5</w:t>
            </w:r>
            <w:r>
              <w:rPr>
                <w:rFonts w:hint="eastAsia"/>
                <w:color w:val="auto"/>
                <w:sz w:val="24"/>
              </w:rPr>
              <w:t>年内蒙古自治区生态环境状况公报》中提到“202</w:t>
            </w:r>
            <w:r>
              <w:rPr>
                <w:rFonts w:hint="eastAsia"/>
                <w:color w:val="auto"/>
                <w:sz w:val="24"/>
                <w:lang w:val="en-US" w:eastAsia="zh-CN"/>
              </w:rPr>
              <w:t>5</w:t>
            </w:r>
            <w:r>
              <w:rPr>
                <w:rFonts w:hint="eastAsia"/>
                <w:color w:val="auto"/>
                <w:sz w:val="24"/>
              </w:rPr>
              <w:t>年，全区环境空气六项污染物年均浓度均达标。”。根据《环境影响评价技术导则--大气环境》（HJ2.2-2018）6.4.1.1的要求，六项基本污染物全部达标即为城市环境空气质量达标，因此，本项目所在区域城市环境空气质量达标。</w:t>
            </w:r>
          </w:p>
          <w:p w14:paraId="0CF60CC5">
            <w:pPr>
              <w:widowControl/>
              <w:spacing w:line="360" w:lineRule="auto"/>
              <w:ind w:firstLine="480" w:firstLineChars="200"/>
              <w:jc w:val="left"/>
              <w:rPr>
                <w:color w:val="auto"/>
                <w:sz w:val="24"/>
              </w:rPr>
            </w:pPr>
            <w:r>
              <w:rPr>
                <w:rFonts w:hint="eastAsia"/>
                <w:color w:val="auto"/>
                <w:sz w:val="24"/>
                <w:lang w:val="en-US" w:eastAsia="zh-CN"/>
              </w:rPr>
              <w:t>本项目</w:t>
            </w:r>
            <w:r>
              <w:rPr>
                <w:rFonts w:hint="eastAsia"/>
                <w:color w:val="auto"/>
                <w:kern w:val="0"/>
                <w:sz w:val="24"/>
                <w:lang w:bidi="ar"/>
              </w:rPr>
              <w:t>污染特征因子为总悬浮颗粒物（</w:t>
            </w:r>
            <w:r>
              <w:rPr>
                <w:color w:val="auto"/>
                <w:kern w:val="0"/>
                <w:sz w:val="24"/>
                <w:lang w:bidi="ar"/>
              </w:rPr>
              <w:t>TSP</w:t>
            </w:r>
            <w:r>
              <w:rPr>
                <w:rFonts w:hint="eastAsia"/>
                <w:color w:val="auto"/>
                <w:kern w:val="0"/>
                <w:sz w:val="24"/>
                <w:lang w:bidi="ar"/>
              </w:rPr>
              <w:t>）</w:t>
            </w:r>
            <w:r>
              <w:rPr>
                <w:rFonts w:hint="eastAsia"/>
                <w:color w:val="auto"/>
                <w:kern w:val="0"/>
                <w:sz w:val="24"/>
                <w:lang w:val="en-US" w:eastAsia="zh-CN" w:bidi="ar"/>
              </w:rPr>
              <w:t>和非甲烷总烃</w:t>
            </w:r>
            <w:r>
              <w:rPr>
                <w:rFonts w:hint="eastAsia"/>
                <w:color w:val="auto"/>
                <w:sz w:val="24"/>
                <w:u w:val="none"/>
                <w:lang w:eastAsia="zh-CN"/>
              </w:rPr>
              <w:t>（</w:t>
            </w:r>
            <w:r>
              <w:rPr>
                <w:rFonts w:hint="eastAsia" w:ascii="Times New Roman" w:hAnsi="Times New Roman" w:eastAsia="宋体" w:cs="Times New Roman"/>
                <w:color w:val="auto"/>
                <w:kern w:val="0"/>
                <w:sz w:val="24"/>
                <w:lang w:bidi="ar"/>
              </w:rPr>
              <w:t>NMHC</w:t>
            </w:r>
            <w:r>
              <w:rPr>
                <w:rFonts w:hint="eastAsia" w:ascii="Times New Roman" w:hAnsi="Times New Roman" w:eastAsia="宋体" w:cs="Times New Roman"/>
                <w:color w:val="auto"/>
                <w:kern w:val="0"/>
                <w:sz w:val="24"/>
                <w:lang w:eastAsia="zh-CN" w:bidi="ar"/>
              </w:rPr>
              <w:t>）</w:t>
            </w:r>
            <w:r>
              <w:rPr>
                <w:rFonts w:hint="eastAsia"/>
                <w:color w:val="auto"/>
                <w:sz w:val="24"/>
              </w:rPr>
              <w:t>，</w:t>
            </w:r>
            <w:r>
              <w:rPr>
                <w:rFonts w:hint="eastAsia"/>
                <w:color w:val="auto"/>
                <w:sz w:val="24"/>
                <w:lang w:val="en-US" w:eastAsia="zh-CN"/>
              </w:rPr>
              <w:t>引用</w:t>
            </w:r>
            <w:r>
              <w:rPr>
                <w:rFonts w:hint="eastAsia"/>
                <w:color w:val="auto"/>
                <w:sz w:val="24"/>
              </w:rPr>
              <w:t>《</w:t>
            </w:r>
            <w:r>
              <w:rPr>
                <w:rFonts w:hint="eastAsia"/>
                <w:color w:val="auto"/>
                <w:kern w:val="0"/>
                <w:sz w:val="24"/>
                <w:lang w:bidi="ar"/>
              </w:rPr>
              <w:t>先进 6 英寸硅基工业级功率半导体芯片项目环境影响报告</w:t>
            </w:r>
            <w:r>
              <w:rPr>
                <w:rFonts w:hint="eastAsia"/>
                <w:color w:val="auto"/>
                <w:kern w:val="0"/>
                <w:sz w:val="24"/>
                <w:lang w:val="en-US" w:eastAsia="zh-CN" w:bidi="ar"/>
              </w:rPr>
              <w:t>表</w:t>
            </w:r>
            <w:r>
              <w:rPr>
                <w:rFonts w:hint="eastAsia"/>
                <w:color w:val="auto"/>
                <w:sz w:val="24"/>
              </w:rPr>
              <w:t>》现状监测数据，监测结果显示TSP 24h均值满足《环境空气质量标准》（GB3095-2026）表二中二级浓度限值标准，</w:t>
            </w:r>
            <w:r>
              <w:rPr>
                <w:rFonts w:hint="eastAsia" w:ascii="Times New Roman" w:hAnsi="Times New Roman" w:eastAsia="宋体" w:cs="Times New Roman"/>
                <w:color w:val="auto"/>
                <w:kern w:val="0"/>
                <w:sz w:val="24"/>
                <w:lang w:bidi="ar"/>
              </w:rPr>
              <w:t>非甲烷总烃参考执行《大气污染物综合排放标准详解》中的标准值</w:t>
            </w:r>
            <w:r>
              <w:rPr>
                <w:rFonts w:hint="eastAsia"/>
                <w:color w:val="auto"/>
                <w:sz w:val="24"/>
                <w:lang w:eastAsia="zh-CN"/>
              </w:rPr>
              <w:t>，</w:t>
            </w:r>
            <w:r>
              <w:rPr>
                <w:rFonts w:hint="eastAsia"/>
                <w:color w:val="auto"/>
                <w:sz w:val="24"/>
              </w:rPr>
              <w:t>区域环境空气质量良好。</w:t>
            </w:r>
          </w:p>
          <w:p w14:paraId="4C5CFA54">
            <w:pPr>
              <w:widowControl/>
              <w:spacing w:line="360" w:lineRule="auto"/>
              <w:ind w:firstLine="480" w:firstLineChars="200"/>
              <w:jc w:val="left"/>
              <w:rPr>
                <w:color w:val="auto"/>
                <w:sz w:val="24"/>
              </w:rPr>
            </w:pPr>
            <w:r>
              <w:rPr>
                <w:rFonts w:hint="eastAsia"/>
                <w:color w:val="auto"/>
                <w:sz w:val="24"/>
              </w:rPr>
              <w:t>本项目为环氧玻璃纤维高压管道</w:t>
            </w:r>
            <w:r>
              <w:rPr>
                <w:rFonts w:hint="eastAsia"/>
                <w:color w:val="auto"/>
                <w:sz w:val="24"/>
                <w:lang w:val="en-US" w:eastAsia="zh-CN"/>
              </w:rPr>
              <w:t>建设项目</w:t>
            </w:r>
            <w:r>
              <w:rPr>
                <w:rFonts w:hint="eastAsia"/>
                <w:color w:val="auto"/>
                <w:sz w:val="24"/>
              </w:rPr>
              <w:t>，项目对各产尘点废气均进行有效收集，并配套相应的除尘措施，确保废气达标排放。项目无生产废水，生活污水排入现有</w:t>
            </w:r>
            <w:r>
              <w:rPr>
                <w:rFonts w:hint="eastAsia"/>
                <w:color w:val="auto"/>
                <w:sz w:val="24"/>
                <w:lang w:val="zh-TW" w:eastAsia="zh-CN"/>
              </w:rPr>
              <w:t>内蒙古天河水务有限公司</w:t>
            </w:r>
            <w:r>
              <w:rPr>
                <w:rFonts w:hint="eastAsia"/>
                <w:color w:val="auto"/>
                <w:sz w:val="24"/>
              </w:rPr>
              <w:t>。本项目厂界外</w:t>
            </w:r>
            <w:r>
              <w:rPr>
                <w:color w:val="auto"/>
                <w:sz w:val="24"/>
              </w:rPr>
              <w:t>50m</w:t>
            </w:r>
            <w:r>
              <w:rPr>
                <w:rFonts w:hint="eastAsia"/>
                <w:color w:val="auto"/>
                <w:sz w:val="24"/>
              </w:rPr>
              <w:t>范围内不存在声环境保护目标，厂内设备噪声采取有效的隔声、降噪措施后厂界噪声达标，故本项目运营后会产生一定的污染物，但在采取相应的污染防治措施后，各类污染物的排放一般不会对周边环境造成不良影响，不会改变区域环境功能区质量要求，能维持环境功能区质量现状。</w:t>
            </w:r>
          </w:p>
          <w:p w14:paraId="56DFE37E">
            <w:pPr>
              <w:widowControl/>
              <w:spacing w:line="360" w:lineRule="auto"/>
              <w:ind w:firstLine="480" w:firstLineChars="200"/>
              <w:jc w:val="left"/>
              <w:rPr>
                <w:color w:val="auto"/>
                <w:sz w:val="24"/>
              </w:rPr>
            </w:pPr>
            <w:r>
              <w:rPr>
                <w:rFonts w:hint="eastAsia"/>
                <w:color w:val="auto"/>
                <w:sz w:val="24"/>
              </w:rPr>
              <w:t>因此，本项目建设不会对当地环境质量底线造成冲击。</w:t>
            </w:r>
          </w:p>
          <w:p w14:paraId="4B249805">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 xml:space="preserve">（三）资源利用上线 </w:t>
            </w:r>
          </w:p>
          <w:p w14:paraId="62721FAB">
            <w:pPr>
              <w:autoSpaceDE w:val="0"/>
              <w:autoSpaceDN w:val="0"/>
              <w:adjustRightInd w:val="0"/>
              <w:snapToGrid w:val="0"/>
              <w:spacing w:line="360" w:lineRule="auto"/>
              <w:ind w:firstLine="480" w:firstLineChars="200"/>
              <w:jc w:val="left"/>
              <w:rPr>
                <w:color w:val="auto"/>
                <w:kern w:val="0"/>
                <w:sz w:val="24"/>
                <w:highlight w:val="none"/>
              </w:rPr>
            </w:pPr>
            <w:r>
              <w:rPr>
                <w:rFonts w:hint="eastAsia"/>
                <w:color w:val="auto"/>
                <w:kern w:val="0"/>
                <w:sz w:val="24"/>
                <w:highlight w:val="none"/>
              </w:rPr>
              <w:t>本项目</w:t>
            </w:r>
            <w:r>
              <w:rPr>
                <w:rFonts w:hint="eastAsia"/>
                <w:color w:val="auto"/>
                <w:kern w:val="0"/>
                <w:sz w:val="24"/>
                <w:highlight w:val="none"/>
                <w:lang w:val="en-US" w:eastAsia="zh-CN"/>
              </w:rPr>
              <w:t>租用标准化厂房，</w:t>
            </w:r>
            <w:r>
              <w:rPr>
                <w:rFonts w:hint="eastAsia"/>
                <w:color w:val="auto"/>
                <w:kern w:val="0"/>
                <w:sz w:val="24"/>
                <w:highlight w:val="none"/>
              </w:rPr>
              <w:t>面积为</w:t>
            </w:r>
            <w:r>
              <w:rPr>
                <w:rFonts w:hint="eastAsia"/>
                <w:color w:val="auto"/>
                <w:sz w:val="24"/>
                <w:highlight w:val="none"/>
                <w:lang w:val="en-US" w:eastAsia="zh-CN"/>
              </w:rPr>
              <w:t>6019.75</w:t>
            </w:r>
            <w:r>
              <w:rPr>
                <w:rFonts w:hint="eastAsia"/>
                <w:color w:val="auto"/>
                <w:kern w:val="0"/>
                <w:sz w:val="24"/>
                <w:highlight w:val="none"/>
              </w:rPr>
              <w:t>m</w:t>
            </w:r>
            <w:r>
              <w:rPr>
                <w:rFonts w:hint="eastAsia"/>
                <w:color w:val="auto"/>
                <w:kern w:val="0"/>
                <w:sz w:val="24"/>
                <w:highlight w:val="none"/>
                <w:vertAlign w:val="superscript"/>
              </w:rPr>
              <w:t>2</w:t>
            </w:r>
            <w:r>
              <w:rPr>
                <w:rFonts w:hint="eastAsia"/>
                <w:color w:val="auto"/>
                <w:kern w:val="0"/>
                <w:sz w:val="24"/>
                <w:highlight w:val="none"/>
              </w:rPr>
              <w:t>，</w:t>
            </w:r>
            <w:r>
              <w:rPr>
                <w:rFonts w:hint="eastAsia"/>
                <w:color w:val="auto"/>
                <w:kern w:val="0"/>
                <w:sz w:val="24"/>
                <w:highlight w:val="none"/>
                <w:lang w:val="en-US" w:eastAsia="zh-CN"/>
              </w:rPr>
              <w:t>园区划拨10000m</w:t>
            </w:r>
            <w:r>
              <w:rPr>
                <w:rFonts w:hint="eastAsia"/>
                <w:color w:val="auto"/>
                <w:kern w:val="0"/>
                <w:sz w:val="24"/>
                <w:highlight w:val="none"/>
                <w:vertAlign w:val="superscript"/>
                <w:lang w:val="en-US" w:eastAsia="zh-CN"/>
              </w:rPr>
              <w:t>2</w:t>
            </w:r>
            <w:r>
              <w:rPr>
                <w:rFonts w:hint="eastAsia"/>
                <w:color w:val="auto"/>
                <w:kern w:val="0"/>
                <w:sz w:val="24"/>
                <w:highlight w:val="none"/>
                <w:lang w:val="en-US" w:eastAsia="zh-CN"/>
              </w:rPr>
              <w:t>用于成品存放，面积共用16019.75m</w:t>
            </w:r>
            <w:r>
              <w:rPr>
                <w:rFonts w:hint="eastAsia"/>
                <w:color w:val="auto"/>
                <w:kern w:val="0"/>
                <w:sz w:val="24"/>
                <w:highlight w:val="none"/>
                <w:vertAlign w:val="superscript"/>
                <w:lang w:val="en-US" w:eastAsia="zh-CN"/>
              </w:rPr>
              <w:t>2</w:t>
            </w:r>
            <w:r>
              <w:rPr>
                <w:rFonts w:hint="eastAsia"/>
                <w:color w:val="auto"/>
                <w:kern w:val="0"/>
                <w:sz w:val="24"/>
                <w:highlight w:val="none"/>
                <w:lang w:val="en-US" w:eastAsia="zh-CN"/>
              </w:rPr>
              <w:t>；项目全部建成后运营期生活用</w:t>
            </w:r>
            <w:r>
              <w:rPr>
                <w:rFonts w:hint="eastAsia" w:ascii="Times New Roman" w:hAnsi="Times New Roman" w:eastAsia="宋体" w:cs="Times New Roman"/>
                <w:color w:val="auto"/>
                <w:kern w:val="0"/>
                <w:sz w:val="24"/>
                <w:highlight w:val="none"/>
                <w:lang w:val="en-US" w:eastAsia="zh-CN"/>
              </w:rPr>
              <w:t>水422.4t/a</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电</w:t>
            </w:r>
            <w:r>
              <w:rPr>
                <w:rFonts w:hint="eastAsia" w:cs="Times New Roman"/>
                <w:color w:val="auto"/>
                <w:kern w:val="0"/>
                <w:sz w:val="24"/>
                <w:szCs w:val="24"/>
                <w:highlight w:val="none"/>
                <w:lang w:val="en-US" w:eastAsia="zh-CN" w:bidi="ar"/>
              </w:rPr>
              <w:t>4500</w:t>
            </w:r>
            <w:r>
              <w:rPr>
                <w:rFonts w:hint="default" w:ascii="Times New Roman" w:hAnsi="Times New Roman" w:eastAsia="宋体" w:cs="Times New Roman"/>
                <w:color w:val="auto"/>
                <w:kern w:val="0"/>
                <w:sz w:val="24"/>
                <w:szCs w:val="24"/>
                <w:highlight w:val="none"/>
                <w:lang w:bidi="ar"/>
              </w:rPr>
              <w:t>KWh/a</w:t>
            </w:r>
            <w:r>
              <w:rPr>
                <w:rFonts w:hint="eastAsia" w:cs="Times New Roman"/>
                <w:color w:val="auto"/>
                <w:kern w:val="0"/>
                <w:sz w:val="24"/>
                <w:szCs w:val="24"/>
                <w:highlight w:val="none"/>
                <w:lang w:eastAsia="zh-CN" w:bidi="ar"/>
              </w:rPr>
              <w:t>，</w:t>
            </w:r>
            <w:r>
              <w:rPr>
                <w:rFonts w:hint="eastAsia"/>
                <w:color w:val="auto"/>
                <w:kern w:val="0"/>
                <w:sz w:val="24"/>
                <w:highlight w:val="none"/>
              </w:rPr>
              <w:t>项目消耗资源相对于区域资源利用总量较少，符合资源利用上限要求。</w:t>
            </w:r>
          </w:p>
          <w:p w14:paraId="27D4E82A">
            <w:pPr>
              <w:autoSpaceDE w:val="0"/>
              <w:autoSpaceDN w:val="0"/>
              <w:adjustRightInd w:val="0"/>
              <w:snapToGrid w:val="0"/>
              <w:spacing w:line="360" w:lineRule="auto"/>
              <w:ind w:firstLine="480" w:firstLineChars="200"/>
              <w:jc w:val="left"/>
              <w:rPr>
                <w:color w:val="auto"/>
                <w:kern w:val="0"/>
                <w:sz w:val="24"/>
              </w:rPr>
            </w:pPr>
            <w:r>
              <w:rPr>
                <w:rFonts w:hint="eastAsia"/>
                <w:color w:val="auto"/>
                <w:kern w:val="0"/>
                <w:sz w:val="24"/>
              </w:rPr>
              <w:t>（四）生态环境准入清单</w:t>
            </w:r>
          </w:p>
          <w:p w14:paraId="566FF499">
            <w:pPr>
              <w:widowControl/>
              <w:spacing w:line="360" w:lineRule="auto"/>
              <w:ind w:firstLine="480" w:firstLineChars="200"/>
              <w:jc w:val="left"/>
              <w:rPr>
                <w:color w:val="auto"/>
                <w:kern w:val="0"/>
                <w:sz w:val="24"/>
              </w:rPr>
            </w:pPr>
            <w:r>
              <w:rPr>
                <w:rFonts w:hint="eastAsia"/>
                <w:color w:val="auto"/>
                <w:kern w:val="0"/>
                <w:sz w:val="24"/>
              </w:rPr>
              <w:t>经内蒙古自治区生态环境厅三线一单数据应用平台查询</w:t>
            </w:r>
            <w:r>
              <w:rPr>
                <w:rFonts w:hint="eastAsia"/>
                <w:color w:val="auto"/>
                <w:kern w:val="0"/>
                <w:sz w:val="24"/>
                <w:lang w:eastAsia="zh-CN"/>
              </w:rPr>
              <w:t>，获取</w:t>
            </w:r>
            <w:r>
              <w:rPr>
                <w:rFonts w:hint="eastAsia"/>
                <w:color w:val="auto"/>
                <w:kern w:val="0"/>
                <w:sz w:val="24"/>
              </w:rPr>
              <w:t>“三线一单查询报告”和《</w:t>
            </w:r>
            <w:r>
              <w:rPr>
                <w:color w:val="auto"/>
                <w:kern w:val="0"/>
                <w:sz w:val="24"/>
              </w:rPr>
              <w:t>鄂尔多斯市生态环境分区管控动态更新成果(2023年版)</w:t>
            </w:r>
            <w:r>
              <w:rPr>
                <w:rFonts w:hint="eastAsia"/>
                <w:color w:val="auto"/>
                <w:kern w:val="0"/>
                <w:sz w:val="24"/>
              </w:rPr>
              <w:t>》，本项目压覆重点管控单元“鄂尔多斯大路工业园区（ZH15062220001）”，与管控单元的管控要求符合性分析见下表。（三线一单查询结果见附</w:t>
            </w:r>
            <w:r>
              <w:rPr>
                <w:rFonts w:hint="eastAsia"/>
                <w:color w:val="auto"/>
                <w:kern w:val="0"/>
                <w:sz w:val="24"/>
                <w:lang w:val="en-US" w:eastAsia="zh-CN"/>
              </w:rPr>
              <w:t>图</w:t>
            </w:r>
            <w:r>
              <w:rPr>
                <w:rFonts w:hint="eastAsia"/>
                <w:color w:val="auto"/>
                <w:kern w:val="0"/>
                <w:sz w:val="24"/>
              </w:rPr>
              <w:t>2）</w:t>
            </w:r>
          </w:p>
          <w:p w14:paraId="380FE656">
            <w:pPr>
              <w:autoSpaceDE w:val="0"/>
              <w:autoSpaceDN w:val="0"/>
              <w:adjustRightInd w:val="0"/>
              <w:snapToGrid w:val="0"/>
              <w:ind w:firstLine="723" w:firstLineChars="300"/>
              <w:jc w:val="left"/>
              <w:rPr>
                <w:b/>
                <w:bCs/>
                <w:color w:val="auto"/>
                <w:kern w:val="0"/>
                <w:sz w:val="24"/>
              </w:rPr>
            </w:pPr>
            <w:r>
              <w:rPr>
                <w:rFonts w:hint="eastAsia"/>
                <w:b/>
                <w:bCs/>
                <w:color w:val="auto"/>
                <w:kern w:val="0"/>
                <w:sz w:val="24"/>
              </w:rPr>
              <w:t>表1-</w:t>
            </w:r>
            <w:r>
              <w:rPr>
                <w:rFonts w:hint="eastAsia"/>
                <w:b/>
                <w:bCs/>
                <w:color w:val="auto"/>
                <w:kern w:val="0"/>
                <w:sz w:val="24"/>
                <w:lang w:val="en-US" w:eastAsia="zh-CN"/>
              </w:rPr>
              <w:t>5</w:t>
            </w:r>
            <w:r>
              <w:rPr>
                <w:rFonts w:hint="eastAsia"/>
                <w:b/>
                <w:bCs/>
                <w:color w:val="auto"/>
                <w:kern w:val="0"/>
                <w:sz w:val="24"/>
              </w:rPr>
              <w:t xml:space="preserve">    与《鄂尔多斯市生态环境准入清单》符合性分析</w:t>
            </w:r>
          </w:p>
          <w:tbl>
            <w:tblPr>
              <w:tblStyle w:val="23"/>
              <w:tblW w:w="6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3247"/>
              <w:gridCol w:w="2591"/>
              <w:gridCol w:w="721"/>
            </w:tblGrid>
            <w:tr w14:paraId="713D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686" w:type="dxa"/>
                  <w:gridSpan w:val="2"/>
                  <w:vAlign w:val="center"/>
                </w:tcPr>
                <w:p w14:paraId="27A0D3A1">
                  <w:pPr>
                    <w:widowControl/>
                    <w:jc w:val="center"/>
                    <w:textAlignment w:val="center"/>
                    <w:rPr>
                      <w:b/>
                      <w:bCs/>
                      <w:color w:val="auto"/>
                      <w:kern w:val="0"/>
                      <w:szCs w:val="21"/>
                      <w:lang w:bidi="ar"/>
                    </w:rPr>
                  </w:pPr>
                  <w:r>
                    <w:rPr>
                      <w:rFonts w:hint="eastAsia"/>
                      <w:b/>
                      <w:bCs/>
                      <w:color w:val="auto"/>
                      <w:kern w:val="0"/>
                      <w:szCs w:val="21"/>
                      <w:lang w:bidi="ar"/>
                    </w:rPr>
                    <w:t>管控要求</w:t>
                  </w:r>
                </w:p>
              </w:tc>
              <w:tc>
                <w:tcPr>
                  <w:tcW w:w="2591" w:type="dxa"/>
                  <w:vAlign w:val="center"/>
                </w:tcPr>
                <w:p w14:paraId="0B07FB39">
                  <w:pPr>
                    <w:widowControl/>
                    <w:jc w:val="center"/>
                    <w:textAlignment w:val="center"/>
                    <w:rPr>
                      <w:b/>
                      <w:bCs/>
                      <w:color w:val="auto"/>
                      <w:kern w:val="0"/>
                      <w:szCs w:val="21"/>
                      <w:lang w:bidi="ar"/>
                    </w:rPr>
                  </w:pPr>
                  <w:r>
                    <w:rPr>
                      <w:rFonts w:hint="eastAsia"/>
                      <w:b/>
                      <w:bCs/>
                      <w:color w:val="auto"/>
                      <w:kern w:val="0"/>
                      <w:szCs w:val="21"/>
                      <w:lang w:bidi="ar"/>
                    </w:rPr>
                    <w:t>本项目</w:t>
                  </w:r>
                </w:p>
              </w:tc>
              <w:tc>
                <w:tcPr>
                  <w:tcW w:w="721" w:type="dxa"/>
                  <w:vAlign w:val="center"/>
                </w:tcPr>
                <w:p w14:paraId="68EB74F1">
                  <w:pPr>
                    <w:widowControl/>
                    <w:jc w:val="center"/>
                    <w:textAlignment w:val="center"/>
                    <w:rPr>
                      <w:b/>
                      <w:bCs/>
                      <w:color w:val="auto"/>
                      <w:kern w:val="0"/>
                      <w:szCs w:val="21"/>
                      <w:lang w:bidi="ar"/>
                    </w:rPr>
                  </w:pPr>
                  <w:r>
                    <w:rPr>
                      <w:rFonts w:hint="eastAsia"/>
                      <w:b/>
                      <w:bCs/>
                      <w:color w:val="auto"/>
                      <w:kern w:val="0"/>
                      <w:szCs w:val="21"/>
                      <w:lang w:bidi="ar"/>
                    </w:rPr>
                    <w:t>符合性</w:t>
                  </w:r>
                </w:p>
              </w:tc>
            </w:tr>
            <w:tr w14:paraId="7C92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trPr>
              <w:tc>
                <w:tcPr>
                  <w:tcW w:w="439" w:type="dxa"/>
                  <w:vMerge w:val="restart"/>
                  <w:vAlign w:val="center"/>
                </w:tcPr>
                <w:p w14:paraId="720B77BC">
                  <w:pPr>
                    <w:widowControl/>
                    <w:jc w:val="center"/>
                    <w:textAlignment w:val="center"/>
                    <w:rPr>
                      <w:color w:val="auto"/>
                      <w:kern w:val="0"/>
                      <w:szCs w:val="21"/>
                      <w:lang w:bidi="ar"/>
                    </w:rPr>
                  </w:pPr>
                  <w:r>
                    <w:rPr>
                      <w:rFonts w:hint="eastAsia"/>
                      <w:color w:val="auto"/>
                      <w:kern w:val="0"/>
                      <w:szCs w:val="21"/>
                      <w:lang w:bidi="ar"/>
                    </w:rPr>
                    <w:t>污染物排放管控</w:t>
                  </w:r>
                </w:p>
              </w:tc>
              <w:tc>
                <w:tcPr>
                  <w:tcW w:w="3247" w:type="dxa"/>
                  <w:vAlign w:val="center"/>
                </w:tcPr>
                <w:p w14:paraId="6A23F2B1">
                  <w:pPr>
                    <w:widowControl/>
                    <w:jc w:val="left"/>
                    <w:rPr>
                      <w:color w:val="auto"/>
                      <w:kern w:val="0"/>
                      <w:szCs w:val="21"/>
                      <w:lang w:bidi="ar"/>
                    </w:rPr>
                  </w:pPr>
                  <w:r>
                    <w:rPr>
                      <w:rFonts w:hint="eastAsia"/>
                      <w:color w:val="auto"/>
                      <w:kern w:val="0"/>
                      <w:szCs w:val="21"/>
                      <w:lang w:bidi="ar"/>
                    </w:rPr>
                    <w:t>1</w:t>
                  </w:r>
                  <w:r>
                    <w:rPr>
                      <w:rFonts w:hint="eastAsia"/>
                      <w:color w:val="auto"/>
                      <w:kern w:val="0"/>
                      <w:szCs w:val="21"/>
                      <w:lang w:eastAsia="zh-CN" w:bidi="ar"/>
                    </w:rPr>
                    <w:t>、</w:t>
                  </w:r>
                  <w:r>
                    <w:rPr>
                      <w:rFonts w:hint="eastAsia"/>
                      <w:color w:val="auto"/>
                      <w:kern w:val="0"/>
                      <w:szCs w:val="21"/>
                      <w:lang w:bidi="ar"/>
                    </w:rPr>
                    <w:t>化工等重点行业及65蒸吨/小时及以上燃煤锅炉的现役企业和新建项目一律执行大气污染物特别排放限值。严控颗粒物无组织排放。重点行业粉状物料堆场实现全封闭，块状物料安装抑尘设施。推进特征污染物治理，化工等企业应建设有毒及恶臭气体收集、处理和应急处置设施。</w:t>
                  </w:r>
                </w:p>
              </w:tc>
              <w:tc>
                <w:tcPr>
                  <w:tcW w:w="2591" w:type="dxa"/>
                  <w:vAlign w:val="center"/>
                </w:tcPr>
                <w:p w14:paraId="13B827BA">
                  <w:pPr>
                    <w:widowControl/>
                    <w:jc w:val="center"/>
                    <w:textAlignment w:val="center"/>
                    <w:rPr>
                      <w:rFonts w:hint="eastAsia" w:eastAsia="宋体"/>
                      <w:color w:val="auto"/>
                      <w:kern w:val="0"/>
                      <w:szCs w:val="21"/>
                      <w:lang w:eastAsia="zh-CN" w:bidi="ar"/>
                    </w:rPr>
                  </w:pPr>
                  <w:r>
                    <w:rPr>
                      <w:rFonts w:hint="eastAsia"/>
                      <w:color w:val="auto"/>
                      <w:kern w:val="0"/>
                      <w:szCs w:val="21"/>
                      <w:lang w:val="en-US" w:eastAsia="zh-CN" w:bidi="ar"/>
                    </w:rPr>
                    <w:t>项目不建设燃煤锅炉，不设置粉状物料堆场，不属于重点行业，废气在经污染治理设施处理后均能够满足达标排放要求。</w:t>
                  </w:r>
                </w:p>
              </w:tc>
              <w:tc>
                <w:tcPr>
                  <w:tcW w:w="721" w:type="dxa"/>
                  <w:vAlign w:val="center"/>
                </w:tcPr>
                <w:p w14:paraId="096B1AD9">
                  <w:pPr>
                    <w:widowControl/>
                    <w:jc w:val="center"/>
                    <w:textAlignment w:val="center"/>
                    <w:rPr>
                      <w:color w:val="auto"/>
                      <w:kern w:val="0"/>
                      <w:szCs w:val="21"/>
                      <w:lang w:bidi="ar"/>
                    </w:rPr>
                  </w:pPr>
                  <w:r>
                    <w:rPr>
                      <w:rFonts w:hint="eastAsia"/>
                      <w:color w:val="auto"/>
                      <w:kern w:val="0"/>
                      <w:szCs w:val="21"/>
                      <w:lang w:bidi="ar"/>
                    </w:rPr>
                    <w:t>符合</w:t>
                  </w:r>
                </w:p>
              </w:tc>
            </w:tr>
            <w:tr w14:paraId="45AE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439" w:type="dxa"/>
                  <w:vMerge w:val="continue"/>
                  <w:vAlign w:val="center"/>
                </w:tcPr>
                <w:p w14:paraId="687E78ED">
                  <w:pPr>
                    <w:widowControl/>
                    <w:jc w:val="center"/>
                    <w:textAlignment w:val="center"/>
                    <w:rPr>
                      <w:color w:val="auto"/>
                      <w:kern w:val="0"/>
                      <w:szCs w:val="21"/>
                      <w:lang w:bidi="ar"/>
                    </w:rPr>
                  </w:pPr>
                </w:p>
              </w:tc>
              <w:tc>
                <w:tcPr>
                  <w:tcW w:w="3247" w:type="dxa"/>
                  <w:vAlign w:val="center"/>
                </w:tcPr>
                <w:p w14:paraId="291F8C40">
                  <w:pPr>
                    <w:widowControl/>
                    <w:jc w:val="left"/>
                    <w:rPr>
                      <w:color w:val="auto"/>
                      <w:kern w:val="0"/>
                      <w:szCs w:val="21"/>
                      <w:lang w:bidi="ar"/>
                    </w:rPr>
                  </w:pPr>
                  <w:r>
                    <w:rPr>
                      <w:rFonts w:hint="eastAsia"/>
                      <w:color w:val="auto"/>
                      <w:kern w:val="0"/>
                      <w:szCs w:val="21"/>
                      <w:lang w:bidi="ar"/>
                    </w:rPr>
                    <w:t>2</w:t>
                  </w:r>
                  <w:r>
                    <w:rPr>
                      <w:rFonts w:hint="eastAsia"/>
                      <w:color w:val="auto"/>
                      <w:kern w:val="0"/>
                      <w:szCs w:val="21"/>
                      <w:lang w:eastAsia="zh-CN" w:bidi="ar"/>
                    </w:rPr>
                    <w:t>、</w:t>
                  </w:r>
                  <w:r>
                    <w:rPr>
                      <w:rFonts w:hint="eastAsia"/>
                      <w:color w:val="auto"/>
                      <w:kern w:val="0"/>
                      <w:szCs w:val="21"/>
                      <w:lang w:bidi="ar"/>
                    </w:rPr>
                    <w:t>推进高含盐水“零排放”，稳定运行高盐水深度处理和分盐结晶设施，完善配套设施、优化工艺技术，确保高盐水全部结晶处理，严禁排入晾晒池。加快现有晾晒池取缔或转变功能，禁止新建晾晒池、蒸发塘。</w:t>
                  </w:r>
                </w:p>
              </w:tc>
              <w:tc>
                <w:tcPr>
                  <w:tcW w:w="2591" w:type="dxa"/>
                  <w:vAlign w:val="center"/>
                </w:tcPr>
                <w:p w14:paraId="5396DE32">
                  <w:pPr>
                    <w:widowControl/>
                    <w:jc w:val="center"/>
                    <w:rPr>
                      <w:rFonts w:hint="default" w:eastAsia="宋体"/>
                      <w:color w:val="auto"/>
                      <w:kern w:val="0"/>
                      <w:szCs w:val="21"/>
                      <w:lang w:val="en-US" w:eastAsia="zh-CN" w:bidi="ar"/>
                    </w:rPr>
                  </w:pPr>
                  <w:r>
                    <w:rPr>
                      <w:rFonts w:hint="eastAsia"/>
                      <w:color w:val="auto"/>
                      <w:kern w:val="0"/>
                      <w:szCs w:val="21"/>
                      <w:lang w:val="en-US" w:eastAsia="zh-CN" w:bidi="ar"/>
                    </w:rPr>
                    <w:t>本项目属于环氧玻璃纤维高压管道项目，不涉及高含盐水，不涉及新建晾晒池、蒸发塘。</w:t>
                  </w:r>
                </w:p>
              </w:tc>
              <w:tc>
                <w:tcPr>
                  <w:tcW w:w="721" w:type="dxa"/>
                  <w:vAlign w:val="center"/>
                </w:tcPr>
                <w:p w14:paraId="639F3B71">
                  <w:pPr>
                    <w:widowControl/>
                    <w:jc w:val="center"/>
                    <w:textAlignment w:val="center"/>
                    <w:rPr>
                      <w:color w:val="auto"/>
                      <w:kern w:val="0"/>
                      <w:szCs w:val="21"/>
                      <w:lang w:bidi="ar"/>
                    </w:rPr>
                  </w:pPr>
                  <w:r>
                    <w:rPr>
                      <w:rFonts w:hint="eastAsia"/>
                      <w:color w:val="auto"/>
                      <w:kern w:val="0"/>
                      <w:szCs w:val="21"/>
                      <w:lang w:bidi="ar"/>
                    </w:rPr>
                    <w:t>符合</w:t>
                  </w:r>
                </w:p>
              </w:tc>
            </w:tr>
            <w:tr w14:paraId="52F5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39" w:type="dxa"/>
                  <w:vMerge w:val="continue"/>
                  <w:vAlign w:val="center"/>
                </w:tcPr>
                <w:p w14:paraId="3FA42233">
                  <w:pPr>
                    <w:widowControl/>
                    <w:jc w:val="center"/>
                    <w:textAlignment w:val="center"/>
                    <w:rPr>
                      <w:color w:val="auto"/>
                      <w:kern w:val="0"/>
                      <w:szCs w:val="21"/>
                      <w:lang w:bidi="ar"/>
                    </w:rPr>
                  </w:pPr>
                </w:p>
              </w:tc>
              <w:tc>
                <w:tcPr>
                  <w:tcW w:w="3247" w:type="dxa"/>
                  <w:vAlign w:val="center"/>
                </w:tcPr>
                <w:p w14:paraId="60128A4E">
                  <w:pPr>
                    <w:widowControl/>
                    <w:jc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3、园区应自建污水处理厂，污水应收尽收，确保中水综合利用。</w:t>
                  </w:r>
                </w:p>
              </w:tc>
              <w:tc>
                <w:tcPr>
                  <w:tcW w:w="2591" w:type="dxa"/>
                  <w:vAlign w:val="center"/>
                </w:tcPr>
                <w:p w14:paraId="2928D251">
                  <w:pPr>
                    <w:widowControl/>
                    <w:jc w:val="center"/>
                    <w:rPr>
                      <w:rFonts w:hint="default"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本项目无生产废水，</w:t>
                  </w:r>
                  <w:r>
                    <w:rPr>
                      <w:rFonts w:hint="eastAsia" w:ascii="Times New Roman" w:hAnsi="Times New Roman" w:eastAsia="宋体" w:cs="Times New Roman"/>
                      <w:color w:val="auto"/>
                      <w:kern w:val="0"/>
                      <w:szCs w:val="21"/>
                      <w:lang w:val="zh-TW" w:eastAsia="zh-TW" w:bidi="ar"/>
                    </w:rPr>
                    <w:t>生活污水经</w:t>
                  </w:r>
                  <w:r>
                    <w:rPr>
                      <w:rFonts w:hint="eastAsia" w:cs="Times New Roman"/>
                      <w:color w:val="auto"/>
                      <w:kern w:val="0"/>
                      <w:szCs w:val="21"/>
                      <w:lang w:val="zh-TW" w:eastAsia="zh-CN" w:bidi="ar"/>
                    </w:rPr>
                    <w:t>园区化粪池</w:t>
                  </w:r>
                  <w:r>
                    <w:rPr>
                      <w:rFonts w:hint="eastAsia" w:ascii="Times New Roman" w:hAnsi="Times New Roman" w:eastAsia="宋体" w:cs="Times New Roman"/>
                      <w:color w:val="auto"/>
                      <w:kern w:val="0"/>
                      <w:szCs w:val="21"/>
                      <w:lang w:val="zh-TW" w:eastAsia="zh-TW" w:bidi="ar"/>
                    </w:rPr>
                    <w:t>处理后，接管排入</w:t>
                  </w:r>
                  <w:r>
                    <w:rPr>
                      <w:rFonts w:hint="eastAsia" w:cs="Times New Roman"/>
                      <w:color w:val="auto"/>
                      <w:kern w:val="0"/>
                      <w:szCs w:val="21"/>
                      <w:lang w:val="zh-TW" w:eastAsia="zh-CN" w:bidi="ar"/>
                    </w:rPr>
                    <w:t>内蒙古天河水务有限公司</w:t>
                  </w:r>
                  <w:r>
                    <w:rPr>
                      <w:rFonts w:hint="eastAsia" w:ascii="Times New Roman" w:hAnsi="Times New Roman" w:eastAsia="宋体" w:cs="Times New Roman"/>
                      <w:color w:val="auto"/>
                      <w:kern w:val="0"/>
                      <w:szCs w:val="21"/>
                      <w:lang w:val="zh-TW" w:eastAsia="zh-TW" w:bidi="ar"/>
                    </w:rPr>
                    <w:t>进一步处理。</w:t>
                  </w:r>
                </w:p>
              </w:tc>
              <w:tc>
                <w:tcPr>
                  <w:tcW w:w="721" w:type="dxa"/>
                  <w:vAlign w:val="center"/>
                </w:tcPr>
                <w:p w14:paraId="444D1246">
                  <w:pPr>
                    <w:widowControl/>
                    <w:jc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符合</w:t>
                  </w:r>
                </w:p>
              </w:tc>
            </w:tr>
            <w:tr w14:paraId="0FBA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39" w:type="dxa"/>
                  <w:vMerge w:val="continue"/>
                  <w:vAlign w:val="center"/>
                </w:tcPr>
                <w:p w14:paraId="0EF04D73">
                  <w:pPr>
                    <w:widowControl/>
                    <w:jc w:val="center"/>
                    <w:textAlignment w:val="center"/>
                    <w:rPr>
                      <w:color w:val="auto"/>
                      <w:kern w:val="0"/>
                      <w:szCs w:val="21"/>
                      <w:lang w:bidi="ar"/>
                    </w:rPr>
                  </w:pPr>
                </w:p>
              </w:tc>
              <w:tc>
                <w:tcPr>
                  <w:tcW w:w="3247" w:type="dxa"/>
                  <w:vAlign w:val="center"/>
                </w:tcPr>
                <w:p w14:paraId="1632C173">
                  <w:pPr>
                    <w:widowControl/>
                    <w:jc w:val="left"/>
                    <w:rPr>
                      <w:color w:val="auto"/>
                      <w:kern w:val="0"/>
                      <w:szCs w:val="21"/>
                      <w:lang w:bidi="ar"/>
                    </w:rPr>
                  </w:pPr>
                  <w:r>
                    <w:rPr>
                      <w:rFonts w:hint="eastAsia"/>
                      <w:color w:val="auto"/>
                      <w:kern w:val="0"/>
                      <w:szCs w:val="21"/>
                      <w:lang w:bidi="ar"/>
                    </w:rPr>
                    <w:t>4</w:t>
                  </w:r>
                  <w:r>
                    <w:rPr>
                      <w:rFonts w:hint="eastAsia"/>
                      <w:color w:val="auto"/>
                      <w:kern w:val="0"/>
                      <w:szCs w:val="21"/>
                      <w:lang w:eastAsia="zh-CN" w:bidi="ar"/>
                    </w:rPr>
                    <w:t>、</w:t>
                  </w:r>
                  <w:r>
                    <w:rPr>
                      <w:rFonts w:hint="eastAsia"/>
                      <w:color w:val="auto"/>
                      <w:kern w:val="0"/>
                      <w:szCs w:val="21"/>
                      <w:lang w:bidi="ar"/>
                    </w:rPr>
                    <w:t>采用集中供热或因地制宜利用清洁能源实现供热，禁止新建35蒸吨以下燃煤锅炉。</w:t>
                  </w:r>
                </w:p>
              </w:tc>
              <w:tc>
                <w:tcPr>
                  <w:tcW w:w="2591" w:type="dxa"/>
                  <w:vAlign w:val="center"/>
                </w:tcPr>
                <w:p w14:paraId="1513BC9C">
                  <w:pPr>
                    <w:widowControl/>
                    <w:jc w:val="center"/>
                    <w:rPr>
                      <w:rFonts w:hint="eastAsia"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本项目不建设</w:t>
                  </w:r>
                  <w:r>
                    <w:rPr>
                      <w:rFonts w:hint="eastAsia"/>
                      <w:color w:val="auto"/>
                      <w:kern w:val="0"/>
                      <w:szCs w:val="21"/>
                      <w:lang w:bidi="ar"/>
                    </w:rPr>
                    <w:t>燃煤锅炉</w:t>
                  </w:r>
                  <w:r>
                    <w:rPr>
                      <w:rFonts w:hint="eastAsia"/>
                      <w:color w:val="auto"/>
                      <w:kern w:val="0"/>
                      <w:szCs w:val="21"/>
                      <w:lang w:eastAsia="zh-CN" w:bidi="ar"/>
                    </w:rPr>
                    <w:t>。</w:t>
                  </w:r>
                </w:p>
              </w:tc>
              <w:tc>
                <w:tcPr>
                  <w:tcW w:w="721" w:type="dxa"/>
                  <w:vAlign w:val="center"/>
                </w:tcPr>
                <w:p w14:paraId="363E8467">
                  <w:pPr>
                    <w:widowControl/>
                    <w:jc w:val="center"/>
                    <w:textAlignment w:val="center"/>
                    <w:rPr>
                      <w:rFonts w:hint="eastAsia"/>
                      <w:color w:val="auto"/>
                      <w:kern w:val="0"/>
                      <w:szCs w:val="21"/>
                      <w:lang w:bidi="ar"/>
                    </w:rPr>
                  </w:pPr>
                  <w:r>
                    <w:rPr>
                      <w:rFonts w:hint="eastAsia"/>
                      <w:color w:val="auto"/>
                      <w:kern w:val="0"/>
                      <w:szCs w:val="21"/>
                      <w:lang w:bidi="ar"/>
                    </w:rPr>
                    <w:t>符合</w:t>
                  </w:r>
                </w:p>
              </w:tc>
            </w:tr>
            <w:tr w14:paraId="79AE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439" w:type="dxa"/>
                  <w:vMerge w:val="continue"/>
                  <w:vAlign w:val="center"/>
                </w:tcPr>
                <w:p w14:paraId="31B496C9">
                  <w:pPr>
                    <w:widowControl/>
                    <w:jc w:val="center"/>
                    <w:textAlignment w:val="center"/>
                    <w:rPr>
                      <w:color w:val="auto"/>
                      <w:kern w:val="0"/>
                      <w:szCs w:val="21"/>
                      <w:lang w:bidi="ar"/>
                    </w:rPr>
                  </w:pPr>
                </w:p>
              </w:tc>
              <w:tc>
                <w:tcPr>
                  <w:tcW w:w="3247" w:type="dxa"/>
                  <w:vAlign w:val="center"/>
                </w:tcPr>
                <w:p w14:paraId="5C0F69A9">
                  <w:pPr>
                    <w:widowControl/>
                    <w:jc w:val="left"/>
                    <w:rPr>
                      <w:color w:val="auto"/>
                      <w:kern w:val="0"/>
                      <w:szCs w:val="21"/>
                      <w:lang w:bidi="ar"/>
                    </w:rPr>
                  </w:pPr>
                  <w:r>
                    <w:rPr>
                      <w:rFonts w:hint="eastAsia"/>
                      <w:color w:val="auto"/>
                      <w:kern w:val="0"/>
                      <w:szCs w:val="21"/>
                      <w:lang w:bidi="ar"/>
                    </w:rPr>
                    <w:t>5</w:t>
                  </w:r>
                  <w:r>
                    <w:rPr>
                      <w:rFonts w:hint="eastAsia"/>
                      <w:color w:val="auto"/>
                      <w:kern w:val="0"/>
                      <w:szCs w:val="21"/>
                      <w:lang w:eastAsia="zh-CN" w:bidi="ar"/>
                    </w:rPr>
                    <w:t>、</w:t>
                  </w:r>
                  <w:r>
                    <w:rPr>
                      <w:rFonts w:hint="eastAsia"/>
                      <w:color w:val="auto"/>
                      <w:kern w:val="0"/>
                      <w:szCs w:val="21"/>
                      <w:lang w:bidi="ar"/>
                    </w:rPr>
                    <w:t>优化固废危废处置方式，积极寻求高铝粉煤灰、结晶盐等集中处置和资源化利用途径。</w:t>
                  </w:r>
                </w:p>
              </w:tc>
              <w:tc>
                <w:tcPr>
                  <w:tcW w:w="2591" w:type="dxa"/>
                  <w:vAlign w:val="center"/>
                </w:tcPr>
                <w:p w14:paraId="2419E057">
                  <w:pPr>
                    <w:widowControl/>
                    <w:jc w:val="center"/>
                    <w:rPr>
                      <w:rFonts w:hint="eastAsia" w:ascii="宋体" w:hAnsi="宋体" w:eastAsia="宋体" w:cs="宋体"/>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项目固</w:t>
                  </w:r>
                  <w:r>
                    <w:rPr>
                      <w:rFonts w:hint="eastAsia" w:cs="Times New Roman"/>
                      <w:color w:val="auto"/>
                      <w:kern w:val="0"/>
                      <w:szCs w:val="21"/>
                      <w:lang w:val="en-US" w:eastAsia="zh-CN" w:bidi="ar"/>
                    </w:rPr>
                    <w:t>废为切割粉尘</w:t>
                  </w:r>
                  <w:r>
                    <w:rPr>
                      <w:rFonts w:hint="eastAsia" w:ascii="Times New Roman" w:hAnsi="Times New Roman" w:eastAsia="宋体" w:cs="Times New Roman"/>
                      <w:color w:val="auto"/>
                      <w:kern w:val="0"/>
                      <w:szCs w:val="21"/>
                      <w:lang w:val="en-US" w:eastAsia="zh-CN" w:bidi="ar"/>
                    </w:rPr>
                    <w:t>、</w:t>
                  </w:r>
                  <w:r>
                    <w:rPr>
                      <w:rFonts w:hint="eastAsia" w:cs="Times New Roman"/>
                      <w:color w:val="auto"/>
                      <w:kern w:val="0"/>
                      <w:szCs w:val="21"/>
                      <w:lang w:val="en-US" w:eastAsia="zh-CN" w:bidi="ar"/>
                    </w:rPr>
                    <w:t>打磨粉尘</w:t>
                  </w:r>
                  <w:r>
                    <w:rPr>
                      <w:rFonts w:hint="eastAsia" w:ascii="Times New Roman" w:hAnsi="Times New Roman" w:eastAsia="宋体" w:cs="Times New Roman"/>
                      <w:color w:val="auto"/>
                      <w:kern w:val="0"/>
                      <w:szCs w:val="21"/>
                      <w:lang w:val="en-US" w:eastAsia="zh-CN" w:bidi="ar"/>
                    </w:rPr>
                    <w:t>、不合格产品</w:t>
                  </w:r>
                  <w:r>
                    <w:rPr>
                      <w:rFonts w:hint="eastAsia" w:cs="Times New Roman"/>
                      <w:color w:val="auto"/>
                      <w:kern w:val="0"/>
                      <w:szCs w:val="21"/>
                      <w:lang w:val="en-US" w:eastAsia="zh-CN" w:bidi="ar"/>
                    </w:rPr>
                    <w:t>和生活垃圾，</w:t>
                  </w:r>
                  <w:r>
                    <w:rPr>
                      <w:rFonts w:hint="eastAsia" w:ascii="Times New Roman" w:hAnsi="Times New Roman" w:eastAsia="宋体" w:cs="Times New Roman"/>
                      <w:color w:val="auto"/>
                      <w:kern w:val="0"/>
                      <w:szCs w:val="21"/>
                      <w:lang w:val="en-US" w:eastAsia="zh-CN" w:bidi="ar"/>
                    </w:rPr>
                    <w:t>均得到妥善处置。</w:t>
                  </w:r>
                </w:p>
              </w:tc>
              <w:tc>
                <w:tcPr>
                  <w:tcW w:w="721" w:type="dxa"/>
                  <w:vAlign w:val="center"/>
                </w:tcPr>
                <w:p w14:paraId="1FF579CF">
                  <w:pPr>
                    <w:widowControl/>
                    <w:jc w:val="center"/>
                    <w:textAlignment w:val="center"/>
                    <w:rPr>
                      <w:rFonts w:hint="eastAsia"/>
                      <w:color w:val="auto"/>
                      <w:kern w:val="0"/>
                      <w:szCs w:val="21"/>
                      <w:lang w:bidi="ar"/>
                    </w:rPr>
                  </w:pPr>
                  <w:r>
                    <w:rPr>
                      <w:rFonts w:hint="eastAsia"/>
                      <w:color w:val="auto"/>
                      <w:kern w:val="0"/>
                      <w:szCs w:val="21"/>
                      <w:lang w:bidi="ar"/>
                    </w:rPr>
                    <w:t>符合</w:t>
                  </w:r>
                </w:p>
              </w:tc>
            </w:tr>
            <w:tr w14:paraId="099B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39" w:type="dxa"/>
                  <w:vMerge w:val="continue"/>
                  <w:vAlign w:val="center"/>
                </w:tcPr>
                <w:p w14:paraId="4D95E664">
                  <w:pPr>
                    <w:widowControl/>
                    <w:jc w:val="center"/>
                    <w:textAlignment w:val="center"/>
                    <w:rPr>
                      <w:color w:val="auto"/>
                      <w:kern w:val="0"/>
                      <w:szCs w:val="21"/>
                      <w:lang w:bidi="ar"/>
                    </w:rPr>
                  </w:pPr>
                </w:p>
              </w:tc>
              <w:tc>
                <w:tcPr>
                  <w:tcW w:w="3247" w:type="dxa"/>
                  <w:vAlign w:val="center"/>
                </w:tcPr>
                <w:p w14:paraId="722EC465">
                  <w:pPr>
                    <w:widowControl/>
                    <w:jc w:val="left"/>
                    <w:rPr>
                      <w:color w:val="auto"/>
                      <w:kern w:val="0"/>
                      <w:szCs w:val="21"/>
                      <w:lang w:bidi="ar"/>
                    </w:rPr>
                  </w:pPr>
                  <w:r>
                    <w:rPr>
                      <w:rFonts w:hint="eastAsia"/>
                      <w:color w:val="auto"/>
                      <w:kern w:val="0"/>
                      <w:szCs w:val="21"/>
                      <w:lang w:bidi="ar"/>
                    </w:rPr>
                    <w:t>6</w:t>
                  </w:r>
                  <w:r>
                    <w:rPr>
                      <w:rFonts w:hint="eastAsia"/>
                      <w:color w:val="auto"/>
                      <w:kern w:val="0"/>
                      <w:szCs w:val="21"/>
                      <w:lang w:eastAsia="zh-CN" w:bidi="ar"/>
                    </w:rPr>
                    <w:t>、</w:t>
                  </w:r>
                  <w:r>
                    <w:rPr>
                      <w:rFonts w:hint="eastAsia"/>
                      <w:color w:val="auto"/>
                      <w:kern w:val="0"/>
                      <w:szCs w:val="21"/>
                      <w:lang w:bidi="ar"/>
                    </w:rPr>
                    <w:t>工业园区污水应收尽收、全部回用</w:t>
                  </w:r>
                  <w:r>
                    <w:rPr>
                      <w:rFonts w:hint="eastAsia"/>
                      <w:color w:val="auto"/>
                      <w:kern w:val="0"/>
                      <w:szCs w:val="21"/>
                      <w:lang w:eastAsia="zh-CN" w:bidi="ar"/>
                    </w:rPr>
                    <w:t>；</w:t>
                  </w:r>
                  <w:r>
                    <w:rPr>
                      <w:rFonts w:hint="eastAsia"/>
                      <w:color w:val="auto"/>
                      <w:kern w:val="0"/>
                      <w:szCs w:val="21"/>
                      <w:lang w:bidi="ar"/>
                    </w:rPr>
                    <w:t>矿井水、中水回用率达到90%以上。实施石油石化、化工等高耗水企业废水深度处理回用工程。强化焦化废水深度处理，区域内焦化废水必须全收集、全处理、全回用。</w:t>
                  </w:r>
                </w:p>
              </w:tc>
              <w:tc>
                <w:tcPr>
                  <w:tcW w:w="2591" w:type="dxa"/>
                  <w:vAlign w:val="center"/>
                </w:tcPr>
                <w:p w14:paraId="4E37DB62">
                  <w:pPr>
                    <w:widowControl/>
                    <w:jc w:val="center"/>
                    <w:rPr>
                      <w:rFonts w:hint="eastAsia" w:ascii="宋体" w:hAnsi="宋体" w:cs="宋体"/>
                      <w:color w:val="auto"/>
                      <w:kern w:val="0"/>
                      <w:szCs w:val="21"/>
                      <w:lang w:bidi="ar"/>
                    </w:rPr>
                  </w:pPr>
                  <w:r>
                    <w:rPr>
                      <w:rFonts w:hint="eastAsia" w:ascii="Times New Roman" w:hAnsi="Times New Roman" w:eastAsia="宋体" w:cs="Times New Roman"/>
                      <w:color w:val="auto"/>
                      <w:kern w:val="0"/>
                      <w:szCs w:val="21"/>
                      <w:lang w:val="en-US" w:eastAsia="zh-CN" w:bidi="ar"/>
                    </w:rPr>
                    <w:t>本项目无生产废水，</w:t>
                  </w:r>
                  <w:r>
                    <w:rPr>
                      <w:rFonts w:hint="eastAsia" w:ascii="Times New Roman" w:hAnsi="Times New Roman" w:eastAsia="宋体" w:cs="Times New Roman"/>
                      <w:color w:val="auto"/>
                      <w:kern w:val="0"/>
                      <w:szCs w:val="21"/>
                      <w:lang w:val="zh-TW" w:eastAsia="zh-TW" w:bidi="ar"/>
                    </w:rPr>
                    <w:t>生活污水经</w:t>
                  </w:r>
                  <w:r>
                    <w:rPr>
                      <w:rFonts w:hint="eastAsia" w:cs="Times New Roman"/>
                      <w:color w:val="auto"/>
                      <w:kern w:val="0"/>
                      <w:szCs w:val="21"/>
                      <w:lang w:val="zh-TW" w:eastAsia="zh-CN" w:bidi="ar"/>
                    </w:rPr>
                    <w:t>园区化粪池</w:t>
                  </w:r>
                  <w:r>
                    <w:rPr>
                      <w:rFonts w:hint="eastAsia" w:ascii="Times New Roman" w:hAnsi="Times New Roman" w:eastAsia="宋体" w:cs="Times New Roman"/>
                      <w:color w:val="auto"/>
                      <w:kern w:val="0"/>
                      <w:szCs w:val="21"/>
                      <w:lang w:val="zh-TW" w:eastAsia="zh-TW" w:bidi="ar"/>
                    </w:rPr>
                    <w:t>处理后，接管排入</w:t>
                  </w:r>
                  <w:r>
                    <w:rPr>
                      <w:rFonts w:hint="eastAsia" w:cs="Times New Roman"/>
                      <w:color w:val="auto"/>
                      <w:kern w:val="0"/>
                      <w:szCs w:val="21"/>
                      <w:lang w:val="zh-TW" w:eastAsia="zh-CN" w:bidi="ar"/>
                    </w:rPr>
                    <w:t>内蒙古天河水务有限公司</w:t>
                  </w:r>
                  <w:r>
                    <w:rPr>
                      <w:rFonts w:hint="eastAsia" w:ascii="Times New Roman" w:hAnsi="Times New Roman" w:eastAsia="宋体" w:cs="Times New Roman"/>
                      <w:color w:val="auto"/>
                      <w:kern w:val="0"/>
                      <w:szCs w:val="21"/>
                      <w:lang w:val="zh-TW" w:eastAsia="zh-TW" w:bidi="ar"/>
                    </w:rPr>
                    <w:t>进一步处理。</w:t>
                  </w:r>
                </w:p>
              </w:tc>
              <w:tc>
                <w:tcPr>
                  <w:tcW w:w="721" w:type="dxa"/>
                  <w:vAlign w:val="center"/>
                </w:tcPr>
                <w:p w14:paraId="38FEF3BD">
                  <w:pPr>
                    <w:widowControl/>
                    <w:jc w:val="center"/>
                    <w:textAlignment w:val="center"/>
                    <w:rPr>
                      <w:rFonts w:hint="eastAsia"/>
                      <w:color w:val="auto"/>
                      <w:kern w:val="0"/>
                      <w:szCs w:val="21"/>
                      <w:lang w:bidi="ar"/>
                    </w:rPr>
                  </w:pPr>
                  <w:r>
                    <w:rPr>
                      <w:rFonts w:hint="eastAsia"/>
                      <w:color w:val="auto"/>
                      <w:kern w:val="0"/>
                      <w:szCs w:val="21"/>
                      <w:lang w:bidi="ar"/>
                    </w:rPr>
                    <w:t>符合</w:t>
                  </w:r>
                </w:p>
              </w:tc>
            </w:tr>
          </w:tbl>
          <w:p w14:paraId="218936A9">
            <w:pPr>
              <w:widowControl/>
              <w:spacing w:line="360" w:lineRule="auto"/>
              <w:ind w:firstLine="480" w:firstLineChars="200"/>
              <w:jc w:val="left"/>
              <w:rPr>
                <w:color w:val="auto"/>
              </w:rPr>
            </w:pPr>
            <w:r>
              <w:rPr>
                <w:rFonts w:hint="eastAsia" w:ascii="宋体" w:hAnsi="宋体" w:cs="宋体"/>
                <w:color w:val="auto"/>
                <w:kern w:val="0"/>
                <w:sz w:val="24"/>
                <w:lang w:bidi="ar"/>
              </w:rPr>
              <w:t>综合以上分析，本项目建设符合</w:t>
            </w:r>
            <w:r>
              <w:rPr>
                <w:rFonts w:hint="eastAsia"/>
                <w:color w:val="auto"/>
                <w:kern w:val="0"/>
                <w:sz w:val="24"/>
                <w:lang w:bidi="ar"/>
              </w:rPr>
              <w:t>生态环境分区管控要求</w:t>
            </w:r>
            <w:r>
              <w:rPr>
                <w:rFonts w:hint="eastAsia" w:ascii="宋体" w:hAnsi="宋体" w:cs="宋体"/>
                <w:color w:val="auto"/>
                <w:kern w:val="0"/>
                <w:sz w:val="24"/>
                <w:lang w:bidi="ar"/>
              </w:rPr>
              <w:t>。</w:t>
            </w:r>
          </w:p>
        </w:tc>
      </w:tr>
    </w:tbl>
    <w:p w14:paraId="5717E9E6">
      <w:pPr>
        <w:spacing w:line="360" w:lineRule="auto"/>
        <w:outlineLvl w:val="0"/>
        <w:rPr>
          <w:rFonts w:eastAsia="黑体"/>
          <w:color w:val="auto"/>
          <w:sz w:val="30"/>
        </w:rPr>
        <w:sectPr>
          <w:footerReference r:id="rId4" w:type="default"/>
          <w:pgSz w:w="11906" w:h="16838"/>
          <w:pgMar w:top="1701" w:right="1531" w:bottom="1701" w:left="1531" w:header="851" w:footer="1077" w:gutter="0"/>
          <w:pgNumType w:start="1"/>
          <w:cols w:space="720" w:num="1"/>
          <w:docGrid w:linePitch="312" w:charSpace="0"/>
        </w:sectPr>
      </w:pPr>
    </w:p>
    <w:p w14:paraId="1D8A0FCA">
      <w:pPr>
        <w:pStyle w:val="19"/>
        <w:spacing w:before="0" w:beforeAutospacing="0" w:after="0" w:afterAutospacing="0"/>
        <w:jc w:val="center"/>
        <w:outlineLvl w:val="9"/>
        <w:rPr>
          <w:rFonts w:hint="eastAsia" w:ascii="Times New Roman" w:hAnsi="Times New Roman"/>
          <w:b/>
          <w:bCs/>
          <w:snapToGrid w:val="0"/>
          <w:color w:val="auto"/>
          <w:sz w:val="30"/>
          <w:szCs w:val="30"/>
        </w:rPr>
      </w:pPr>
    </w:p>
    <w:p w14:paraId="54E95AF3">
      <w:pPr>
        <w:pStyle w:val="19"/>
        <w:spacing w:before="0" w:beforeAutospacing="0" w:after="0" w:afterAutospacing="0"/>
        <w:jc w:val="center"/>
        <w:outlineLvl w:val="0"/>
        <w:rPr>
          <w:rFonts w:ascii="Times New Roman" w:hAnsi="Times New Roman"/>
          <w:b/>
          <w:bCs/>
          <w:snapToGrid w:val="0"/>
          <w:color w:val="auto"/>
          <w:sz w:val="30"/>
          <w:szCs w:val="30"/>
        </w:rPr>
      </w:pPr>
      <w:r>
        <w:rPr>
          <w:rFonts w:hint="eastAsia" w:ascii="Times New Roman" w:hAnsi="Times New Roman"/>
          <w:b/>
          <w:bCs/>
          <w:snapToGrid w:val="0"/>
          <w:color w:val="auto"/>
          <w:sz w:val="30"/>
          <w:szCs w:val="30"/>
        </w:rPr>
        <w:t>二、建设项目工程分析</w:t>
      </w:r>
    </w:p>
    <w:tbl>
      <w:tblPr>
        <w:tblStyle w:val="22"/>
        <w:tblW w:w="90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258"/>
      </w:tblGrid>
      <w:tr w14:paraId="09DA95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23" w:type="dxa"/>
            <w:vAlign w:val="center"/>
          </w:tcPr>
          <w:p w14:paraId="0E381502">
            <w:pPr>
              <w:pStyle w:val="19"/>
              <w:adjustRightInd w:val="0"/>
              <w:snapToGrid w:val="0"/>
              <w:spacing w:before="0" w:beforeAutospacing="0" w:after="0" w:afterAutospacing="0"/>
              <w:jc w:val="center"/>
              <w:rPr>
                <w:rFonts w:hint="eastAsia" w:cs="宋体"/>
                <w:color w:val="auto"/>
                <w:sz w:val="21"/>
                <w:szCs w:val="21"/>
              </w:rPr>
            </w:pPr>
            <w:r>
              <w:rPr>
                <w:rFonts w:hint="eastAsia" w:ascii="Times New Roman" w:hAnsi="Times New Roman"/>
                <w:color w:val="auto"/>
                <w:szCs w:val="24"/>
                <w:lang w:bidi="ar"/>
              </w:rPr>
              <w:t>建设内容</w:t>
            </w:r>
          </w:p>
        </w:tc>
        <w:tc>
          <w:tcPr>
            <w:tcW w:w="8258" w:type="dxa"/>
          </w:tcPr>
          <w:p w14:paraId="32BD684E">
            <w:pPr>
              <w:widowControl/>
              <w:numPr>
                <w:ilvl w:val="0"/>
                <w:numId w:val="4"/>
              </w:numPr>
              <w:spacing w:line="360" w:lineRule="auto"/>
              <w:ind w:firstLine="482" w:firstLineChars="200"/>
              <w:jc w:val="left"/>
              <w:rPr>
                <w:rFonts w:hint="default"/>
                <w:b/>
                <w:bCs/>
                <w:color w:val="auto"/>
                <w:sz w:val="24"/>
                <w:lang w:val="en-US"/>
              </w:rPr>
            </w:pPr>
            <w:r>
              <w:rPr>
                <w:rFonts w:hint="eastAsia"/>
                <w:b/>
                <w:bCs/>
                <w:color w:val="auto"/>
                <w:sz w:val="24"/>
              </w:rPr>
              <w:t>项目</w:t>
            </w:r>
            <w:r>
              <w:rPr>
                <w:rFonts w:hint="eastAsia"/>
                <w:b/>
                <w:bCs/>
                <w:color w:val="auto"/>
                <w:sz w:val="24"/>
                <w:lang w:val="en-US" w:eastAsia="zh-CN"/>
              </w:rPr>
              <w:t>由来</w:t>
            </w:r>
          </w:p>
          <w:p w14:paraId="6585140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color w:val="auto"/>
                <w:sz w:val="24"/>
              </w:rPr>
            </w:pPr>
            <w:r>
              <w:rPr>
                <w:rFonts w:hint="eastAsia"/>
                <w:color w:val="auto"/>
                <w:sz w:val="24"/>
              </w:rPr>
              <w:t>内蒙古锦泽鑫管业有限公司成立于202</w:t>
            </w:r>
            <w:r>
              <w:rPr>
                <w:rFonts w:hint="eastAsia"/>
                <w:color w:val="auto"/>
                <w:sz w:val="24"/>
                <w:lang w:val="en-US" w:eastAsia="zh-CN"/>
              </w:rPr>
              <w:t>6</w:t>
            </w:r>
            <w:r>
              <w:rPr>
                <w:rFonts w:hint="eastAsia"/>
                <w:color w:val="auto"/>
                <w:sz w:val="24"/>
              </w:rPr>
              <w:t>年，拟投资</w:t>
            </w:r>
            <w:r>
              <w:rPr>
                <w:rFonts w:hint="eastAsia"/>
                <w:color w:val="auto"/>
                <w:sz w:val="24"/>
                <w:lang w:val="en-US" w:eastAsia="zh-CN"/>
              </w:rPr>
              <w:t>12000</w:t>
            </w:r>
            <w:r>
              <w:rPr>
                <w:rFonts w:hint="eastAsia"/>
                <w:color w:val="auto"/>
                <w:sz w:val="24"/>
              </w:rPr>
              <w:t>万元</w:t>
            </w:r>
            <w:r>
              <w:rPr>
                <w:rFonts w:hint="eastAsia"/>
                <w:color w:val="auto"/>
                <w:sz w:val="24"/>
                <w:lang w:val="en-US" w:eastAsia="zh-CN"/>
              </w:rPr>
              <w:t>在内蒙古自治区</w:t>
            </w:r>
            <w:r>
              <w:rPr>
                <w:rFonts w:hint="eastAsia"/>
                <w:color w:val="auto"/>
                <w:sz w:val="24"/>
              </w:rPr>
              <w:t>鄂尔多斯</w:t>
            </w:r>
            <w:r>
              <w:rPr>
                <w:rFonts w:hint="eastAsia"/>
                <w:color w:val="auto"/>
                <w:sz w:val="24"/>
                <w:lang w:val="en-US" w:eastAsia="zh-CN"/>
              </w:rPr>
              <w:t>市</w:t>
            </w:r>
            <w:r>
              <w:rPr>
                <w:rFonts w:hint="eastAsia"/>
                <w:color w:val="auto"/>
                <w:sz w:val="24"/>
              </w:rPr>
              <w:t>准格尔经济开发区大路产业园新能源基地租用已建成的标准化厂房从事环氧玻璃纤维高压管道加工生产活动</w:t>
            </w:r>
            <w:r>
              <w:rPr>
                <w:rFonts w:hint="eastAsia"/>
                <w:color w:val="auto"/>
                <w:sz w:val="24"/>
                <w:lang w:eastAsia="zh-CN"/>
              </w:rPr>
              <w:t>，</w:t>
            </w:r>
            <w:r>
              <w:rPr>
                <w:rFonts w:hint="eastAsia"/>
                <w:color w:val="auto"/>
                <w:sz w:val="24"/>
                <w:lang w:val="en-US" w:eastAsia="zh-CN"/>
              </w:rPr>
              <w:t>项目两期建设完成，每期6000万元，一期建设5条生产线及配套附属设施，生产规模为60万米/年；二期建设5条生产线，生产规模为60万米/年</w:t>
            </w:r>
            <w:r>
              <w:rPr>
                <w:rFonts w:hint="eastAsia"/>
                <w:color w:val="auto"/>
                <w:sz w:val="24"/>
                <w:lang w:eastAsia="zh-CN"/>
              </w:rPr>
              <w:t>；</w:t>
            </w:r>
            <w:r>
              <w:rPr>
                <w:rFonts w:hint="eastAsia"/>
                <w:color w:val="auto"/>
                <w:sz w:val="24"/>
              </w:rPr>
              <w:t>生产车间内根据具体生产工艺划定各功能分区，</w:t>
            </w:r>
            <w:r>
              <w:rPr>
                <w:rFonts w:hint="eastAsia"/>
                <w:color w:val="auto"/>
                <w:sz w:val="24"/>
                <w:lang w:val="en-US" w:eastAsia="zh-CN"/>
              </w:rPr>
              <w:t>设</w:t>
            </w:r>
            <w:r>
              <w:rPr>
                <w:rFonts w:hint="eastAsia" w:ascii="Times New Roman" w:hAnsi="Times New Roman" w:eastAsia="宋体" w:cs="Times New Roman"/>
                <w:color w:val="auto"/>
                <w:sz w:val="24"/>
                <w:lang w:val="en-US" w:eastAsia="zh-CN"/>
              </w:rPr>
              <w:t>置管道生产区布设编</w:t>
            </w:r>
            <w:r>
              <w:rPr>
                <w:rFonts w:hint="eastAsia"/>
                <w:color w:val="auto"/>
                <w:sz w:val="24"/>
                <w:lang w:val="en-US" w:eastAsia="zh-CN"/>
              </w:rPr>
              <w:t>织生产线、纺纱作业区、打压及法兰安装区等区域及</w:t>
            </w:r>
            <w:r>
              <w:rPr>
                <w:rFonts w:hint="eastAsia"/>
                <w:color w:val="auto"/>
                <w:sz w:val="24"/>
              </w:rPr>
              <w:t>配套附属设施</w:t>
            </w:r>
            <w:r>
              <w:rPr>
                <w:rFonts w:hint="eastAsia"/>
                <w:color w:val="auto"/>
                <w:sz w:val="24"/>
                <w:lang w:val="en-US" w:eastAsia="zh-CN"/>
              </w:rPr>
              <w:t>；</w:t>
            </w:r>
            <w:r>
              <w:rPr>
                <w:rFonts w:hint="eastAsia"/>
                <w:color w:val="auto"/>
                <w:sz w:val="24"/>
              </w:rPr>
              <w:t>设计产能为</w:t>
            </w:r>
            <w:r>
              <w:rPr>
                <w:rFonts w:hint="eastAsia"/>
                <w:color w:val="auto"/>
                <w:sz w:val="24"/>
                <w:lang w:val="en-US" w:eastAsia="zh-CN"/>
              </w:rPr>
              <w:t>120万</w:t>
            </w:r>
            <w:r>
              <w:rPr>
                <w:rFonts w:hint="eastAsia"/>
                <w:color w:val="auto"/>
                <w:sz w:val="24"/>
              </w:rPr>
              <w:t>米环氧玻璃纤维高压管道</w:t>
            </w:r>
            <w:r>
              <w:rPr>
                <w:rFonts w:hint="eastAsia"/>
                <w:color w:val="auto"/>
                <w:sz w:val="24"/>
                <w:lang w:eastAsia="zh-CN"/>
              </w:rPr>
              <w:t>。</w:t>
            </w:r>
          </w:p>
          <w:p w14:paraId="2CC0F322">
            <w:pPr>
              <w:widowControl/>
              <w:spacing w:line="360" w:lineRule="auto"/>
              <w:ind w:firstLine="480" w:firstLineChars="200"/>
              <w:jc w:val="left"/>
              <w:rPr>
                <w:rFonts w:hint="eastAsia"/>
                <w:color w:val="auto"/>
                <w:sz w:val="24"/>
              </w:rPr>
            </w:pPr>
            <w:r>
              <w:rPr>
                <w:rFonts w:hint="eastAsia"/>
                <w:color w:val="auto"/>
                <w:sz w:val="24"/>
              </w:rPr>
              <w:t>本项目行业类别为《国民经济行业分类》（GB/T 4754-2017）中3062 玻璃纤维增强塑料制品制造；根据《工业战略性新兴产业分类目录（2023）》（国经普办字〔2023〕24号），属于新材料产业——3.5.2.1 高性能热固性树脂基复合材料制造。本项目原材料为玻璃纤维，无溶剂改性环氧树脂、改性液体酸酐固化剂、钢丝和环氧粉末，产品为环氧玻璃纤维高压管道，属高性能纤维增强热固性树脂基复合材料，具有轻质高强、耐高压、耐腐蚀、超强抗冲击性、优异的阻燃性能等特点，主要应用于煤化工、精细化工、油气开采、市政高压输水、海上风电平台海水冷却系统、消防水系统、电缆保护套管，以及风力发电机组传动系统绝缘部件等新能源领域等场景，为能源化工及基础设施领域提供耐蚀高压管道材料。</w:t>
            </w:r>
          </w:p>
          <w:p w14:paraId="2873AC36">
            <w:pPr>
              <w:widowControl/>
              <w:spacing w:line="360" w:lineRule="auto"/>
              <w:ind w:firstLine="480" w:firstLineChars="200"/>
              <w:jc w:val="left"/>
              <w:rPr>
                <w:color w:val="auto"/>
                <w:sz w:val="24"/>
              </w:rPr>
            </w:pPr>
            <w:r>
              <w:rPr>
                <w:rFonts w:hint="eastAsia"/>
                <w:color w:val="auto"/>
                <w:sz w:val="24"/>
              </w:rPr>
              <w:t>本项目租赁内蒙古自治区鄂尔多斯市准格尔经济开发区大路产业园新能源基地B3地块12号标准化厂房，该厂房土地用途为工业用地，</w:t>
            </w:r>
            <w:r>
              <w:rPr>
                <w:rFonts w:hint="eastAsia"/>
                <w:color w:val="auto"/>
                <w:sz w:val="24"/>
                <w:lang w:val="en-US" w:eastAsia="zh-CN"/>
              </w:rPr>
              <w:t>规划用途为新材料产业区</w:t>
            </w:r>
            <w:r>
              <w:rPr>
                <w:rFonts w:hint="eastAsia"/>
                <w:color w:val="auto"/>
                <w:sz w:val="24"/>
                <w:lang w:eastAsia="zh-CN"/>
              </w:rPr>
              <w:t>，</w:t>
            </w:r>
            <w:r>
              <w:rPr>
                <w:rFonts w:hint="eastAsia"/>
                <w:color w:val="auto"/>
                <w:sz w:val="24"/>
              </w:rPr>
              <w:t>B3地块12号标准化厂房</w:t>
            </w:r>
            <w:r>
              <w:rPr>
                <w:rFonts w:hint="eastAsia"/>
                <w:color w:val="auto"/>
                <w:sz w:val="24"/>
                <w:lang w:val="en-US" w:eastAsia="zh-CN"/>
              </w:rPr>
              <w:t>为空置厂房，未开展过生产活动</w:t>
            </w:r>
            <w:r>
              <w:rPr>
                <w:rFonts w:hint="eastAsia"/>
                <w:color w:val="auto"/>
                <w:sz w:val="24"/>
              </w:rPr>
              <w:t>。</w:t>
            </w:r>
          </w:p>
          <w:p w14:paraId="0405F1E4">
            <w:pPr>
              <w:widowControl/>
              <w:spacing w:line="360" w:lineRule="auto"/>
              <w:ind w:firstLine="480" w:firstLineChars="200"/>
              <w:jc w:val="left"/>
              <w:rPr>
                <w:color w:val="auto"/>
                <w:sz w:val="24"/>
              </w:rPr>
            </w:pPr>
            <w:r>
              <w:rPr>
                <w:color w:val="auto"/>
                <w:sz w:val="24"/>
              </w:rPr>
              <w:t>根据《</w:t>
            </w:r>
            <w:r>
              <w:rPr>
                <w:rFonts w:hint="eastAsia"/>
                <w:color w:val="auto"/>
                <w:sz w:val="24"/>
              </w:rPr>
              <w:t>中华人民共和国生态环境法典</w:t>
            </w:r>
            <w:r>
              <w:rPr>
                <w:color w:val="auto"/>
                <w:sz w:val="24"/>
              </w:rPr>
              <w:t>》、《建设项目环境保护管理条例》</w:t>
            </w:r>
          </w:p>
          <w:p w14:paraId="6E663E51">
            <w:pPr>
              <w:widowControl/>
              <w:spacing w:line="360" w:lineRule="auto"/>
              <w:jc w:val="left"/>
              <w:rPr>
                <w:color w:val="auto"/>
                <w:sz w:val="24"/>
              </w:rPr>
            </w:pPr>
            <w:r>
              <w:rPr>
                <w:color w:val="auto"/>
                <w:sz w:val="24"/>
              </w:rPr>
              <w:t>等法律、法规的规定及要求，本项目的建设应开展环境影响评价工作。</w:t>
            </w:r>
            <w:r>
              <w:rPr>
                <w:rFonts w:hint="eastAsia"/>
                <w:color w:val="auto"/>
                <w:sz w:val="24"/>
              </w:rPr>
              <w:t>对照《国民经济行业分类》(GB/T4754-2017)，项目应属于“3062玻璃纤维增强塑料制品制造”类项目，对照《建设项目环境影响评价分类管理名录》(2021年版)，本项目属于“二十七、非金属矿物制品业-58、玻璃纤维和玻璃纤维增强塑料制品制造306-全部”类项目</w:t>
            </w:r>
            <w:r>
              <w:rPr>
                <w:color w:val="auto"/>
                <w:sz w:val="24"/>
              </w:rPr>
              <w:t>，需编制环境影响报告报表。受</w:t>
            </w:r>
            <w:r>
              <w:rPr>
                <w:rFonts w:hint="eastAsia"/>
                <w:color w:val="auto"/>
                <w:sz w:val="24"/>
              </w:rPr>
              <w:t>内蒙古锦泽鑫管业有限公司</w:t>
            </w:r>
            <w:r>
              <w:rPr>
                <w:color w:val="auto"/>
                <w:sz w:val="24"/>
              </w:rPr>
              <w:t>，我司承担了该项目的环境影响评价工作。接受委托后，我司立即组织技术人员对项目厂址进行现场踏勘</w:t>
            </w:r>
            <w:r>
              <w:rPr>
                <w:rFonts w:hint="eastAsia"/>
                <w:color w:val="auto"/>
                <w:sz w:val="24"/>
              </w:rPr>
              <w:t>，</w:t>
            </w:r>
            <w:r>
              <w:rPr>
                <w:color w:val="auto"/>
                <w:sz w:val="24"/>
              </w:rPr>
              <w:t>详细了解了工程建设内容和生产工艺，收集了区域自然环境资料，在此基础上编制完成了《</w:t>
            </w:r>
            <w:r>
              <w:rPr>
                <w:rFonts w:hint="eastAsia"/>
                <w:color w:val="auto"/>
                <w:sz w:val="24"/>
              </w:rPr>
              <w:t>内蒙古锦泽鑫管业有限公司年产120万米环氧玻璃纤维高压管道建设项目</w:t>
            </w:r>
            <w:r>
              <w:rPr>
                <w:rFonts w:hint="eastAsia"/>
                <w:color w:val="auto"/>
                <w:sz w:val="24"/>
                <w:lang w:val="en-US" w:eastAsia="zh-CN"/>
              </w:rPr>
              <w:t>生态</w:t>
            </w:r>
            <w:r>
              <w:rPr>
                <w:rFonts w:hint="eastAsia"/>
                <w:color w:val="auto"/>
                <w:sz w:val="24"/>
              </w:rPr>
              <w:t>环境影响评价报告表</w:t>
            </w:r>
            <w:r>
              <w:rPr>
                <w:color w:val="auto"/>
                <w:sz w:val="24"/>
              </w:rPr>
              <w:t>》。</w:t>
            </w:r>
          </w:p>
          <w:p w14:paraId="0722D527">
            <w:pPr>
              <w:widowControl/>
              <w:spacing w:line="360" w:lineRule="auto"/>
              <w:ind w:firstLine="482" w:firstLineChars="200"/>
              <w:jc w:val="left"/>
              <w:rPr>
                <w:b/>
                <w:bCs/>
                <w:color w:val="auto"/>
                <w:sz w:val="24"/>
              </w:rPr>
            </w:pPr>
            <w:r>
              <w:rPr>
                <w:rFonts w:hint="eastAsia"/>
                <w:b/>
                <w:bCs/>
                <w:color w:val="auto"/>
                <w:sz w:val="24"/>
              </w:rPr>
              <w:t>二、建设内容</w:t>
            </w:r>
          </w:p>
          <w:p w14:paraId="568F93BB">
            <w:pPr>
              <w:widowControl/>
              <w:spacing w:line="360" w:lineRule="auto"/>
              <w:ind w:firstLine="480" w:firstLineChars="200"/>
              <w:jc w:val="left"/>
              <w:rPr>
                <w:color w:val="auto"/>
                <w:sz w:val="24"/>
              </w:rPr>
            </w:pPr>
            <w:r>
              <w:rPr>
                <w:rFonts w:hint="eastAsia"/>
                <w:color w:val="auto"/>
                <w:sz w:val="24"/>
              </w:rPr>
              <w:t>（1）</w:t>
            </w:r>
            <w:r>
              <w:rPr>
                <w:color w:val="auto"/>
                <w:sz w:val="24"/>
              </w:rPr>
              <w:t>项目名称：</w:t>
            </w:r>
            <w:r>
              <w:rPr>
                <w:rFonts w:hint="eastAsia"/>
                <w:color w:val="auto"/>
                <w:sz w:val="24"/>
              </w:rPr>
              <w:t>内蒙古锦泽鑫管业有限公司年产120万米环氧玻璃纤维高压管道建设项目</w:t>
            </w:r>
            <w:r>
              <w:rPr>
                <w:color w:val="auto"/>
                <w:sz w:val="24"/>
              </w:rPr>
              <w:t>；</w:t>
            </w:r>
          </w:p>
          <w:p w14:paraId="43A11363">
            <w:pPr>
              <w:widowControl/>
              <w:spacing w:line="360" w:lineRule="auto"/>
              <w:ind w:firstLine="480" w:firstLineChars="200"/>
              <w:jc w:val="left"/>
              <w:rPr>
                <w:color w:val="auto"/>
                <w:sz w:val="24"/>
              </w:rPr>
            </w:pPr>
            <w:r>
              <w:rPr>
                <w:rFonts w:hint="eastAsia"/>
                <w:color w:val="auto"/>
                <w:sz w:val="24"/>
              </w:rPr>
              <w:t>（2）</w:t>
            </w:r>
            <w:r>
              <w:rPr>
                <w:color w:val="auto"/>
                <w:sz w:val="24"/>
              </w:rPr>
              <w:t>建设性质：</w:t>
            </w:r>
            <w:r>
              <w:rPr>
                <w:rFonts w:hint="eastAsia"/>
                <w:color w:val="auto"/>
                <w:sz w:val="24"/>
                <w:lang w:val="en-US" w:eastAsia="zh-CN"/>
              </w:rPr>
              <w:t>新建</w:t>
            </w:r>
            <w:r>
              <w:rPr>
                <w:color w:val="auto"/>
                <w:sz w:val="24"/>
              </w:rPr>
              <w:t>；</w:t>
            </w:r>
          </w:p>
          <w:p w14:paraId="4B6983EB">
            <w:pPr>
              <w:widowControl/>
              <w:spacing w:line="360" w:lineRule="auto"/>
              <w:ind w:firstLine="480" w:firstLineChars="200"/>
              <w:jc w:val="left"/>
              <w:rPr>
                <w:color w:val="auto"/>
                <w:sz w:val="24"/>
              </w:rPr>
            </w:pPr>
            <w:r>
              <w:rPr>
                <w:rFonts w:hint="eastAsia"/>
                <w:color w:val="auto"/>
                <w:sz w:val="24"/>
              </w:rPr>
              <w:t>（3）</w:t>
            </w:r>
            <w:r>
              <w:rPr>
                <w:color w:val="auto"/>
                <w:sz w:val="24"/>
              </w:rPr>
              <w:t>建设单位：</w:t>
            </w:r>
            <w:r>
              <w:rPr>
                <w:rFonts w:hint="eastAsia"/>
                <w:color w:val="auto"/>
                <w:sz w:val="24"/>
              </w:rPr>
              <w:t>内蒙古锦泽鑫管业有限公司</w:t>
            </w:r>
            <w:r>
              <w:rPr>
                <w:color w:val="auto"/>
                <w:sz w:val="24"/>
              </w:rPr>
              <w:t>；</w:t>
            </w:r>
          </w:p>
          <w:p w14:paraId="2DA28B81">
            <w:pPr>
              <w:pStyle w:val="47"/>
              <w:spacing w:line="360" w:lineRule="auto"/>
              <w:ind w:firstLine="480" w:firstLineChars="200"/>
              <w:jc w:val="left"/>
              <w:rPr>
                <w:rFonts w:hint="default" w:ascii="Times New Roman" w:hAnsi="Times New Roman" w:cs="Times New Roman"/>
                <w:color w:val="auto"/>
                <w:kern w:val="0"/>
                <w:sz w:val="24"/>
                <w:szCs w:val="24"/>
                <w:highlight w:val="none"/>
                <w:lang w:val="en-US" w:eastAsia="zh-CN" w:bidi="ar"/>
              </w:rPr>
            </w:pPr>
            <w:r>
              <w:rPr>
                <w:rFonts w:hint="default" w:ascii="Times New Roman" w:hAnsi="Times New Roman" w:cs="Times New Roman"/>
                <w:color w:val="auto"/>
                <w:sz w:val="24"/>
                <w:highlight w:val="none"/>
              </w:rPr>
              <w:t>（4）项目投资：</w:t>
            </w:r>
            <w:r>
              <w:rPr>
                <w:rFonts w:hint="default" w:ascii="Times New Roman" w:hAnsi="Times New Roman" w:cs="Times New Roman"/>
                <w:color w:val="auto"/>
                <w:kern w:val="0"/>
                <w:sz w:val="24"/>
                <w:szCs w:val="24"/>
                <w:highlight w:val="none"/>
                <w:lang w:eastAsia="zh-CN" w:bidi="ar"/>
              </w:rPr>
              <w:t>本项目总投资为</w:t>
            </w:r>
            <w:r>
              <w:rPr>
                <w:rFonts w:hint="default" w:ascii="Times New Roman" w:hAnsi="Times New Roman" w:cs="Times New Roman"/>
                <w:color w:val="auto"/>
                <w:kern w:val="0"/>
                <w:sz w:val="24"/>
                <w:szCs w:val="24"/>
                <w:highlight w:val="none"/>
                <w:lang w:val="en-US" w:eastAsia="zh-CN" w:bidi="ar"/>
              </w:rPr>
              <w:t>12000</w:t>
            </w:r>
            <w:r>
              <w:rPr>
                <w:rFonts w:hint="default" w:ascii="Times New Roman" w:hAnsi="Times New Roman" w:cs="Times New Roman"/>
                <w:color w:val="auto"/>
                <w:kern w:val="0"/>
                <w:sz w:val="24"/>
                <w:szCs w:val="24"/>
                <w:highlight w:val="none"/>
                <w:lang w:eastAsia="zh-CN" w:bidi="ar"/>
              </w:rPr>
              <w:t>万元，</w:t>
            </w:r>
            <w:r>
              <w:rPr>
                <w:rFonts w:hint="default" w:ascii="Times New Roman" w:hAnsi="Times New Roman" w:cs="Times New Roman"/>
                <w:color w:val="auto"/>
                <w:kern w:val="0"/>
                <w:sz w:val="24"/>
                <w:szCs w:val="24"/>
                <w:highlight w:val="none"/>
                <w:lang w:val="en-US" w:eastAsia="zh-CN" w:bidi="ar"/>
              </w:rPr>
              <w:t>项目分两期建设，一期投资6000万元，二期投资6000万元。</w:t>
            </w:r>
          </w:p>
          <w:p w14:paraId="131E9FC0">
            <w:pPr>
              <w:pStyle w:val="47"/>
              <w:spacing w:line="360" w:lineRule="auto"/>
              <w:ind w:firstLine="480" w:firstLineChars="200"/>
              <w:jc w:val="left"/>
              <w:rPr>
                <w:rFonts w:hint="default" w:ascii="Times New Roman" w:hAnsi="Times New Roman" w:cs="Times New Roman"/>
                <w:color w:val="auto"/>
                <w:kern w:val="0"/>
                <w:sz w:val="24"/>
                <w:szCs w:val="24"/>
                <w:highlight w:val="none"/>
                <w:lang w:eastAsia="zh-CN" w:bidi="ar"/>
              </w:rPr>
            </w:pPr>
            <w:r>
              <w:rPr>
                <w:rFonts w:hint="default" w:ascii="Times New Roman" w:hAnsi="Times New Roman" w:cs="Times New Roman"/>
                <w:color w:val="auto"/>
                <w:kern w:val="0"/>
                <w:sz w:val="24"/>
                <w:szCs w:val="24"/>
                <w:highlight w:val="none"/>
                <w:lang w:val="en-US" w:eastAsia="zh-CN" w:bidi="ar"/>
              </w:rPr>
              <w:t>一期总投资6000万元，</w:t>
            </w:r>
            <w:r>
              <w:rPr>
                <w:rFonts w:hint="default" w:ascii="Times New Roman" w:hAnsi="Times New Roman" w:cs="Times New Roman"/>
                <w:color w:val="auto"/>
                <w:kern w:val="0"/>
                <w:sz w:val="24"/>
                <w:szCs w:val="24"/>
                <w:highlight w:val="none"/>
                <w:lang w:eastAsia="zh-CN" w:bidi="ar"/>
              </w:rPr>
              <w:t>环保投资</w:t>
            </w:r>
            <w:r>
              <w:rPr>
                <w:rFonts w:hint="default" w:ascii="Times New Roman" w:hAnsi="Times New Roman" w:cs="Times New Roman"/>
                <w:color w:val="auto"/>
                <w:kern w:val="0"/>
                <w:sz w:val="24"/>
                <w:szCs w:val="24"/>
                <w:highlight w:val="none"/>
                <w:lang w:val="en-US" w:eastAsia="zh-CN" w:bidi="ar"/>
              </w:rPr>
              <w:t>313</w:t>
            </w:r>
            <w:r>
              <w:rPr>
                <w:rFonts w:hint="default" w:ascii="Times New Roman" w:hAnsi="Times New Roman" w:cs="Times New Roman"/>
                <w:color w:val="auto"/>
                <w:kern w:val="0"/>
                <w:sz w:val="24"/>
                <w:szCs w:val="24"/>
                <w:highlight w:val="none"/>
                <w:lang w:eastAsia="zh-CN" w:bidi="ar"/>
              </w:rPr>
              <w:t>万元，占总投资的</w:t>
            </w:r>
            <w:r>
              <w:rPr>
                <w:rFonts w:hint="default" w:ascii="Times New Roman" w:hAnsi="Times New Roman" w:cs="Times New Roman"/>
                <w:color w:val="auto"/>
                <w:kern w:val="0"/>
                <w:sz w:val="24"/>
                <w:szCs w:val="24"/>
                <w:highlight w:val="none"/>
                <w:lang w:val="en-US" w:eastAsia="zh-CN" w:bidi="ar"/>
              </w:rPr>
              <w:t>5.22</w:t>
            </w:r>
            <w:r>
              <w:rPr>
                <w:rFonts w:hint="default" w:ascii="Times New Roman" w:hAnsi="Times New Roman" w:cs="Times New Roman"/>
                <w:color w:val="auto"/>
                <w:kern w:val="0"/>
                <w:sz w:val="24"/>
                <w:szCs w:val="24"/>
                <w:highlight w:val="none"/>
                <w:lang w:eastAsia="zh-CN" w:bidi="ar"/>
              </w:rPr>
              <w:t>%；</w:t>
            </w:r>
          </w:p>
          <w:p w14:paraId="0FFE3453">
            <w:pPr>
              <w:pStyle w:val="47"/>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szCs w:val="24"/>
                <w:highlight w:val="none"/>
                <w:lang w:val="en-US" w:eastAsia="zh-CN" w:bidi="ar"/>
              </w:rPr>
              <w:t>二期总投资6000万元，</w:t>
            </w:r>
            <w:r>
              <w:rPr>
                <w:rFonts w:hint="default" w:ascii="Times New Roman" w:hAnsi="Times New Roman" w:cs="Times New Roman"/>
                <w:color w:val="auto"/>
                <w:kern w:val="0"/>
                <w:sz w:val="24"/>
                <w:szCs w:val="24"/>
                <w:highlight w:val="none"/>
                <w:lang w:eastAsia="zh-CN" w:bidi="ar"/>
              </w:rPr>
              <w:t>环保投资</w:t>
            </w:r>
            <w:r>
              <w:rPr>
                <w:rFonts w:hint="eastAsia" w:ascii="Times New Roman" w:hAnsi="Times New Roman" w:cs="Times New Roman"/>
                <w:color w:val="auto"/>
                <w:kern w:val="0"/>
                <w:sz w:val="24"/>
                <w:szCs w:val="24"/>
                <w:highlight w:val="none"/>
                <w:lang w:val="en-US" w:eastAsia="zh-CN" w:bidi="ar"/>
              </w:rPr>
              <w:t>76.35</w:t>
            </w:r>
            <w:r>
              <w:rPr>
                <w:rFonts w:hint="default" w:ascii="Times New Roman" w:hAnsi="Times New Roman" w:cs="Times New Roman"/>
                <w:color w:val="auto"/>
                <w:kern w:val="0"/>
                <w:sz w:val="24"/>
                <w:szCs w:val="24"/>
                <w:highlight w:val="none"/>
                <w:lang w:eastAsia="zh-CN" w:bidi="ar"/>
              </w:rPr>
              <w:t>万元，占总投资的</w:t>
            </w:r>
            <w:r>
              <w:rPr>
                <w:rFonts w:hint="default" w:ascii="Times New Roman" w:hAnsi="Times New Roman" w:cs="Times New Roman"/>
                <w:color w:val="auto"/>
                <w:kern w:val="0"/>
                <w:sz w:val="24"/>
                <w:szCs w:val="24"/>
                <w:highlight w:val="none"/>
                <w:lang w:val="en-US" w:eastAsia="zh-CN" w:bidi="ar"/>
              </w:rPr>
              <w:t>1.27</w:t>
            </w:r>
            <w:r>
              <w:rPr>
                <w:rFonts w:hint="default" w:ascii="Times New Roman" w:hAnsi="Times New Roman" w:cs="Times New Roman"/>
                <w:color w:val="auto"/>
                <w:kern w:val="0"/>
                <w:sz w:val="24"/>
                <w:szCs w:val="24"/>
                <w:highlight w:val="none"/>
                <w:lang w:eastAsia="zh-CN" w:bidi="ar"/>
              </w:rPr>
              <w:t>%。</w:t>
            </w:r>
          </w:p>
          <w:p w14:paraId="3C38629C">
            <w:pPr>
              <w:widowControl/>
              <w:spacing w:line="360" w:lineRule="auto"/>
              <w:ind w:firstLine="480" w:firstLineChars="200"/>
              <w:jc w:val="left"/>
              <w:rPr>
                <w:color w:val="auto"/>
                <w:sz w:val="24"/>
              </w:rPr>
            </w:pPr>
            <w:r>
              <w:rPr>
                <w:rFonts w:hint="eastAsia"/>
                <w:color w:val="auto"/>
                <w:sz w:val="24"/>
              </w:rPr>
              <w:t>（5）</w:t>
            </w:r>
            <w:r>
              <w:rPr>
                <w:color w:val="auto"/>
                <w:sz w:val="24"/>
              </w:rPr>
              <w:t>建设地点：</w:t>
            </w:r>
            <w:r>
              <w:rPr>
                <w:rFonts w:hint="eastAsia"/>
                <w:color w:val="auto"/>
                <w:sz w:val="24"/>
              </w:rPr>
              <w:t>本项目建设于</w:t>
            </w:r>
            <w:r>
              <w:rPr>
                <w:rFonts w:hint="eastAsia"/>
                <w:color w:val="auto"/>
                <w:sz w:val="24"/>
                <w:lang w:val="en-US" w:eastAsia="zh-CN"/>
              </w:rPr>
              <w:t>内蒙古自治区</w:t>
            </w:r>
            <w:r>
              <w:rPr>
                <w:rFonts w:hint="eastAsia"/>
                <w:color w:val="auto"/>
                <w:sz w:val="24"/>
              </w:rPr>
              <w:t>鄂尔多斯</w:t>
            </w:r>
            <w:r>
              <w:rPr>
                <w:rFonts w:hint="eastAsia"/>
                <w:color w:val="auto"/>
                <w:sz w:val="24"/>
                <w:lang w:val="en-US" w:eastAsia="zh-CN"/>
              </w:rPr>
              <w:t>市</w:t>
            </w:r>
            <w:r>
              <w:rPr>
                <w:rFonts w:hint="eastAsia"/>
                <w:color w:val="auto"/>
                <w:sz w:val="24"/>
              </w:rPr>
              <w:t>准格尔经济开发区大路产业园新能源基地B3地块12号厂房</w:t>
            </w:r>
            <w:r>
              <w:rPr>
                <w:rFonts w:hint="eastAsia"/>
                <w:color w:val="auto"/>
                <w:sz w:val="24"/>
                <w:lang w:val="en-US" w:eastAsia="zh-CN"/>
              </w:rPr>
              <w:t>1座，成品存放区为园区划拨使用</w:t>
            </w:r>
            <w:r>
              <w:rPr>
                <w:rFonts w:hint="eastAsia"/>
                <w:color w:val="auto"/>
                <w:sz w:val="24"/>
              </w:rPr>
              <w:t>；</w:t>
            </w:r>
            <w:r>
              <w:rPr>
                <w:rFonts w:hint="eastAsia"/>
                <w:color w:val="auto"/>
                <w:sz w:val="24"/>
                <w:lang w:val="en-US" w:eastAsia="zh-CN"/>
              </w:rPr>
              <w:t>本项目北侧为新能源基地，南侧为国电内蒙古晶阳能源有限公司，西侧为空地，东侧为远景能源(鄂尔多斯)有限公司。</w:t>
            </w:r>
            <w:r>
              <w:rPr>
                <w:color w:val="auto"/>
                <w:sz w:val="24"/>
              </w:rPr>
              <w:t>项目地理位置见附图1</w:t>
            </w:r>
            <w:r>
              <w:rPr>
                <w:rFonts w:hint="eastAsia"/>
                <w:color w:val="auto"/>
                <w:sz w:val="24"/>
                <w:lang w:eastAsia="zh-CN"/>
              </w:rPr>
              <w:t>，</w:t>
            </w:r>
            <w:r>
              <w:rPr>
                <w:rFonts w:hint="eastAsia"/>
                <w:color w:val="auto"/>
                <w:sz w:val="24"/>
                <w:lang w:val="en-US" w:eastAsia="zh-CN"/>
              </w:rPr>
              <w:t>项目四邻关系图见附图6</w:t>
            </w:r>
            <w:r>
              <w:rPr>
                <w:rFonts w:hint="eastAsia"/>
                <w:color w:val="auto"/>
                <w:sz w:val="24"/>
              </w:rPr>
              <w:t>。</w:t>
            </w:r>
          </w:p>
          <w:p w14:paraId="635FFB4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lang w:eastAsia="zh-CN"/>
              </w:rPr>
            </w:pPr>
            <w:r>
              <w:rPr>
                <w:rFonts w:hint="eastAsia"/>
                <w:color w:val="auto"/>
                <w:sz w:val="24"/>
                <w:lang w:eastAsia="zh-CN"/>
              </w:rPr>
              <w:t>（</w:t>
            </w:r>
            <w:r>
              <w:rPr>
                <w:rFonts w:hint="eastAsia"/>
                <w:color w:val="auto"/>
                <w:sz w:val="24"/>
                <w:lang w:val="en-US" w:eastAsia="zh-CN"/>
              </w:rPr>
              <w:t>6</w:t>
            </w:r>
            <w:r>
              <w:rPr>
                <w:rFonts w:hint="eastAsia"/>
                <w:color w:val="auto"/>
                <w:sz w:val="24"/>
                <w:lang w:eastAsia="zh-CN"/>
              </w:rPr>
              <w:t>）</w:t>
            </w:r>
            <w:r>
              <w:rPr>
                <w:rFonts w:hint="eastAsia"/>
                <w:color w:val="auto"/>
                <w:sz w:val="24"/>
              </w:rPr>
              <w:t>建设规模及内容</w:t>
            </w:r>
            <w:r>
              <w:rPr>
                <w:color w:val="auto"/>
                <w:sz w:val="24"/>
              </w:rPr>
              <w:t>：</w:t>
            </w:r>
            <w:r>
              <w:rPr>
                <w:rFonts w:hint="eastAsia"/>
                <w:color w:val="auto"/>
                <w:sz w:val="24"/>
              </w:rPr>
              <w:t>项目</w:t>
            </w:r>
            <w:r>
              <w:rPr>
                <w:rFonts w:hint="eastAsia"/>
                <w:color w:val="auto"/>
                <w:sz w:val="24"/>
                <w:lang w:val="en-US" w:eastAsia="zh-CN"/>
              </w:rPr>
              <w:t>共</w:t>
            </w:r>
            <w:r>
              <w:rPr>
                <w:rFonts w:hint="eastAsia"/>
                <w:color w:val="auto"/>
                <w:sz w:val="24"/>
              </w:rPr>
              <w:t>占地</w:t>
            </w:r>
            <w:r>
              <w:rPr>
                <w:rFonts w:hint="eastAsia"/>
                <w:color w:val="auto"/>
                <w:sz w:val="24"/>
                <w:lang w:val="en-US" w:eastAsia="zh-CN"/>
              </w:rPr>
              <w:t>16019.75</w:t>
            </w:r>
            <w:r>
              <w:rPr>
                <w:rFonts w:hint="eastAsia"/>
                <w:color w:val="auto"/>
                <w:sz w:val="24"/>
              </w:rPr>
              <w:t>m</w:t>
            </w:r>
            <w:r>
              <w:rPr>
                <w:rFonts w:hint="eastAsia"/>
                <w:color w:val="auto"/>
                <w:sz w:val="24"/>
                <w:vertAlign w:val="superscript"/>
              </w:rPr>
              <w:t>2</w:t>
            </w:r>
            <w:r>
              <w:rPr>
                <w:rFonts w:hint="eastAsia"/>
                <w:color w:val="auto"/>
                <w:sz w:val="24"/>
                <w:lang w:eastAsia="zh-CN"/>
              </w:rPr>
              <w:t>，</w:t>
            </w:r>
            <w:r>
              <w:rPr>
                <w:rFonts w:hint="eastAsia"/>
                <w:color w:val="auto"/>
                <w:sz w:val="24"/>
                <w:lang w:val="en-US" w:eastAsia="zh-CN"/>
              </w:rPr>
              <w:t>生产车间6019.75m</w:t>
            </w:r>
            <w:r>
              <w:rPr>
                <w:rFonts w:hint="eastAsia"/>
                <w:color w:val="auto"/>
                <w:sz w:val="24"/>
                <w:vertAlign w:val="superscript"/>
                <w:lang w:val="en-US" w:eastAsia="zh-CN"/>
              </w:rPr>
              <w:t>2</w:t>
            </w:r>
            <w:r>
              <w:rPr>
                <w:rFonts w:hint="eastAsia"/>
                <w:color w:val="auto"/>
                <w:sz w:val="24"/>
                <w:lang w:val="en-US" w:eastAsia="zh-CN"/>
              </w:rPr>
              <w:t>和成品暂存区10000m</w:t>
            </w:r>
            <w:r>
              <w:rPr>
                <w:rFonts w:hint="eastAsia"/>
                <w:color w:val="auto"/>
                <w:sz w:val="24"/>
                <w:vertAlign w:val="superscript"/>
                <w:lang w:val="en-US" w:eastAsia="zh-CN"/>
              </w:rPr>
              <w:t>2</w:t>
            </w:r>
            <w:r>
              <w:rPr>
                <w:rFonts w:hint="eastAsia"/>
                <w:color w:val="auto"/>
                <w:sz w:val="24"/>
                <w:lang w:val="en-US" w:eastAsia="zh-CN"/>
              </w:rPr>
              <w:t>；</w:t>
            </w:r>
            <w:r>
              <w:rPr>
                <w:rFonts w:hint="eastAsia"/>
                <w:color w:val="auto"/>
                <w:sz w:val="24"/>
              </w:rPr>
              <w:t>设计产能为</w:t>
            </w:r>
            <w:r>
              <w:rPr>
                <w:rFonts w:hint="eastAsia"/>
                <w:color w:val="auto"/>
                <w:sz w:val="24"/>
                <w:lang w:val="en-US" w:eastAsia="zh-CN"/>
              </w:rPr>
              <w:t>120万</w:t>
            </w:r>
            <w:r>
              <w:rPr>
                <w:rFonts w:hint="eastAsia"/>
                <w:color w:val="auto"/>
                <w:sz w:val="24"/>
              </w:rPr>
              <w:t>米环氧</w:t>
            </w:r>
            <w:r>
              <w:rPr>
                <w:rFonts w:hint="eastAsia"/>
                <w:color w:val="auto"/>
                <w:sz w:val="24"/>
                <w:lang w:val="en-US" w:eastAsia="zh-CN"/>
              </w:rPr>
              <w:t>玻璃纤维</w:t>
            </w:r>
            <w:r>
              <w:rPr>
                <w:rFonts w:hint="eastAsia"/>
                <w:color w:val="auto"/>
                <w:sz w:val="24"/>
              </w:rPr>
              <w:t>高压管道</w:t>
            </w:r>
            <w:r>
              <w:rPr>
                <w:rFonts w:hint="eastAsia"/>
                <w:color w:val="auto"/>
                <w:sz w:val="24"/>
                <w:lang w:eastAsia="zh-CN"/>
              </w:rPr>
              <w:t>，</w:t>
            </w:r>
            <w:r>
              <w:rPr>
                <w:rFonts w:hint="eastAsia"/>
                <w:color w:val="auto"/>
                <w:sz w:val="24"/>
              </w:rPr>
              <w:t>生产车间内根据具体生产工艺划定各功能分区，</w:t>
            </w:r>
            <w:r>
              <w:rPr>
                <w:rFonts w:hint="eastAsia"/>
                <w:color w:val="auto"/>
                <w:sz w:val="24"/>
                <w:lang w:val="en-US" w:eastAsia="zh-CN"/>
              </w:rPr>
              <w:t>设置10条编织生产线、纺纱作业区、打压及法兰安装区、静电喷涂区等区域及</w:t>
            </w:r>
            <w:r>
              <w:rPr>
                <w:rFonts w:hint="eastAsia"/>
                <w:color w:val="auto"/>
                <w:sz w:val="24"/>
              </w:rPr>
              <w:t>配套附属设施</w:t>
            </w:r>
            <w:r>
              <w:rPr>
                <w:rFonts w:hint="eastAsia"/>
                <w:color w:val="auto"/>
                <w:sz w:val="24"/>
                <w:lang w:eastAsia="zh-CN"/>
              </w:rPr>
              <w:t>。</w:t>
            </w:r>
          </w:p>
          <w:p w14:paraId="673CAEA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lang w:eastAsia="zh-CN"/>
              </w:rPr>
            </w:pPr>
            <w:r>
              <w:rPr>
                <w:rFonts w:hint="eastAsia"/>
                <w:color w:val="auto"/>
                <w:sz w:val="24"/>
                <w:lang w:val="en-US" w:eastAsia="zh-CN"/>
              </w:rPr>
              <w:t>本项目分两期实施，一期建设5条生产线及配套附属设施，生产规模为60万米/年，一期工程配套附属设施一次建成，建设时间为2026年11月--12月；二期建设5条生产线，生产规模为60万米/年，建设时间为2027年6月</w:t>
            </w:r>
            <w:r>
              <w:rPr>
                <w:rFonts w:hint="eastAsia"/>
                <w:color w:val="auto"/>
                <w:sz w:val="24"/>
                <w:lang w:eastAsia="zh-CN"/>
              </w:rPr>
              <w:t>。</w:t>
            </w:r>
          </w:p>
          <w:p w14:paraId="389F18F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一期工程与二期工程的缠绕、搅拌工序共用一套“二级活性炭吸附”装置经</w:t>
            </w:r>
            <w:r>
              <w:rPr>
                <w:rFonts w:hint="eastAsia" w:cs="Times New Roman"/>
                <w:color w:val="auto"/>
                <w:sz w:val="24"/>
                <w:highlight w:val="none"/>
                <w:lang w:val="en-US" w:eastAsia="zh-CN"/>
              </w:rPr>
              <w:t>20.5m</w:t>
            </w:r>
            <w:r>
              <w:rPr>
                <w:rFonts w:hint="eastAsia" w:ascii="Times New Roman" w:hAnsi="Times New Roman" w:eastAsia="宋体" w:cs="Times New Roman"/>
                <w:color w:val="auto"/>
                <w:sz w:val="24"/>
                <w:highlight w:val="none"/>
                <w:lang w:val="en-US" w:eastAsia="zh-CN"/>
              </w:rPr>
              <w:t>高排气筒（DA001）排放。</w:t>
            </w:r>
          </w:p>
          <w:p w14:paraId="747255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color w:val="auto"/>
                <w:sz w:val="24"/>
                <w:lang w:val="en-US" w:eastAsia="zh-CN"/>
              </w:rPr>
            </w:pPr>
            <w:r>
              <w:rPr>
                <w:rFonts w:hint="eastAsia"/>
                <w:color w:val="auto"/>
                <w:sz w:val="24"/>
                <w:lang w:val="en-US" w:eastAsia="zh-CN"/>
              </w:rPr>
              <w:t>具体建设内容详见下表：</w:t>
            </w:r>
          </w:p>
          <w:p w14:paraId="1FF15302">
            <w:pPr>
              <w:autoSpaceDE w:val="0"/>
              <w:autoSpaceDN w:val="0"/>
              <w:adjustRightInd w:val="0"/>
              <w:snapToGrid w:val="0"/>
              <w:ind w:firstLine="2409" w:firstLineChars="1000"/>
              <w:jc w:val="left"/>
              <w:rPr>
                <w:b/>
                <w:bCs/>
                <w:color w:val="auto"/>
                <w:kern w:val="0"/>
                <w:sz w:val="24"/>
              </w:rPr>
            </w:pPr>
            <w:r>
              <w:rPr>
                <w:rFonts w:hint="eastAsia"/>
                <w:b/>
                <w:bCs/>
                <w:color w:val="auto"/>
                <w:kern w:val="0"/>
                <w:sz w:val="24"/>
              </w:rPr>
              <w:t xml:space="preserve">表2-1    </w:t>
            </w:r>
            <w:r>
              <w:rPr>
                <w:rFonts w:hint="eastAsia"/>
                <w:b/>
                <w:bCs/>
                <w:color w:val="auto"/>
                <w:kern w:val="0"/>
                <w:sz w:val="24"/>
                <w:lang w:val="en-US" w:eastAsia="zh-CN"/>
              </w:rPr>
              <w:t>一期</w:t>
            </w:r>
            <w:r>
              <w:rPr>
                <w:rFonts w:hint="eastAsia"/>
                <w:b/>
                <w:bCs/>
                <w:color w:val="auto"/>
                <w:kern w:val="0"/>
                <w:sz w:val="24"/>
              </w:rPr>
              <w:t>项目组成一览表</w:t>
            </w:r>
          </w:p>
          <w:tbl>
            <w:tblPr>
              <w:tblStyle w:val="23"/>
              <w:tblW w:w="7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599"/>
              <w:gridCol w:w="974"/>
              <w:gridCol w:w="456"/>
              <w:gridCol w:w="62"/>
              <w:gridCol w:w="371"/>
              <w:gridCol w:w="125"/>
              <w:gridCol w:w="440"/>
              <w:gridCol w:w="146"/>
              <w:gridCol w:w="3507"/>
              <w:gridCol w:w="718"/>
            </w:tblGrid>
            <w:tr w14:paraId="2BB6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Align w:val="center"/>
                </w:tcPr>
                <w:p w14:paraId="0B128506">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分期</w:t>
                  </w:r>
                </w:p>
              </w:tc>
              <w:tc>
                <w:tcPr>
                  <w:tcW w:w="599" w:type="dxa"/>
                  <w:vAlign w:val="center"/>
                </w:tcPr>
                <w:p w14:paraId="54BC4C46">
                  <w:pPr>
                    <w:widowControl/>
                    <w:jc w:val="center"/>
                    <w:textAlignment w:val="center"/>
                    <w:rPr>
                      <w:color w:val="auto"/>
                      <w:kern w:val="0"/>
                      <w:szCs w:val="21"/>
                      <w:lang w:bidi="ar"/>
                    </w:rPr>
                  </w:pPr>
                  <w:r>
                    <w:rPr>
                      <w:rFonts w:hint="eastAsia"/>
                      <w:color w:val="auto"/>
                      <w:kern w:val="0"/>
                      <w:szCs w:val="21"/>
                      <w:lang w:bidi="ar"/>
                    </w:rPr>
                    <w:t>类别</w:t>
                  </w:r>
                </w:p>
              </w:tc>
              <w:tc>
                <w:tcPr>
                  <w:tcW w:w="974" w:type="dxa"/>
                  <w:vAlign w:val="center"/>
                </w:tcPr>
                <w:p w14:paraId="493002E6">
                  <w:pPr>
                    <w:widowControl/>
                    <w:jc w:val="center"/>
                    <w:textAlignment w:val="center"/>
                    <w:rPr>
                      <w:rFonts w:hint="eastAsia"/>
                      <w:color w:val="auto"/>
                      <w:kern w:val="0"/>
                      <w:szCs w:val="21"/>
                      <w:lang w:bidi="ar"/>
                    </w:rPr>
                  </w:pPr>
                  <w:r>
                    <w:rPr>
                      <w:rFonts w:hint="eastAsia"/>
                      <w:color w:val="auto"/>
                      <w:kern w:val="0"/>
                      <w:szCs w:val="21"/>
                      <w:lang w:bidi="ar"/>
                    </w:rPr>
                    <w:t>工程</w:t>
                  </w:r>
                </w:p>
                <w:p w14:paraId="4C2CF33F">
                  <w:pPr>
                    <w:widowControl/>
                    <w:jc w:val="center"/>
                    <w:textAlignment w:val="center"/>
                    <w:rPr>
                      <w:color w:val="auto"/>
                      <w:kern w:val="0"/>
                      <w:szCs w:val="21"/>
                      <w:lang w:bidi="ar"/>
                    </w:rPr>
                  </w:pPr>
                  <w:r>
                    <w:rPr>
                      <w:rFonts w:hint="eastAsia"/>
                      <w:color w:val="auto"/>
                      <w:kern w:val="0"/>
                      <w:szCs w:val="21"/>
                      <w:lang w:bidi="ar"/>
                    </w:rPr>
                    <w:t>名称</w:t>
                  </w:r>
                </w:p>
              </w:tc>
              <w:tc>
                <w:tcPr>
                  <w:tcW w:w="5107" w:type="dxa"/>
                  <w:gridSpan w:val="7"/>
                  <w:vAlign w:val="center"/>
                </w:tcPr>
                <w:p w14:paraId="59588713">
                  <w:pPr>
                    <w:widowControl/>
                    <w:jc w:val="center"/>
                    <w:textAlignment w:val="center"/>
                    <w:rPr>
                      <w:color w:val="auto"/>
                      <w:kern w:val="0"/>
                      <w:szCs w:val="21"/>
                      <w:lang w:bidi="ar"/>
                    </w:rPr>
                  </w:pPr>
                  <w:r>
                    <w:rPr>
                      <w:rFonts w:hint="eastAsia"/>
                      <w:color w:val="auto"/>
                      <w:kern w:val="0"/>
                      <w:szCs w:val="21"/>
                      <w:lang w:bidi="ar"/>
                    </w:rPr>
                    <w:t>建设内容</w:t>
                  </w:r>
                </w:p>
              </w:tc>
              <w:tc>
                <w:tcPr>
                  <w:tcW w:w="718" w:type="dxa"/>
                  <w:vAlign w:val="center"/>
                </w:tcPr>
                <w:p w14:paraId="70D3336B">
                  <w:pPr>
                    <w:widowControl/>
                    <w:jc w:val="center"/>
                    <w:textAlignment w:val="center"/>
                    <w:rPr>
                      <w:color w:val="auto"/>
                      <w:kern w:val="0"/>
                      <w:szCs w:val="21"/>
                      <w:lang w:bidi="ar"/>
                    </w:rPr>
                  </w:pPr>
                  <w:r>
                    <w:rPr>
                      <w:rFonts w:hint="eastAsia"/>
                      <w:color w:val="auto"/>
                      <w:kern w:val="0"/>
                      <w:szCs w:val="21"/>
                      <w:lang w:bidi="ar"/>
                    </w:rPr>
                    <w:t>备注</w:t>
                  </w:r>
                </w:p>
              </w:tc>
            </w:tr>
            <w:tr w14:paraId="37DA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9" w:type="dxa"/>
                  <w:vMerge w:val="restart"/>
                  <w:shd w:val="clear" w:color="auto" w:fill="auto"/>
                  <w:vAlign w:val="center"/>
                </w:tcPr>
                <w:p w14:paraId="29B18615">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一期</w:t>
                  </w:r>
                </w:p>
              </w:tc>
              <w:tc>
                <w:tcPr>
                  <w:tcW w:w="599" w:type="dxa"/>
                  <w:shd w:val="clear" w:color="auto" w:fill="auto"/>
                  <w:vAlign w:val="center"/>
                </w:tcPr>
                <w:p w14:paraId="67D9094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主体工程</w:t>
                  </w:r>
                </w:p>
              </w:tc>
              <w:tc>
                <w:tcPr>
                  <w:tcW w:w="974" w:type="dxa"/>
                  <w:shd w:val="clear" w:color="auto" w:fill="auto"/>
                  <w:vAlign w:val="center"/>
                </w:tcPr>
                <w:p w14:paraId="63E063BC">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生产</w:t>
                  </w:r>
                </w:p>
                <w:p w14:paraId="34EF6616">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车间</w:t>
                  </w:r>
                </w:p>
              </w:tc>
              <w:tc>
                <w:tcPr>
                  <w:tcW w:w="5107" w:type="dxa"/>
                  <w:gridSpan w:val="7"/>
                  <w:shd w:val="clear" w:color="auto" w:fill="auto"/>
                  <w:vAlign w:val="center"/>
                </w:tcPr>
                <w:p w14:paraId="5D149FFF">
                  <w:pPr>
                    <w:widowControl/>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标准化厂房占地6019.75m</w:t>
                  </w:r>
                  <w:r>
                    <w:rPr>
                      <w:rFonts w:hint="eastAsia"/>
                      <w:color w:val="auto"/>
                      <w:szCs w:val="21"/>
                      <w:vertAlign w:val="superscript"/>
                      <w:lang w:val="en-US" w:eastAsia="zh-CN"/>
                    </w:rPr>
                    <w:t>2</w:t>
                  </w:r>
                  <w:r>
                    <w:rPr>
                      <w:rFonts w:hint="eastAsia"/>
                      <w:color w:val="auto"/>
                      <w:szCs w:val="21"/>
                      <w:lang w:val="en-US" w:eastAsia="zh-CN"/>
                    </w:rPr>
                    <w:t>，为1层建筑，高度12.17m，厂房内部管道生产区布设5条缠绕生产线、纺纱作业区、打压及法兰安装区、静电喷涂区等区域及配套附属设施，预留出二期生产区域，厂房内部已做</w:t>
                  </w:r>
                  <w:r>
                    <w:rPr>
                      <w:rFonts w:hint="eastAsia"/>
                      <w:color w:val="auto"/>
                      <w:sz w:val="21"/>
                      <w:szCs w:val="21"/>
                      <w:highlight w:val="none"/>
                      <w:lang w:val="en-US" w:eastAsia="zh-CN"/>
                    </w:rPr>
                    <w:t>一般地面硬化</w:t>
                  </w:r>
                  <w:r>
                    <w:rPr>
                      <w:rFonts w:hint="eastAsia"/>
                      <w:color w:val="auto"/>
                      <w:szCs w:val="21"/>
                      <w:lang w:val="en-US" w:eastAsia="zh-CN"/>
                    </w:rPr>
                    <w:t>。</w:t>
                  </w:r>
                </w:p>
              </w:tc>
              <w:tc>
                <w:tcPr>
                  <w:tcW w:w="718" w:type="dxa"/>
                  <w:shd w:val="clear" w:color="auto" w:fill="auto"/>
                  <w:vAlign w:val="center"/>
                </w:tcPr>
                <w:p w14:paraId="1FC4BF51">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lang w:val="en-US" w:eastAsia="zh-CN"/>
                    </w:rPr>
                    <w:t>租用/已建成</w:t>
                  </w:r>
                </w:p>
              </w:tc>
            </w:tr>
            <w:tr w14:paraId="7252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9" w:type="dxa"/>
                  <w:vMerge w:val="continue"/>
                  <w:vAlign w:val="center"/>
                </w:tcPr>
                <w:p w14:paraId="20CF1142">
                  <w:pPr>
                    <w:widowControl/>
                    <w:jc w:val="center"/>
                    <w:textAlignment w:val="center"/>
                    <w:rPr>
                      <w:rFonts w:hint="eastAsia"/>
                      <w:color w:val="auto"/>
                      <w:kern w:val="0"/>
                      <w:szCs w:val="21"/>
                      <w:lang w:bidi="ar"/>
                    </w:rPr>
                  </w:pPr>
                </w:p>
              </w:tc>
              <w:tc>
                <w:tcPr>
                  <w:tcW w:w="599" w:type="dxa"/>
                  <w:vMerge w:val="restart"/>
                  <w:vAlign w:val="center"/>
                </w:tcPr>
                <w:p w14:paraId="512BF2A8">
                  <w:pPr>
                    <w:widowControl/>
                    <w:jc w:val="center"/>
                    <w:textAlignment w:val="center"/>
                    <w:rPr>
                      <w:color w:val="auto"/>
                      <w:kern w:val="0"/>
                      <w:szCs w:val="21"/>
                      <w:lang w:bidi="ar"/>
                    </w:rPr>
                  </w:pPr>
                  <w:r>
                    <w:rPr>
                      <w:rFonts w:hint="eastAsia"/>
                      <w:color w:val="auto"/>
                      <w:kern w:val="0"/>
                      <w:szCs w:val="21"/>
                      <w:lang w:bidi="ar"/>
                    </w:rPr>
                    <w:t>储运工程</w:t>
                  </w:r>
                </w:p>
              </w:tc>
              <w:tc>
                <w:tcPr>
                  <w:tcW w:w="974" w:type="dxa"/>
                  <w:vAlign w:val="center"/>
                </w:tcPr>
                <w:p w14:paraId="25F87A83">
                  <w:pPr>
                    <w:widowControl/>
                    <w:jc w:val="center"/>
                    <w:rPr>
                      <w:rFonts w:hint="default"/>
                      <w:color w:val="auto"/>
                      <w:szCs w:val="21"/>
                      <w:lang w:val="en-US" w:eastAsia="zh-CN"/>
                    </w:rPr>
                  </w:pPr>
                  <w:r>
                    <w:rPr>
                      <w:rFonts w:hint="default"/>
                      <w:color w:val="auto"/>
                      <w:szCs w:val="21"/>
                      <w:lang w:val="en-US" w:eastAsia="zh-CN"/>
                    </w:rPr>
                    <w:t>玻璃纤维</w:t>
                  </w:r>
                  <w:r>
                    <w:rPr>
                      <w:rFonts w:hint="eastAsia"/>
                      <w:color w:val="auto"/>
                      <w:szCs w:val="21"/>
                      <w:lang w:val="en-US" w:eastAsia="zh-CN"/>
                    </w:rPr>
                    <w:t>存放区</w:t>
                  </w:r>
                </w:p>
              </w:tc>
              <w:tc>
                <w:tcPr>
                  <w:tcW w:w="5107" w:type="dxa"/>
                  <w:gridSpan w:val="7"/>
                  <w:vAlign w:val="center"/>
                </w:tcPr>
                <w:p w14:paraId="3696A1DE">
                  <w:pPr>
                    <w:widowControl/>
                    <w:jc w:val="center"/>
                    <w:rPr>
                      <w:rFonts w:hint="eastAsia"/>
                      <w:color w:val="auto"/>
                      <w:spacing w:val="4"/>
                      <w:szCs w:val="21"/>
                    </w:rPr>
                  </w:pPr>
                  <w:r>
                    <w:rPr>
                      <w:rFonts w:hint="eastAsia"/>
                      <w:color w:val="auto"/>
                      <w:kern w:val="0"/>
                      <w:sz w:val="21"/>
                      <w:szCs w:val="21"/>
                      <w:lang w:val="en-US" w:eastAsia="zh-CN" w:bidi="ar"/>
                    </w:rPr>
                    <w:t>位于车间内西侧，建设隔墙用于划分存放区，隔墙采用轻钢龙骨骨架，外侧封彩钢板，墙高2.5m；面积344</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rFonts w:hint="eastAsia"/>
                      <w:color w:val="auto"/>
                      <w:szCs w:val="21"/>
                      <w:lang w:val="en-US" w:eastAsia="zh-CN"/>
                    </w:rPr>
                    <w:t>主要用于原料</w:t>
                  </w:r>
                  <w:r>
                    <w:rPr>
                      <w:rFonts w:hint="default"/>
                      <w:color w:val="auto"/>
                      <w:kern w:val="0"/>
                      <w:szCs w:val="21"/>
                      <w:lang w:val="en-US" w:eastAsia="zh-CN" w:bidi="ar"/>
                    </w:rPr>
                    <w:t>玻璃纤维</w:t>
                  </w:r>
                  <w:r>
                    <w:rPr>
                      <w:rFonts w:hint="eastAsia"/>
                      <w:color w:val="auto"/>
                      <w:szCs w:val="21"/>
                      <w:lang w:val="en-US" w:eastAsia="zh-CN"/>
                    </w:rPr>
                    <w:t>的存放，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zCs w:val="21"/>
                      <w:lang w:val="en-US" w:eastAsia="zh-CN"/>
                    </w:rPr>
                    <w:t>。</w:t>
                  </w:r>
                </w:p>
              </w:tc>
              <w:tc>
                <w:tcPr>
                  <w:tcW w:w="718" w:type="dxa"/>
                  <w:vAlign w:val="center"/>
                </w:tcPr>
                <w:p w14:paraId="581597B1">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7381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599" w:type="dxa"/>
                  <w:vMerge w:val="continue"/>
                  <w:vAlign w:val="center"/>
                </w:tcPr>
                <w:p w14:paraId="430310C5">
                  <w:pPr>
                    <w:widowControl/>
                    <w:jc w:val="center"/>
                    <w:textAlignment w:val="center"/>
                    <w:rPr>
                      <w:rFonts w:hint="eastAsia"/>
                      <w:color w:val="auto"/>
                      <w:kern w:val="0"/>
                      <w:szCs w:val="21"/>
                      <w:lang w:bidi="ar"/>
                    </w:rPr>
                  </w:pPr>
                </w:p>
              </w:tc>
              <w:tc>
                <w:tcPr>
                  <w:tcW w:w="599" w:type="dxa"/>
                  <w:vMerge w:val="continue"/>
                  <w:vAlign w:val="center"/>
                </w:tcPr>
                <w:p w14:paraId="73A963D9">
                  <w:pPr>
                    <w:widowControl/>
                    <w:jc w:val="center"/>
                    <w:textAlignment w:val="center"/>
                    <w:rPr>
                      <w:rFonts w:hint="eastAsia"/>
                      <w:color w:val="auto"/>
                      <w:kern w:val="0"/>
                      <w:szCs w:val="21"/>
                      <w:lang w:bidi="ar"/>
                    </w:rPr>
                  </w:pPr>
                </w:p>
              </w:tc>
              <w:tc>
                <w:tcPr>
                  <w:tcW w:w="974" w:type="dxa"/>
                  <w:vAlign w:val="center"/>
                </w:tcPr>
                <w:p w14:paraId="33540B55">
                  <w:pPr>
                    <w:widowControl/>
                    <w:jc w:val="center"/>
                    <w:rPr>
                      <w:rFonts w:hint="default"/>
                      <w:color w:val="auto"/>
                      <w:szCs w:val="21"/>
                      <w:lang w:val="en-US" w:eastAsia="zh-CN"/>
                    </w:rPr>
                  </w:pPr>
                  <w:r>
                    <w:rPr>
                      <w:rFonts w:hint="default"/>
                      <w:color w:val="auto"/>
                      <w:kern w:val="0"/>
                      <w:sz w:val="21"/>
                      <w:szCs w:val="21"/>
                      <w:lang w:val="en-US" w:eastAsia="zh-CN" w:bidi="ar"/>
                    </w:rPr>
                    <w:t>环氧树酯存放</w:t>
                  </w:r>
                  <w:r>
                    <w:rPr>
                      <w:rFonts w:hint="default"/>
                      <w:color w:val="auto"/>
                      <w:szCs w:val="21"/>
                      <w:lang w:val="en-US" w:eastAsia="zh-CN"/>
                    </w:rPr>
                    <w:t>区</w:t>
                  </w:r>
                </w:p>
              </w:tc>
              <w:tc>
                <w:tcPr>
                  <w:tcW w:w="5107" w:type="dxa"/>
                  <w:gridSpan w:val="7"/>
                  <w:vAlign w:val="center"/>
                </w:tcPr>
                <w:p w14:paraId="653679DF">
                  <w:pPr>
                    <w:widowControl/>
                    <w:jc w:val="center"/>
                    <w:rPr>
                      <w:rFonts w:hint="eastAsia"/>
                      <w:color w:val="auto"/>
                      <w:spacing w:val="4"/>
                      <w:szCs w:val="21"/>
                    </w:rPr>
                  </w:pPr>
                  <w:r>
                    <w:rPr>
                      <w:rFonts w:hint="eastAsia"/>
                      <w:color w:val="auto"/>
                      <w:kern w:val="0"/>
                      <w:sz w:val="21"/>
                      <w:szCs w:val="21"/>
                      <w:lang w:val="en-US" w:eastAsia="zh-CN" w:bidi="ar"/>
                    </w:rPr>
                    <w:t>位于车间内西侧，建设隔墙用于划分存放区，隔墙采用轻钢龙骨骨架，外侧封彩钢板，墙高2.5m；A区115m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，B区115m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，共230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rFonts w:hint="eastAsia"/>
                      <w:color w:val="auto"/>
                      <w:szCs w:val="21"/>
                      <w:lang w:val="en-US" w:eastAsia="zh-CN"/>
                    </w:rPr>
                    <w:t>主要用于原料环氧树脂存放，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zCs w:val="21"/>
                      <w:lang w:val="en-US" w:eastAsia="zh-CN"/>
                    </w:rPr>
                    <w:t>。</w:t>
                  </w:r>
                </w:p>
              </w:tc>
              <w:tc>
                <w:tcPr>
                  <w:tcW w:w="718" w:type="dxa"/>
                  <w:vAlign w:val="center"/>
                </w:tcPr>
                <w:p w14:paraId="30DDC2E3">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7712C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599" w:type="dxa"/>
                  <w:vMerge w:val="continue"/>
                  <w:vAlign w:val="center"/>
                </w:tcPr>
                <w:p w14:paraId="203608C8">
                  <w:pPr>
                    <w:widowControl/>
                    <w:jc w:val="center"/>
                    <w:textAlignment w:val="center"/>
                    <w:rPr>
                      <w:rFonts w:hint="eastAsia"/>
                      <w:color w:val="auto"/>
                      <w:kern w:val="0"/>
                      <w:szCs w:val="21"/>
                      <w:lang w:bidi="ar"/>
                    </w:rPr>
                  </w:pPr>
                </w:p>
              </w:tc>
              <w:tc>
                <w:tcPr>
                  <w:tcW w:w="599" w:type="dxa"/>
                  <w:vMerge w:val="continue"/>
                  <w:vAlign w:val="center"/>
                </w:tcPr>
                <w:p w14:paraId="0569D5D0">
                  <w:pPr>
                    <w:widowControl/>
                    <w:jc w:val="center"/>
                    <w:textAlignment w:val="center"/>
                    <w:rPr>
                      <w:rFonts w:hint="eastAsia"/>
                      <w:color w:val="auto"/>
                      <w:kern w:val="0"/>
                      <w:szCs w:val="21"/>
                      <w:lang w:bidi="ar"/>
                    </w:rPr>
                  </w:pPr>
                </w:p>
              </w:tc>
              <w:tc>
                <w:tcPr>
                  <w:tcW w:w="974" w:type="dxa"/>
                  <w:vAlign w:val="center"/>
                </w:tcPr>
                <w:p w14:paraId="3C1E8B2E">
                  <w:pPr>
                    <w:widowControl/>
                    <w:jc w:val="center"/>
                    <w:rPr>
                      <w:rFonts w:hint="default"/>
                      <w:color w:val="auto"/>
                      <w:szCs w:val="21"/>
                      <w:lang w:val="en-US" w:eastAsia="zh-CN"/>
                    </w:rPr>
                  </w:pPr>
                  <w:r>
                    <w:rPr>
                      <w:rFonts w:hint="eastAsia"/>
                      <w:color w:val="auto"/>
                      <w:szCs w:val="21"/>
                      <w:lang w:val="en-US" w:eastAsia="zh-CN"/>
                    </w:rPr>
                    <w:t>环氧树脂粉末存放区</w:t>
                  </w:r>
                </w:p>
              </w:tc>
              <w:tc>
                <w:tcPr>
                  <w:tcW w:w="5107" w:type="dxa"/>
                  <w:gridSpan w:val="7"/>
                  <w:vAlign w:val="center"/>
                </w:tcPr>
                <w:p w14:paraId="43ECF39F">
                  <w:pPr>
                    <w:widowControl/>
                    <w:jc w:val="center"/>
                    <w:rPr>
                      <w:rFonts w:hint="eastAsia"/>
                      <w:color w:val="auto"/>
                      <w:kern w:val="0"/>
                      <w:sz w:val="21"/>
                      <w:szCs w:val="21"/>
                      <w:lang w:val="en-US" w:eastAsia="zh-CN" w:bidi="ar"/>
                    </w:rPr>
                  </w:pPr>
                  <w:r>
                    <w:rPr>
                      <w:rFonts w:hint="eastAsia"/>
                      <w:color w:val="auto"/>
                      <w:kern w:val="0"/>
                      <w:sz w:val="21"/>
                      <w:szCs w:val="21"/>
                      <w:lang w:val="en-US" w:eastAsia="zh-CN" w:bidi="ar"/>
                    </w:rPr>
                    <w:t>位于车间内西侧，建设隔墙用于划分存放区，隔墙采用轻钢龙骨骨架，外侧封彩钢板，墙高2.5m；面积115m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，主要用于环氧粉末的存放，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kern w:val="0"/>
                      <w:sz w:val="21"/>
                      <w:szCs w:val="21"/>
                      <w:lang w:val="en-US" w:eastAsia="zh-CN" w:bidi="ar"/>
                    </w:rPr>
                    <w:t>。</w:t>
                  </w:r>
                </w:p>
              </w:tc>
              <w:tc>
                <w:tcPr>
                  <w:tcW w:w="718" w:type="dxa"/>
                  <w:vAlign w:val="center"/>
                </w:tcPr>
                <w:p w14:paraId="3707F8DB">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新建</w:t>
                  </w:r>
                </w:p>
              </w:tc>
            </w:tr>
            <w:tr w14:paraId="7212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599" w:type="dxa"/>
                  <w:vMerge w:val="continue"/>
                  <w:vAlign w:val="center"/>
                </w:tcPr>
                <w:p w14:paraId="6E61145F">
                  <w:pPr>
                    <w:widowControl/>
                    <w:jc w:val="center"/>
                    <w:textAlignment w:val="center"/>
                    <w:rPr>
                      <w:rFonts w:hint="eastAsia"/>
                      <w:color w:val="auto"/>
                      <w:kern w:val="0"/>
                      <w:szCs w:val="21"/>
                      <w:lang w:bidi="ar"/>
                    </w:rPr>
                  </w:pPr>
                </w:p>
              </w:tc>
              <w:tc>
                <w:tcPr>
                  <w:tcW w:w="599" w:type="dxa"/>
                  <w:vMerge w:val="continue"/>
                  <w:vAlign w:val="center"/>
                </w:tcPr>
                <w:p w14:paraId="3FFFD2E4">
                  <w:pPr>
                    <w:widowControl/>
                    <w:jc w:val="center"/>
                    <w:textAlignment w:val="center"/>
                    <w:rPr>
                      <w:rFonts w:hint="eastAsia"/>
                      <w:color w:val="auto"/>
                      <w:kern w:val="0"/>
                      <w:szCs w:val="21"/>
                      <w:lang w:bidi="ar"/>
                    </w:rPr>
                  </w:pPr>
                </w:p>
              </w:tc>
              <w:tc>
                <w:tcPr>
                  <w:tcW w:w="974" w:type="dxa"/>
                  <w:shd w:val="clear" w:color="auto" w:fill="auto"/>
                  <w:vAlign w:val="center"/>
                </w:tcPr>
                <w:p w14:paraId="23BE1F70">
                  <w:pPr>
                    <w:widowControl/>
                    <w:jc w:val="center"/>
                    <w:textAlignment w:val="center"/>
                    <w:rPr>
                      <w:rFonts w:hint="eastAsia"/>
                      <w:color w:val="auto"/>
                      <w:spacing w:val="2"/>
                      <w:szCs w:val="21"/>
                      <w:lang w:val="en-US" w:eastAsia="zh-CN"/>
                    </w:rPr>
                  </w:pPr>
                  <w:r>
                    <w:rPr>
                      <w:rFonts w:hint="eastAsia"/>
                      <w:color w:val="auto"/>
                      <w:spacing w:val="2"/>
                      <w:szCs w:val="21"/>
                      <w:lang w:val="en-US" w:eastAsia="zh-CN"/>
                    </w:rPr>
                    <w:t>原料</w:t>
                  </w:r>
                </w:p>
                <w:p w14:paraId="07579130">
                  <w:pPr>
                    <w:widowControl/>
                    <w:jc w:val="center"/>
                    <w:textAlignment w:val="center"/>
                    <w:rPr>
                      <w:rFonts w:hint="eastAsia" w:ascii="Times New Roman" w:hAnsi="Times New Roman" w:eastAsia="宋体" w:cs="Times New Roman"/>
                      <w:color w:val="auto"/>
                      <w:spacing w:val="2"/>
                      <w:kern w:val="2"/>
                      <w:sz w:val="21"/>
                      <w:szCs w:val="21"/>
                      <w:lang w:val="en-US" w:eastAsia="zh-CN" w:bidi="ar-SA"/>
                    </w:rPr>
                  </w:pPr>
                  <w:r>
                    <w:rPr>
                      <w:rFonts w:hint="eastAsia"/>
                      <w:color w:val="auto"/>
                      <w:spacing w:val="2"/>
                      <w:szCs w:val="21"/>
                      <w:lang w:val="en-US" w:eastAsia="zh-CN"/>
                    </w:rPr>
                    <w:t>仓库</w:t>
                  </w:r>
                </w:p>
              </w:tc>
              <w:tc>
                <w:tcPr>
                  <w:tcW w:w="5107" w:type="dxa"/>
                  <w:gridSpan w:val="7"/>
                  <w:shd w:val="clear" w:color="auto" w:fill="auto"/>
                  <w:vAlign w:val="center"/>
                </w:tcPr>
                <w:p w14:paraId="59EF045F">
                  <w:pPr>
                    <w:widowControl/>
                    <w:jc w:val="center"/>
                    <w:textAlignment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kern w:val="0"/>
                      <w:sz w:val="21"/>
                      <w:szCs w:val="21"/>
                      <w:lang w:val="en-US" w:eastAsia="zh-CN" w:bidi="ar"/>
                    </w:rPr>
                    <w:t>位于车间内西南侧，建设隔墙用于划分存放区，隔墙采用轻钢龙骨骨架，外侧封彩钢板，墙高2.5m；面积70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w:t>
                  </w:r>
                  <w:r>
                    <w:rPr>
                      <w:rFonts w:hint="eastAsia"/>
                      <w:color w:val="auto"/>
                      <w:spacing w:val="6"/>
                      <w:sz w:val="21"/>
                      <w:szCs w:val="21"/>
                      <w:lang w:val="en-US" w:eastAsia="zh-CN"/>
                    </w:rPr>
                    <w:t>原料钢丝、固化剂的存放，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ascii="宋体" w:hAnsi="宋体" w:eastAsia="宋体" w:cs="宋体"/>
                      <w:color w:val="auto"/>
                      <w:kern w:val="0"/>
                      <w:sz w:val="21"/>
                      <w:szCs w:val="21"/>
                      <w:lang w:val="en-US" w:eastAsia="zh-CN" w:bidi="ar"/>
                    </w:rPr>
                    <w:t>。</w:t>
                  </w:r>
                </w:p>
              </w:tc>
              <w:tc>
                <w:tcPr>
                  <w:tcW w:w="718" w:type="dxa"/>
                  <w:vAlign w:val="center"/>
                </w:tcPr>
                <w:p w14:paraId="616E72BF">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新建</w:t>
                  </w:r>
                </w:p>
              </w:tc>
            </w:tr>
            <w:tr w14:paraId="02F3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599" w:type="dxa"/>
                  <w:vMerge w:val="continue"/>
                  <w:vAlign w:val="center"/>
                </w:tcPr>
                <w:p w14:paraId="067447C0">
                  <w:pPr>
                    <w:widowControl/>
                    <w:jc w:val="center"/>
                    <w:textAlignment w:val="center"/>
                    <w:rPr>
                      <w:rFonts w:hint="eastAsia"/>
                      <w:color w:val="auto"/>
                      <w:kern w:val="0"/>
                      <w:szCs w:val="21"/>
                      <w:lang w:bidi="ar"/>
                    </w:rPr>
                  </w:pPr>
                </w:p>
              </w:tc>
              <w:tc>
                <w:tcPr>
                  <w:tcW w:w="599" w:type="dxa"/>
                  <w:vMerge w:val="continue"/>
                  <w:vAlign w:val="center"/>
                </w:tcPr>
                <w:p w14:paraId="212E48E9">
                  <w:pPr>
                    <w:widowControl/>
                    <w:jc w:val="center"/>
                    <w:textAlignment w:val="center"/>
                    <w:rPr>
                      <w:rFonts w:hint="eastAsia"/>
                      <w:color w:val="auto"/>
                      <w:kern w:val="0"/>
                      <w:szCs w:val="21"/>
                      <w:lang w:bidi="ar"/>
                    </w:rPr>
                  </w:pPr>
                </w:p>
              </w:tc>
              <w:tc>
                <w:tcPr>
                  <w:tcW w:w="974" w:type="dxa"/>
                  <w:shd w:val="clear" w:color="auto" w:fill="auto"/>
                  <w:vAlign w:val="center"/>
                </w:tcPr>
                <w:p w14:paraId="6EBE3307">
                  <w:pPr>
                    <w:widowControl/>
                    <w:jc w:val="center"/>
                    <w:rPr>
                      <w:rFonts w:hint="eastAsia"/>
                      <w:color w:val="auto"/>
                      <w:szCs w:val="21"/>
                      <w:lang w:val="en-US" w:eastAsia="zh-CN"/>
                    </w:rPr>
                  </w:pPr>
                  <w:r>
                    <w:rPr>
                      <w:rFonts w:hint="eastAsia"/>
                      <w:color w:val="auto"/>
                      <w:szCs w:val="21"/>
                      <w:lang w:val="en-US" w:eastAsia="zh-CN"/>
                    </w:rPr>
                    <w:t>成品区</w:t>
                  </w:r>
                </w:p>
              </w:tc>
              <w:tc>
                <w:tcPr>
                  <w:tcW w:w="5107" w:type="dxa"/>
                  <w:gridSpan w:val="7"/>
                  <w:shd w:val="clear" w:color="auto" w:fill="auto"/>
                  <w:vAlign w:val="center"/>
                </w:tcPr>
                <w:p w14:paraId="621AB4A2">
                  <w:pPr>
                    <w:widowControl/>
                    <w:jc w:val="center"/>
                    <w:textAlignment w:val="center"/>
                    <w:rPr>
                      <w:rFonts w:hint="default" w:ascii="Times New Roman" w:hAnsi="Times New Roman" w:eastAsia="宋体" w:cs="Times New Roman"/>
                      <w:color w:val="auto"/>
                      <w:spacing w:val="4"/>
                      <w:kern w:val="2"/>
                      <w:sz w:val="21"/>
                      <w:szCs w:val="21"/>
                      <w:lang w:val="en-US" w:eastAsia="zh-CN" w:bidi="ar-SA"/>
                    </w:rPr>
                  </w:pPr>
                  <w:r>
                    <w:rPr>
                      <w:rFonts w:hint="eastAsia"/>
                      <w:color w:val="auto"/>
                      <w:spacing w:val="4"/>
                      <w:sz w:val="21"/>
                      <w:szCs w:val="21"/>
                      <w:lang w:val="en-US" w:eastAsia="zh-CN"/>
                    </w:rPr>
                    <w:t>位</w:t>
                  </w:r>
                  <w:r>
                    <w:rPr>
                      <w:rFonts w:hint="eastAsia"/>
                      <w:color w:val="auto"/>
                      <w:spacing w:val="4"/>
                      <w:sz w:val="21"/>
                      <w:szCs w:val="21"/>
                    </w:rPr>
                    <w:t>于生产车间</w:t>
                  </w:r>
                  <w:r>
                    <w:rPr>
                      <w:rFonts w:hint="eastAsia"/>
                      <w:color w:val="auto"/>
                      <w:spacing w:val="4"/>
                      <w:sz w:val="21"/>
                      <w:szCs w:val="21"/>
                      <w:lang w:val="en-US" w:eastAsia="zh-CN"/>
                    </w:rPr>
                    <w:t>外东侧，面积10000m</w:t>
                  </w:r>
                  <w:r>
                    <w:rPr>
                      <w:rFonts w:hint="eastAsia"/>
                      <w:color w:val="auto"/>
                      <w:spacing w:val="4"/>
                      <w:sz w:val="21"/>
                      <w:szCs w:val="21"/>
                      <w:vertAlign w:val="superscript"/>
                      <w:lang w:val="en-US" w:eastAsia="zh-CN"/>
                    </w:rPr>
                    <w:t>2</w:t>
                  </w:r>
                  <w:r>
                    <w:rPr>
                      <w:rFonts w:hint="eastAsia"/>
                      <w:color w:val="auto"/>
                      <w:spacing w:val="4"/>
                      <w:sz w:val="21"/>
                      <w:szCs w:val="21"/>
                      <w:lang w:val="en-US" w:eastAsia="zh-CN"/>
                    </w:rPr>
                    <w:t>，用于露天存放成品环氧玻璃纤维高压管道，</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pacing w:val="4"/>
                      <w:sz w:val="21"/>
                      <w:szCs w:val="21"/>
                      <w:lang w:val="en-US" w:eastAsia="zh-CN"/>
                    </w:rPr>
                    <w:t>。</w:t>
                  </w:r>
                </w:p>
              </w:tc>
              <w:tc>
                <w:tcPr>
                  <w:tcW w:w="718" w:type="dxa"/>
                  <w:shd w:val="clear" w:color="auto" w:fill="auto"/>
                  <w:vAlign w:val="center"/>
                </w:tcPr>
                <w:p w14:paraId="60481E8F">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已建成/依托</w:t>
                  </w:r>
                </w:p>
              </w:tc>
            </w:tr>
            <w:tr w14:paraId="2F94B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599" w:type="dxa"/>
                  <w:vMerge w:val="continue"/>
                  <w:vAlign w:val="center"/>
                </w:tcPr>
                <w:p w14:paraId="488EF270">
                  <w:pPr>
                    <w:widowControl/>
                    <w:jc w:val="center"/>
                    <w:textAlignment w:val="center"/>
                    <w:rPr>
                      <w:rFonts w:hint="eastAsia"/>
                      <w:color w:val="auto"/>
                      <w:kern w:val="0"/>
                      <w:szCs w:val="21"/>
                      <w:lang w:bidi="ar"/>
                    </w:rPr>
                  </w:pPr>
                </w:p>
              </w:tc>
              <w:tc>
                <w:tcPr>
                  <w:tcW w:w="599" w:type="dxa"/>
                  <w:vMerge w:val="continue"/>
                  <w:vAlign w:val="center"/>
                </w:tcPr>
                <w:p w14:paraId="4027D6E6">
                  <w:pPr>
                    <w:widowControl/>
                    <w:jc w:val="center"/>
                    <w:textAlignment w:val="center"/>
                    <w:rPr>
                      <w:rFonts w:hint="eastAsia"/>
                      <w:color w:val="auto"/>
                      <w:kern w:val="0"/>
                      <w:szCs w:val="21"/>
                      <w:lang w:bidi="ar"/>
                    </w:rPr>
                  </w:pPr>
                </w:p>
              </w:tc>
              <w:tc>
                <w:tcPr>
                  <w:tcW w:w="974" w:type="dxa"/>
                  <w:shd w:val="clear" w:color="auto" w:fill="auto"/>
                  <w:vAlign w:val="center"/>
                </w:tcPr>
                <w:p w14:paraId="16B96DD6">
                  <w:pPr>
                    <w:widowControl/>
                    <w:jc w:val="center"/>
                    <w:rPr>
                      <w:rFonts w:hint="default"/>
                      <w:color w:val="auto"/>
                      <w:szCs w:val="21"/>
                      <w:lang w:val="en-US" w:eastAsia="zh-CN"/>
                    </w:rPr>
                  </w:pPr>
                  <w:r>
                    <w:rPr>
                      <w:rFonts w:hint="eastAsia"/>
                      <w:color w:val="auto"/>
                      <w:szCs w:val="21"/>
                      <w:lang w:val="en-US" w:eastAsia="zh-CN"/>
                    </w:rPr>
                    <w:t>道路</w:t>
                  </w:r>
                </w:p>
              </w:tc>
              <w:tc>
                <w:tcPr>
                  <w:tcW w:w="5107" w:type="dxa"/>
                  <w:gridSpan w:val="7"/>
                  <w:shd w:val="clear" w:color="auto" w:fill="auto"/>
                  <w:vAlign w:val="center"/>
                </w:tcPr>
                <w:p w14:paraId="6F64B9F3">
                  <w:pPr>
                    <w:widowControl/>
                    <w:jc w:val="center"/>
                    <w:textAlignment w:val="center"/>
                    <w:rPr>
                      <w:rFonts w:hint="default"/>
                      <w:color w:val="auto"/>
                      <w:spacing w:val="4"/>
                      <w:sz w:val="21"/>
                      <w:szCs w:val="21"/>
                      <w:lang w:val="en-US" w:eastAsia="zh-CN"/>
                    </w:rPr>
                  </w:pPr>
                  <w:r>
                    <w:rPr>
                      <w:rFonts w:hint="eastAsia"/>
                      <w:color w:val="auto"/>
                      <w:spacing w:val="4"/>
                      <w:sz w:val="21"/>
                      <w:szCs w:val="21"/>
                      <w:lang w:val="en-US" w:eastAsia="zh-CN"/>
                    </w:rPr>
                    <w:t>本项目园区内部已建成道路。</w:t>
                  </w:r>
                </w:p>
              </w:tc>
              <w:tc>
                <w:tcPr>
                  <w:tcW w:w="718" w:type="dxa"/>
                  <w:shd w:val="clear" w:color="auto" w:fill="auto"/>
                  <w:vAlign w:val="center"/>
                </w:tcPr>
                <w:p w14:paraId="2F860A20">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w:t>
                  </w:r>
                </w:p>
              </w:tc>
            </w:tr>
            <w:tr w14:paraId="261F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599" w:type="dxa"/>
                  <w:vMerge w:val="continue"/>
                  <w:vAlign w:val="center"/>
                </w:tcPr>
                <w:p w14:paraId="5FFF94F0">
                  <w:pPr>
                    <w:widowControl/>
                    <w:jc w:val="center"/>
                    <w:textAlignment w:val="center"/>
                    <w:rPr>
                      <w:rFonts w:hint="eastAsia"/>
                      <w:color w:val="auto"/>
                      <w:kern w:val="0"/>
                      <w:szCs w:val="21"/>
                      <w:lang w:bidi="ar"/>
                    </w:rPr>
                  </w:pPr>
                </w:p>
              </w:tc>
              <w:tc>
                <w:tcPr>
                  <w:tcW w:w="599" w:type="dxa"/>
                  <w:vMerge w:val="restart"/>
                  <w:vAlign w:val="center"/>
                </w:tcPr>
                <w:p w14:paraId="36A5F130">
                  <w:pPr>
                    <w:widowControl/>
                    <w:jc w:val="center"/>
                    <w:textAlignment w:val="center"/>
                    <w:rPr>
                      <w:color w:val="auto"/>
                      <w:kern w:val="0"/>
                      <w:szCs w:val="21"/>
                      <w:lang w:bidi="ar"/>
                    </w:rPr>
                  </w:pPr>
                  <w:r>
                    <w:rPr>
                      <w:rFonts w:hint="eastAsia"/>
                      <w:color w:val="auto"/>
                      <w:kern w:val="0"/>
                      <w:szCs w:val="21"/>
                      <w:lang w:bidi="ar"/>
                    </w:rPr>
                    <w:t>辅助工程</w:t>
                  </w:r>
                </w:p>
              </w:tc>
              <w:tc>
                <w:tcPr>
                  <w:tcW w:w="974" w:type="dxa"/>
                  <w:shd w:val="clear" w:color="auto" w:fill="auto"/>
                  <w:vAlign w:val="center"/>
                </w:tcPr>
                <w:p w14:paraId="57C1B9C8">
                  <w:pPr>
                    <w:widowControl/>
                    <w:jc w:val="center"/>
                    <w:textAlignment w:val="center"/>
                    <w:rPr>
                      <w:rFonts w:hint="eastAsia"/>
                      <w:color w:val="auto"/>
                      <w:spacing w:val="2"/>
                      <w:szCs w:val="21"/>
                      <w:lang w:val="en-US" w:eastAsia="zh-CN"/>
                    </w:rPr>
                  </w:pPr>
                  <w:r>
                    <w:rPr>
                      <w:rFonts w:hint="eastAsia"/>
                      <w:color w:val="auto"/>
                      <w:spacing w:val="2"/>
                      <w:szCs w:val="21"/>
                      <w:lang w:val="en-US" w:eastAsia="zh-CN"/>
                    </w:rPr>
                    <w:t>配料</w:t>
                  </w:r>
                </w:p>
                <w:p w14:paraId="47193A63">
                  <w:pPr>
                    <w:widowControl/>
                    <w:jc w:val="center"/>
                    <w:textAlignment w:val="center"/>
                    <w:rPr>
                      <w:rFonts w:hint="default"/>
                      <w:color w:val="auto"/>
                      <w:spacing w:val="2"/>
                      <w:szCs w:val="21"/>
                      <w:lang w:val="en-US" w:eastAsia="zh-CN"/>
                    </w:rPr>
                  </w:pPr>
                  <w:r>
                    <w:rPr>
                      <w:rFonts w:hint="eastAsia"/>
                      <w:color w:val="auto"/>
                      <w:spacing w:val="2"/>
                      <w:szCs w:val="21"/>
                      <w:lang w:val="en-US" w:eastAsia="zh-CN"/>
                    </w:rPr>
                    <w:t>车间</w:t>
                  </w:r>
                </w:p>
              </w:tc>
              <w:tc>
                <w:tcPr>
                  <w:tcW w:w="5107" w:type="dxa"/>
                  <w:gridSpan w:val="7"/>
                  <w:shd w:val="clear" w:color="auto" w:fill="auto"/>
                  <w:vAlign w:val="center"/>
                </w:tcPr>
                <w:p w14:paraId="293BC30E">
                  <w:pPr>
                    <w:keepNext w:val="0"/>
                    <w:keepLines w:val="0"/>
                    <w:widowControl/>
                    <w:suppressLineNumbers w:val="0"/>
                    <w:jc w:val="center"/>
                    <w:rPr>
                      <w:rFonts w:hint="eastAsia"/>
                      <w:color w:val="auto"/>
                      <w:kern w:val="0"/>
                      <w:sz w:val="21"/>
                      <w:szCs w:val="21"/>
                      <w:lang w:val="en-US" w:eastAsia="zh-CN" w:bidi="ar"/>
                    </w:rPr>
                  </w:pPr>
                  <w:r>
                    <w:rPr>
                      <w:rFonts w:hint="eastAsia"/>
                      <w:color w:val="auto"/>
                      <w:kern w:val="0"/>
                      <w:sz w:val="21"/>
                      <w:szCs w:val="21"/>
                      <w:lang w:val="en-US" w:eastAsia="zh-CN" w:bidi="ar"/>
                    </w:rPr>
                    <w:t>位于车间内西南侧，建设隔墙用于划分存放区，隔墙采用轻钢龙骨骨架，外侧封彩钢板，墙高2.5m；面积25</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w:t>
                  </w:r>
                  <w:r>
                    <w:rPr>
                      <w:rFonts w:hint="eastAsia"/>
                      <w:color w:val="auto"/>
                      <w:spacing w:val="6"/>
                      <w:sz w:val="21"/>
                      <w:szCs w:val="21"/>
                      <w:lang w:val="en-US" w:eastAsia="zh-CN"/>
                    </w:rPr>
                    <w:t>调配环氧树脂和固化剂，调配完成后使用洁净干燥的PE/PP塑料桶使用搬运车运送至</w:t>
                  </w:r>
                  <w:r>
                    <w:rPr>
                      <w:rFonts w:hint="eastAsia"/>
                      <w:color w:val="auto"/>
                      <w:szCs w:val="21"/>
                      <w:lang w:val="en-US" w:eastAsia="zh-CN"/>
                    </w:rPr>
                    <w:t>管道生产区投入浸润槽，</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pacing w:val="6"/>
                      <w:sz w:val="21"/>
                      <w:szCs w:val="21"/>
                      <w:lang w:val="en-US" w:eastAsia="zh-CN"/>
                    </w:rPr>
                    <w:t>。</w:t>
                  </w:r>
                </w:p>
              </w:tc>
              <w:tc>
                <w:tcPr>
                  <w:tcW w:w="718" w:type="dxa"/>
                  <w:shd w:val="clear" w:color="auto" w:fill="auto"/>
                  <w:vAlign w:val="center"/>
                </w:tcPr>
                <w:p w14:paraId="14ED925F">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2A2A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6A871074">
                  <w:pPr>
                    <w:widowControl/>
                    <w:jc w:val="center"/>
                    <w:textAlignment w:val="center"/>
                    <w:rPr>
                      <w:rFonts w:hint="eastAsia"/>
                      <w:color w:val="auto"/>
                      <w:kern w:val="0"/>
                      <w:szCs w:val="21"/>
                      <w:lang w:bidi="ar"/>
                    </w:rPr>
                  </w:pPr>
                </w:p>
              </w:tc>
              <w:tc>
                <w:tcPr>
                  <w:tcW w:w="599" w:type="dxa"/>
                  <w:vMerge w:val="continue"/>
                  <w:vAlign w:val="center"/>
                </w:tcPr>
                <w:p w14:paraId="74043D11">
                  <w:pPr>
                    <w:widowControl/>
                    <w:jc w:val="center"/>
                    <w:textAlignment w:val="center"/>
                    <w:rPr>
                      <w:rFonts w:hint="eastAsia"/>
                      <w:color w:val="auto"/>
                      <w:kern w:val="0"/>
                      <w:szCs w:val="21"/>
                      <w:lang w:bidi="ar"/>
                    </w:rPr>
                  </w:pPr>
                </w:p>
              </w:tc>
              <w:tc>
                <w:tcPr>
                  <w:tcW w:w="974" w:type="dxa"/>
                  <w:shd w:val="clear" w:color="auto" w:fill="auto"/>
                  <w:vAlign w:val="center"/>
                </w:tcPr>
                <w:p w14:paraId="70215B29">
                  <w:pPr>
                    <w:widowControl/>
                    <w:jc w:val="center"/>
                    <w:textAlignment w:val="center"/>
                    <w:rPr>
                      <w:rFonts w:hint="eastAsia"/>
                      <w:color w:val="auto"/>
                      <w:spacing w:val="2"/>
                      <w:szCs w:val="21"/>
                    </w:rPr>
                  </w:pPr>
                  <w:r>
                    <w:rPr>
                      <w:rFonts w:hint="eastAsia"/>
                      <w:color w:val="auto"/>
                      <w:spacing w:val="2"/>
                      <w:szCs w:val="21"/>
                    </w:rPr>
                    <w:t>资料及库管办公室</w:t>
                  </w:r>
                </w:p>
              </w:tc>
              <w:tc>
                <w:tcPr>
                  <w:tcW w:w="5107" w:type="dxa"/>
                  <w:gridSpan w:val="7"/>
                  <w:shd w:val="clear" w:color="auto" w:fill="auto"/>
                  <w:vAlign w:val="center"/>
                </w:tcPr>
                <w:p w14:paraId="4CFA107C">
                  <w:pPr>
                    <w:widowControl/>
                    <w:jc w:val="center"/>
                    <w:textAlignment w:val="center"/>
                    <w:rPr>
                      <w:rFonts w:hint="default" w:eastAsia="宋体"/>
                      <w:color w:val="auto"/>
                      <w:spacing w:val="4"/>
                      <w:sz w:val="21"/>
                      <w:szCs w:val="21"/>
                      <w:lang w:val="en-US" w:eastAsia="zh-CN"/>
                    </w:rPr>
                  </w:pPr>
                  <w:r>
                    <w:rPr>
                      <w:rFonts w:hint="eastAsia"/>
                      <w:color w:val="auto"/>
                      <w:kern w:val="0"/>
                      <w:sz w:val="21"/>
                      <w:szCs w:val="21"/>
                      <w:lang w:val="en-US" w:eastAsia="zh-CN" w:bidi="ar"/>
                    </w:rPr>
                    <w:t>位于车间内东北侧，建设隔墙用于划分存放区，隔墙采用轻钢龙骨骨架，外侧封彩钢板，墙高2.5m；面积50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rFonts w:hint="eastAsia"/>
                      <w:color w:val="auto"/>
                      <w:spacing w:val="4"/>
                      <w:sz w:val="21"/>
                      <w:szCs w:val="21"/>
                      <w:lang w:val="en-US" w:eastAsia="zh-CN"/>
                    </w:rPr>
                    <w:t>主要用于存放资料及办公室</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pacing w:val="4"/>
                      <w:sz w:val="21"/>
                      <w:szCs w:val="21"/>
                      <w:lang w:val="en-US" w:eastAsia="zh-CN"/>
                    </w:rPr>
                    <w:t>。</w:t>
                  </w:r>
                </w:p>
              </w:tc>
              <w:tc>
                <w:tcPr>
                  <w:tcW w:w="718" w:type="dxa"/>
                  <w:shd w:val="clear" w:color="auto" w:fill="auto"/>
                  <w:vAlign w:val="center"/>
                </w:tcPr>
                <w:p w14:paraId="01584065">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2F08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9" w:type="dxa"/>
                  <w:vMerge w:val="continue"/>
                  <w:vAlign w:val="center"/>
                </w:tcPr>
                <w:p w14:paraId="233D4E2B">
                  <w:pPr>
                    <w:widowControl/>
                    <w:jc w:val="center"/>
                    <w:textAlignment w:val="center"/>
                    <w:rPr>
                      <w:rFonts w:hint="eastAsia"/>
                      <w:color w:val="auto"/>
                      <w:kern w:val="0"/>
                      <w:szCs w:val="21"/>
                      <w:lang w:bidi="ar"/>
                    </w:rPr>
                  </w:pPr>
                </w:p>
              </w:tc>
              <w:tc>
                <w:tcPr>
                  <w:tcW w:w="599" w:type="dxa"/>
                  <w:vMerge w:val="continue"/>
                  <w:vAlign w:val="center"/>
                </w:tcPr>
                <w:p w14:paraId="40656397">
                  <w:pPr>
                    <w:widowControl/>
                    <w:jc w:val="center"/>
                    <w:textAlignment w:val="center"/>
                    <w:rPr>
                      <w:rFonts w:hint="eastAsia"/>
                      <w:color w:val="auto"/>
                      <w:kern w:val="0"/>
                      <w:szCs w:val="21"/>
                      <w:lang w:bidi="ar"/>
                    </w:rPr>
                  </w:pPr>
                </w:p>
              </w:tc>
              <w:tc>
                <w:tcPr>
                  <w:tcW w:w="974" w:type="dxa"/>
                  <w:shd w:val="clear" w:color="auto" w:fill="auto"/>
                  <w:vAlign w:val="center"/>
                </w:tcPr>
                <w:p w14:paraId="19C261A0">
                  <w:pPr>
                    <w:widowControl/>
                    <w:jc w:val="center"/>
                    <w:textAlignment w:val="center"/>
                    <w:rPr>
                      <w:rFonts w:hint="eastAsia"/>
                      <w:color w:val="auto"/>
                      <w:spacing w:val="2"/>
                      <w:szCs w:val="21"/>
                      <w:highlight w:val="none"/>
                    </w:rPr>
                  </w:pPr>
                  <w:r>
                    <w:rPr>
                      <w:rFonts w:hint="eastAsia"/>
                      <w:color w:val="auto"/>
                      <w:spacing w:val="2"/>
                      <w:szCs w:val="21"/>
                      <w:highlight w:val="none"/>
                      <w:lang w:val="en-US" w:eastAsia="zh-CN"/>
                    </w:rPr>
                    <w:t>检测</w:t>
                  </w:r>
                  <w:r>
                    <w:rPr>
                      <w:rFonts w:hint="eastAsia"/>
                      <w:color w:val="auto"/>
                      <w:spacing w:val="2"/>
                      <w:szCs w:val="21"/>
                      <w:highlight w:val="none"/>
                    </w:rPr>
                    <w:t>室</w:t>
                  </w:r>
                </w:p>
              </w:tc>
              <w:tc>
                <w:tcPr>
                  <w:tcW w:w="5107" w:type="dxa"/>
                  <w:gridSpan w:val="7"/>
                  <w:shd w:val="clear" w:color="auto" w:fill="auto"/>
                  <w:vAlign w:val="center"/>
                </w:tcPr>
                <w:p w14:paraId="3355F3E3">
                  <w:pPr>
                    <w:widowControl/>
                    <w:jc w:val="center"/>
                    <w:textAlignment w:val="center"/>
                    <w:rPr>
                      <w:rFonts w:hint="eastAsia" w:eastAsia="宋体"/>
                      <w:color w:val="auto"/>
                      <w:spacing w:val="4"/>
                      <w:sz w:val="21"/>
                      <w:szCs w:val="21"/>
                      <w:highlight w:val="none"/>
                      <w:lang w:val="en-US" w:eastAsia="zh-CN"/>
                    </w:rPr>
                  </w:pPr>
                  <w:r>
                    <w:rPr>
                      <w:rFonts w:hint="eastAsia"/>
                      <w:color w:val="auto"/>
                      <w:kern w:val="0"/>
                      <w:sz w:val="21"/>
                      <w:szCs w:val="21"/>
                      <w:highlight w:val="none"/>
                      <w:lang w:val="en-US" w:eastAsia="zh-CN" w:bidi="ar"/>
                    </w:rPr>
                    <w:t>位于车间内东北侧，</w:t>
                  </w:r>
                  <w:r>
                    <w:rPr>
                      <w:rFonts w:hint="eastAsia"/>
                      <w:color w:val="auto"/>
                      <w:kern w:val="0"/>
                      <w:sz w:val="21"/>
                      <w:szCs w:val="21"/>
                      <w:lang w:val="en-US" w:eastAsia="zh-CN" w:bidi="ar"/>
                    </w:rPr>
                    <w:t>建设隔墙用于划分存放区，隔墙采用轻钢龙骨骨架，外侧封彩钢板，墙高2.5m；</w:t>
                  </w:r>
                  <w:r>
                    <w:rPr>
                      <w:rFonts w:hint="eastAsia"/>
                      <w:color w:val="auto"/>
                      <w:kern w:val="0"/>
                      <w:sz w:val="21"/>
                      <w:szCs w:val="21"/>
                      <w:highlight w:val="none"/>
                      <w:lang w:val="en-US" w:eastAsia="zh-CN" w:bidi="ar"/>
                    </w:rPr>
                    <w:t>面积50</w:t>
                  </w:r>
                  <w:r>
                    <w:rPr>
                      <w:rFonts w:hint="eastAsia"/>
                      <w:color w:val="auto"/>
                      <w:kern w:val="0"/>
                      <w:sz w:val="21"/>
                      <w:szCs w:val="21"/>
                      <w:highlight w:val="none"/>
                      <w:lang w:bidi="ar"/>
                    </w:rPr>
                    <w:t>m</w:t>
                  </w:r>
                  <w:r>
                    <w:rPr>
                      <w:rFonts w:hint="eastAsia"/>
                      <w:color w:val="auto"/>
                      <w:kern w:val="0"/>
                      <w:sz w:val="21"/>
                      <w:szCs w:val="21"/>
                      <w:highlight w:val="none"/>
                      <w:vertAlign w:val="superscript"/>
                      <w:lang w:bidi="ar"/>
                    </w:rPr>
                    <w:t>2</w:t>
                  </w:r>
                  <w:r>
                    <w:rPr>
                      <w:rFonts w:hint="eastAsia"/>
                      <w:color w:val="auto"/>
                      <w:kern w:val="0"/>
                      <w:sz w:val="21"/>
                      <w:szCs w:val="21"/>
                      <w:highlight w:val="none"/>
                      <w:lang w:eastAsia="zh-CN" w:bidi="ar"/>
                    </w:rPr>
                    <w:t>，</w:t>
                  </w:r>
                  <w:r>
                    <w:rPr>
                      <w:color w:val="auto"/>
                      <w:spacing w:val="6"/>
                      <w:sz w:val="21"/>
                      <w:szCs w:val="21"/>
                      <w:highlight w:val="none"/>
                    </w:rPr>
                    <w:t>主要用于</w:t>
                  </w:r>
                  <w:r>
                    <w:rPr>
                      <w:rFonts w:hint="eastAsia"/>
                      <w:color w:val="auto"/>
                      <w:spacing w:val="6"/>
                      <w:sz w:val="21"/>
                      <w:szCs w:val="21"/>
                      <w:highlight w:val="none"/>
                      <w:lang w:val="en-US" w:eastAsia="zh-CN"/>
                    </w:rPr>
                    <w:t>使用仪器检测产品阻燃性和抗静电</w:t>
                  </w:r>
                  <w:r>
                    <w:rPr>
                      <w:rFonts w:hint="eastAsia"/>
                      <w:color w:val="auto"/>
                      <w:lang w:val="en-US" w:eastAsia="zh-CN"/>
                    </w:rPr>
                    <w:t>性，</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lang w:val="en-US" w:eastAsia="zh-CN"/>
                    </w:rPr>
                    <w:t>。</w:t>
                  </w:r>
                </w:p>
              </w:tc>
              <w:tc>
                <w:tcPr>
                  <w:tcW w:w="718" w:type="dxa"/>
                  <w:shd w:val="clear" w:color="auto" w:fill="auto"/>
                  <w:vAlign w:val="center"/>
                </w:tcPr>
                <w:p w14:paraId="11281ABC">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0EE7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99" w:type="dxa"/>
                  <w:vMerge w:val="continue"/>
                  <w:vAlign w:val="center"/>
                </w:tcPr>
                <w:p w14:paraId="14CE837E">
                  <w:pPr>
                    <w:widowControl/>
                    <w:jc w:val="center"/>
                    <w:textAlignment w:val="center"/>
                    <w:rPr>
                      <w:rFonts w:hint="eastAsia"/>
                      <w:color w:val="auto"/>
                      <w:kern w:val="0"/>
                      <w:szCs w:val="21"/>
                      <w:lang w:bidi="ar"/>
                    </w:rPr>
                  </w:pPr>
                </w:p>
              </w:tc>
              <w:tc>
                <w:tcPr>
                  <w:tcW w:w="599" w:type="dxa"/>
                  <w:vMerge w:val="restart"/>
                  <w:vAlign w:val="center"/>
                </w:tcPr>
                <w:p w14:paraId="2A7893C5">
                  <w:pPr>
                    <w:widowControl/>
                    <w:jc w:val="center"/>
                    <w:textAlignment w:val="center"/>
                    <w:rPr>
                      <w:color w:val="auto"/>
                    </w:rPr>
                  </w:pPr>
                  <w:r>
                    <w:rPr>
                      <w:rFonts w:hint="eastAsia"/>
                      <w:color w:val="auto"/>
                      <w:kern w:val="0"/>
                      <w:szCs w:val="21"/>
                      <w:lang w:bidi="ar"/>
                    </w:rPr>
                    <w:t>公用工程</w:t>
                  </w:r>
                </w:p>
              </w:tc>
              <w:tc>
                <w:tcPr>
                  <w:tcW w:w="974" w:type="dxa"/>
                  <w:vAlign w:val="center"/>
                </w:tcPr>
                <w:p w14:paraId="6CC97CEB">
                  <w:pPr>
                    <w:widowControl/>
                    <w:jc w:val="center"/>
                    <w:textAlignment w:val="center"/>
                    <w:rPr>
                      <w:color w:val="auto"/>
                      <w:kern w:val="0"/>
                      <w:szCs w:val="21"/>
                      <w:lang w:bidi="ar"/>
                    </w:rPr>
                  </w:pPr>
                  <w:r>
                    <w:rPr>
                      <w:rFonts w:hint="eastAsia"/>
                      <w:color w:val="auto"/>
                      <w:kern w:val="0"/>
                      <w:szCs w:val="21"/>
                      <w:lang w:bidi="ar"/>
                    </w:rPr>
                    <w:t>供水</w:t>
                  </w:r>
                </w:p>
              </w:tc>
              <w:tc>
                <w:tcPr>
                  <w:tcW w:w="5107" w:type="dxa"/>
                  <w:gridSpan w:val="7"/>
                  <w:vAlign w:val="center"/>
                </w:tcPr>
                <w:p w14:paraId="241D60C2">
                  <w:pPr>
                    <w:widowControl/>
                    <w:jc w:val="center"/>
                    <w:textAlignment w:val="center"/>
                    <w:rPr>
                      <w:rFonts w:hint="eastAsia" w:eastAsia="宋体"/>
                      <w:color w:val="auto"/>
                      <w:kern w:val="0"/>
                      <w:szCs w:val="21"/>
                      <w:lang w:eastAsia="zh-CN" w:bidi="ar"/>
                    </w:rPr>
                  </w:pPr>
                  <w:r>
                    <w:rPr>
                      <w:rFonts w:hint="eastAsia"/>
                      <w:color w:val="auto"/>
                      <w:kern w:val="0"/>
                      <w:szCs w:val="21"/>
                      <w:lang w:bidi="ar"/>
                    </w:rPr>
                    <w:t>本项目由园区供水管网提供</w:t>
                  </w:r>
                  <w:r>
                    <w:rPr>
                      <w:rFonts w:hint="eastAsia"/>
                      <w:color w:val="auto"/>
                      <w:kern w:val="0"/>
                      <w:szCs w:val="21"/>
                      <w:lang w:eastAsia="zh-CN" w:bidi="ar"/>
                    </w:rPr>
                    <w:t>。</w:t>
                  </w:r>
                </w:p>
              </w:tc>
              <w:tc>
                <w:tcPr>
                  <w:tcW w:w="718" w:type="dxa"/>
                  <w:vAlign w:val="center"/>
                </w:tcPr>
                <w:p w14:paraId="584897BF">
                  <w:pPr>
                    <w:widowControl/>
                    <w:jc w:val="center"/>
                    <w:rPr>
                      <w:color w:val="auto"/>
                      <w:kern w:val="0"/>
                      <w:szCs w:val="21"/>
                      <w:lang w:bidi="ar"/>
                    </w:rPr>
                  </w:pPr>
                  <w:r>
                    <w:rPr>
                      <w:rFonts w:hint="eastAsia" w:ascii="宋体" w:hAnsi="宋体" w:cs="宋体"/>
                      <w:color w:val="auto"/>
                      <w:kern w:val="0"/>
                      <w:szCs w:val="21"/>
                      <w:lang w:bidi="ar"/>
                    </w:rPr>
                    <w:t>依托</w:t>
                  </w:r>
                </w:p>
              </w:tc>
            </w:tr>
            <w:tr w14:paraId="55B9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599" w:type="dxa"/>
                  <w:vMerge w:val="continue"/>
                  <w:vAlign w:val="center"/>
                </w:tcPr>
                <w:p w14:paraId="1B210020">
                  <w:pPr>
                    <w:widowControl/>
                    <w:jc w:val="center"/>
                    <w:textAlignment w:val="center"/>
                    <w:rPr>
                      <w:rFonts w:hint="eastAsia"/>
                      <w:color w:val="auto"/>
                      <w:kern w:val="0"/>
                      <w:szCs w:val="21"/>
                      <w:lang w:bidi="ar"/>
                    </w:rPr>
                  </w:pPr>
                </w:p>
              </w:tc>
              <w:tc>
                <w:tcPr>
                  <w:tcW w:w="599" w:type="dxa"/>
                  <w:vMerge w:val="continue"/>
                  <w:vAlign w:val="center"/>
                </w:tcPr>
                <w:p w14:paraId="3F7C3411">
                  <w:pPr>
                    <w:widowControl/>
                    <w:jc w:val="center"/>
                    <w:textAlignment w:val="center"/>
                    <w:rPr>
                      <w:rFonts w:hint="eastAsia"/>
                      <w:color w:val="auto"/>
                      <w:kern w:val="0"/>
                      <w:szCs w:val="21"/>
                      <w:lang w:bidi="ar"/>
                    </w:rPr>
                  </w:pPr>
                </w:p>
              </w:tc>
              <w:tc>
                <w:tcPr>
                  <w:tcW w:w="974" w:type="dxa"/>
                  <w:vAlign w:val="center"/>
                </w:tcPr>
                <w:p w14:paraId="58D611B1">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排水</w:t>
                  </w:r>
                </w:p>
              </w:tc>
              <w:tc>
                <w:tcPr>
                  <w:tcW w:w="5107" w:type="dxa"/>
                  <w:gridSpan w:val="7"/>
                  <w:vAlign w:val="center"/>
                </w:tcPr>
                <w:p w14:paraId="48444006">
                  <w:pPr>
                    <w:widowControl/>
                    <w:jc w:val="center"/>
                    <w:textAlignment w:val="center"/>
                    <w:rPr>
                      <w:rFonts w:hint="eastAsia"/>
                      <w:color w:val="auto"/>
                      <w:kern w:val="0"/>
                      <w:szCs w:val="21"/>
                      <w:lang w:bidi="ar"/>
                    </w:rPr>
                  </w:pPr>
                  <w:r>
                    <w:rPr>
                      <w:rFonts w:hint="eastAsia"/>
                      <w:color w:val="auto"/>
                      <w:kern w:val="0"/>
                      <w:szCs w:val="21"/>
                      <w:lang w:bidi="ar"/>
                    </w:rPr>
                    <w:t>生活污水经园区化粪池处理后，接管排入</w:t>
                  </w:r>
                  <w:r>
                    <w:rPr>
                      <w:rFonts w:hint="eastAsia"/>
                      <w:color w:val="auto"/>
                      <w:kern w:val="0"/>
                      <w:szCs w:val="21"/>
                      <w:lang w:eastAsia="zh-CN" w:bidi="ar"/>
                    </w:rPr>
                    <w:t>内蒙古天河水务有限公司</w:t>
                  </w:r>
                  <w:r>
                    <w:rPr>
                      <w:rFonts w:hint="eastAsia"/>
                      <w:color w:val="auto"/>
                      <w:kern w:val="0"/>
                      <w:szCs w:val="21"/>
                      <w:lang w:bidi="ar"/>
                    </w:rPr>
                    <w:t>进一步处理。</w:t>
                  </w:r>
                </w:p>
              </w:tc>
              <w:tc>
                <w:tcPr>
                  <w:tcW w:w="718" w:type="dxa"/>
                  <w:vAlign w:val="center"/>
                </w:tcPr>
                <w:p w14:paraId="41EFB4E6">
                  <w:pPr>
                    <w:widowControl/>
                    <w:jc w:val="center"/>
                    <w:rPr>
                      <w:rFonts w:hint="eastAsia" w:ascii="宋体" w:hAnsi="宋体" w:eastAsia="宋体" w:cs="宋体"/>
                      <w:color w:val="auto"/>
                      <w:kern w:val="0"/>
                      <w:szCs w:val="21"/>
                      <w:lang w:val="en-US" w:eastAsia="zh-CN" w:bidi="ar"/>
                    </w:rPr>
                  </w:pPr>
                  <w:r>
                    <w:rPr>
                      <w:rFonts w:hint="eastAsia" w:ascii="宋体" w:hAnsi="宋体" w:cs="宋体"/>
                      <w:color w:val="auto"/>
                      <w:kern w:val="0"/>
                      <w:szCs w:val="21"/>
                      <w:lang w:val="en-US" w:eastAsia="zh-CN" w:bidi="ar"/>
                    </w:rPr>
                    <w:t>依托</w:t>
                  </w:r>
                </w:p>
              </w:tc>
            </w:tr>
            <w:tr w14:paraId="1D6E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599" w:type="dxa"/>
                  <w:vMerge w:val="continue"/>
                  <w:vAlign w:val="center"/>
                </w:tcPr>
                <w:p w14:paraId="1F07681C">
                  <w:pPr>
                    <w:widowControl/>
                    <w:jc w:val="center"/>
                    <w:textAlignment w:val="center"/>
                    <w:rPr>
                      <w:color w:val="auto"/>
                      <w:kern w:val="0"/>
                      <w:szCs w:val="21"/>
                      <w:lang w:bidi="ar"/>
                    </w:rPr>
                  </w:pPr>
                </w:p>
              </w:tc>
              <w:tc>
                <w:tcPr>
                  <w:tcW w:w="599" w:type="dxa"/>
                  <w:vMerge w:val="continue"/>
                  <w:vAlign w:val="center"/>
                </w:tcPr>
                <w:p w14:paraId="7CFA99B1">
                  <w:pPr>
                    <w:widowControl/>
                    <w:jc w:val="center"/>
                    <w:textAlignment w:val="center"/>
                    <w:rPr>
                      <w:color w:val="auto"/>
                      <w:kern w:val="0"/>
                      <w:szCs w:val="21"/>
                      <w:lang w:bidi="ar"/>
                    </w:rPr>
                  </w:pPr>
                </w:p>
              </w:tc>
              <w:tc>
                <w:tcPr>
                  <w:tcW w:w="974" w:type="dxa"/>
                  <w:vAlign w:val="center"/>
                </w:tcPr>
                <w:p w14:paraId="767A58B8">
                  <w:pPr>
                    <w:widowControl/>
                    <w:jc w:val="center"/>
                    <w:textAlignment w:val="center"/>
                    <w:rPr>
                      <w:color w:val="auto"/>
                      <w:kern w:val="0"/>
                      <w:szCs w:val="21"/>
                      <w:lang w:bidi="ar"/>
                    </w:rPr>
                  </w:pPr>
                  <w:r>
                    <w:rPr>
                      <w:rFonts w:hint="eastAsia"/>
                      <w:color w:val="auto"/>
                      <w:kern w:val="0"/>
                      <w:szCs w:val="21"/>
                      <w:lang w:bidi="ar"/>
                    </w:rPr>
                    <w:t>供电</w:t>
                  </w:r>
                </w:p>
              </w:tc>
              <w:tc>
                <w:tcPr>
                  <w:tcW w:w="5107" w:type="dxa"/>
                  <w:gridSpan w:val="7"/>
                  <w:vAlign w:val="center"/>
                </w:tcPr>
                <w:p w14:paraId="0F32B1CE">
                  <w:pPr>
                    <w:widowControl/>
                    <w:jc w:val="center"/>
                    <w:textAlignment w:val="center"/>
                    <w:rPr>
                      <w:rFonts w:hint="default"/>
                      <w:color w:val="auto"/>
                      <w:spacing w:val="1"/>
                      <w:sz w:val="21"/>
                      <w:szCs w:val="21"/>
                      <w:lang w:val="en-US" w:eastAsia="zh-CN"/>
                    </w:rPr>
                  </w:pPr>
                  <w:r>
                    <w:rPr>
                      <w:color w:val="auto"/>
                      <w:spacing w:val="6"/>
                      <w:sz w:val="21"/>
                      <w:szCs w:val="21"/>
                    </w:rPr>
                    <w:t>由市政供电站提供，厂区内自建变配电</w:t>
                  </w:r>
                  <w:r>
                    <w:rPr>
                      <w:rFonts w:hint="eastAsia"/>
                      <w:color w:val="auto"/>
                      <w:spacing w:val="6"/>
                      <w:sz w:val="21"/>
                      <w:szCs w:val="21"/>
                      <w:lang w:val="en-US" w:eastAsia="zh-CN"/>
                    </w:rPr>
                    <w:t>箱</w:t>
                  </w:r>
                  <w:r>
                    <w:rPr>
                      <w:color w:val="auto"/>
                      <w:spacing w:val="6"/>
                      <w:sz w:val="21"/>
                      <w:szCs w:val="21"/>
                    </w:rPr>
                    <w:t>，生产车间用电由新建配电</w:t>
                  </w:r>
                  <w:r>
                    <w:rPr>
                      <w:rFonts w:hint="eastAsia"/>
                      <w:color w:val="auto"/>
                      <w:spacing w:val="6"/>
                      <w:sz w:val="21"/>
                      <w:szCs w:val="21"/>
                      <w:lang w:val="en-US" w:eastAsia="zh-CN"/>
                    </w:rPr>
                    <w:t>箱</w:t>
                  </w:r>
                  <w:r>
                    <w:rPr>
                      <w:color w:val="auto"/>
                      <w:spacing w:val="6"/>
                      <w:sz w:val="21"/>
                      <w:szCs w:val="21"/>
                    </w:rPr>
                    <w:t>引</w:t>
                  </w:r>
                  <w:r>
                    <w:rPr>
                      <w:color w:val="auto"/>
                      <w:spacing w:val="1"/>
                      <w:sz w:val="21"/>
                      <w:szCs w:val="21"/>
                    </w:rPr>
                    <w:t>入</w:t>
                  </w:r>
                  <w:r>
                    <w:rPr>
                      <w:rFonts w:hint="eastAsia"/>
                      <w:color w:val="auto"/>
                      <w:spacing w:val="1"/>
                      <w:sz w:val="21"/>
                      <w:szCs w:val="21"/>
                      <w:lang w:eastAsia="zh-CN"/>
                    </w:rPr>
                    <w:t>。</w:t>
                  </w:r>
                </w:p>
              </w:tc>
              <w:tc>
                <w:tcPr>
                  <w:tcW w:w="718" w:type="dxa"/>
                  <w:vAlign w:val="center"/>
                </w:tcPr>
                <w:p w14:paraId="67AC110F">
                  <w:pPr>
                    <w:widowControl/>
                    <w:jc w:val="center"/>
                    <w:textAlignment w:val="center"/>
                    <w:rPr>
                      <w:rFonts w:hint="default" w:eastAsia="宋体"/>
                      <w:color w:val="auto"/>
                      <w:kern w:val="0"/>
                      <w:szCs w:val="21"/>
                      <w:lang w:val="en-US" w:eastAsia="zh-CN" w:bidi="ar"/>
                    </w:rPr>
                  </w:pPr>
                  <w:r>
                    <w:rPr>
                      <w:rFonts w:hint="eastAsia" w:ascii="宋体" w:hAnsi="宋体" w:cs="宋体"/>
                      <w:color w:val="auto"/>
                      <w:kern w:val="0"/>
                      <w:szCs w:val="21"/>
                      <w:lang w:bidi="ar"/>
                    </w:rPr>
                    <w:t>依托</w:t>
                  </w:r>
                  <w:r>
                    <w:rPr>
                      <w:rFonts w:hint="eastAsia" w:ascii="宋体" w:hAnsi="宋体" w:cs="宋体"/>
                      <w:color w:val="auto"/>
                      <w:kern w:val="0"/>
                      <w:szCs w:val="21"/>
                      <w:lang w:val="en-US" w:eastAsia="zh-CN" w:bidi="ar"/>
                    </w:rPr>
                    <w:t>/新建</w:t>
                  </w:r>
                </w:p>
              </w:tc>
            </w:tr>
            <w:tr w14:paraId="6CDA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99" w:type="dxa"/>
                  <w:vMerge w:val="continue"/>
                  <w:vAlign w:val="center"/>
                </w:tcPr>
                <w:p w14:paraId="2B6E3D91">
                  <w:pPr>
                    <w:widowControl/>
                    <w:jc w:val="center"/>
                    <w:textAlignment w:val="center"/>
                    <w:rPr>
                      <w:color w:val="auto"/>
                      <w:kern w:val="0"/>
                      <w:szCs w:val="21"/>
                      <w:lang w:bidi="ar"/>
                    </w:rPr>
                  </w:pPr>
                </w:p>
              </w:tc>
              <w:tc>
                <w:tcPr>
                  <w:tcW w:w="599" w:type="dxa"/>
                  <w:vMerge w:val="continue"/>
                  <w:vAlign w:val="center"/>
                </w:tcPr>
                <w:p w14:paraId="5205E5B8">
                  <w:pPr>
                    <w:widowControl/>
                    <w:jc w:val="center"/>
                    <w:textAlignment w:val="center"/>
                    <w:rPr>
                      <w:color w:val="auto"/>
                      <w:kern w:val="0"/>
                      <w:szCs w:val="21"/>
                      <w:lang w:bidi="ar"/>
                    </w:rPr>
                  </w:pPr>
                </w:p>
              </w:tc>
              <w:tc>
                <w:tcPr>
                  <w:tcW w:w="974" w:type="dxa"/>
                  <w:vAlign w:val="center"/>
                </w:tcPr>
                <w:p w14:paraId="4F07C55A">
                  <w:pPr>
                    <w:widowControl/>
                    <w:jc w:val="center"/>
                    <w:textAlignment w:val="center"/>
                    <w:rPr>
                      <w:rFonts w:hint="eastAsia"/>
                      <w:color w:val="auto"/>
                      <w:kern w:val="0"/>
                      <w:szCs w:val="21"/>
                      <w:lang w:bidi="ar"/>
                    </w:rPr>
                  </w:pPr>
                  <w:r>
                    <w:rPr>
                      <w:rFonts w:hint="eastAsia"/>
                      <w:color w:val="auto"/>
                      <w:kern w:val="0"/>
                      <w:szCs w:val="21"/>
                      <w:lang w:bidi="ar"/>
                    </w:rPr>
                    <w:t>供热</w:t>
                  </w:r>
                </w:p>
              </w:tc>
              <w:tc>
                <w:tcPr>
                  <w:tcW w:w="5107" w:type="dxa"/>
                  <w:gridSpan w:val="7"/>
                  <w:vAlign w:val="center"/>
                </w:tcPr>
                <w:p w14:paraId="5F7277CF">
                  <w:pPr>
                    <w:widowControl/>
                    <w:jc w:val="center"/>
                    <w:textAlignment w:val="center"/>
                    <w:rPr>
                      <w:rFonts w:hint="eastAsia"/>
                      <w:color w:val="auto"/>
                      <w:spacing w:val="6"/>
                      <w:sz w:val="21"/>
                      <w:szCs w:val="21"/>
                    </w:rPr>
                  </w:pPr>
                  <w:r>
                    <w:rPr>
                      <w:rFonts w:hint="eastAsia"/>
                      <w:color w:val="auto"/>
                      <w:spacing w:val="6"/>
                      <w:sz w:val="21"/>
                      <w:szCs w:val="21"/>
                    </w:rPr>
                    <w:t>生产车间供热为</w:t>
                  </w:r>
                  <w:r>
                    <w:rPr>
                      <w:rFonts w:hint="eastAsia"/>
                      <w:color w:val="auto"/>
                      <w:spacing w:val="6"/>
                      <w:sz w:val="21"/>
                      <w:szCs w:val="21"/>
                      <w:lang w:val="en-US" w:eastAsia="zh-CN"/>
                    </w:rPr>
                    <w:t>园区统一供热</w:t>
                  </w:r>
                  <w:r>
                    <w:rPr>
                      <w:rFonts w:hint="eastAsia"/>
                      <w:color w:val="auto"/>
                      <w:spacing w:val="6"/>
                      <w:sz w:val="21"/>
                      <w:szCs w:val="21"/>
                    </w:rPr>
                    <w:t>。</w:t>
                  </w:r>
                </w:p>
                <w:p w14:paraId="67A8FEE9">
                  <w:pPr>
                    <w:widowControl/>
                    <w:jc w:val="center"/>
                    <w:textAlignment w:val="center"/>
                    <w:rPr>
                      <w:rFonts w:hint="default"/>
                      <w:color w:val="auto"/>
                      <w:kern w:val="0"/>
                      <w:szCs w:val="21"/>
                      <w:lang w:val="en-US" w:bidi="ar"/>
                    </w:rPr>
                  </w:pPr>
                  <w:r>
                    <w:rPr>
                      <w:rFonts w:hint="eastAsia"/>
                      <w:color w:val="auto"/>
                      <w:spacing w:val="6"/>
                      <w:sz w:val="21"/>
                      <w:szCs w:val="21"/>
                      <w:lang w:val="en-US" w:eastAsia="zh-CN"/>
                    </w:rPr>
                    <w:t>本项目生产工艺所需热能全部来源于电力。</w:t>
                  </w:r>
                </w:p>
              </w:tc>
              <w:tc>
                <w:tcPr>
                  <w:tcW w:w="718" w:type="dxa"/>
                  <w:vAlign w:val="center"/>
                </w:tcPr>
                <w:p w14:paraId="038E7281">
                  <w:pPr>
                    <w:widowControl/>
                    <w:jc w:val="center"/>
                    <w:textAlignment w:val="center"/>
                    <w:rPr>
                      <w:rFonts w:ascii="Times New Roman" w:hAnsi="Times New Roman" w:eastAsia="宋体" w:cs="Times New Roman"/>
                      <w:color w:val="auto"/>
                      <w:spacing w:val="6"/>
                      <w:sz w:val="20"/>
                      <w:szCs w:val="20"/>
                    </w:rPr>
                  </w:pPr>
                  <w:r>
                    <w:rPr>
                      <w:rFonts w:hint="eastAsia"/>
                      <w:color w:val="auto"/>
                      <w:lang w:val="en-US" w:eastAsia="zh-CN"/>
                    </w:rPr>
                    <w:t>依托</w:t>
                  </w:r>
                </w:p>
              </w:tc>
            </w:tr>
            <w:tr w14:paraId="1A4E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2312D80B">
                  <w:pPr>
                    <w:widowControl/>
                    <w:jc w:val="center"/>
                    <w:textAlignment w:val="center"/>
                    <w:rPr>
                      <w:rFonts w:hint="eastAsia"/>
                      <w:color w:val="auto"/>
                      <w:kern w:val="0"/>
                      <w:szCs w:val="21"/>
                      <w:lang w:val="en-US" w:eastAsia="zh-CN" w:bidi="ar"/>
                    </w:rPr>
                  </w:pPr>
                </w:p>
              </w:tc>
              <w:tc>
                <w:tcPr>
                  <w:tcW w:w="599" w:type="dxa"/>
                  <w:vMerge w:val="restart"/>
                  <w:vAlign w:val="center"/>
                </w:tcPr>
                <w:p w14:paraId="019E8E94">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环保工程</w:t>
                  </w:r>
                </w:p>
              </w:tc>
              <w:tc>
                <w:tcPr>
                  <w:tcW w:w="974" w:type="dxa"/>
                  <w:vMerge w:val="restart"/>
                  <w:vAlign w:val="center"/>
                </w:tcPr>
                <w:p w14:paraId="2D85B55D">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废气</w:t>
                  </w:r>
                </w:p>
              </w:tc>
              <w:tc>
                <w:tcPr>
                  <w:tcW w:w="1454" w:type="dxa"/>
                  <w:gridSpan w:val="5"/>
                  <w:vAlign w:val="center"/>
                </w:tcPr>
                <w:p w14:paraId="2EB9BE0A">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搅拌废气（G1）</w:t>
                  </w:r>
                </w:p>
              </w:tc>
              <w:tc>
                <w:tcPr>
                  <w:tcW w:w="3653" w:type="dxa"/>
                  <w:gridSpan w:val="2"/>
                  <w:vAlign w:val="center"/>
                </w:tcPr>
                <w:p w14:paraId="4179F5D4">
                  <w:pPr>
                    <w:widowControl/>
                    <w:jc w:val="center"/>
                    <w:textAlignment w:val="center"/>
                    <w:rPr>
                      <w:rFonts w:hint="eastAsia" w:eastAsia="宋体"/>
                      <w:bCs/>
                      <w:color w:val="auto"/>
                      <w:szCs w:val="21"/>
                      <w:lang w:val="en-US" w:eastAsia="zh-CN"/>
                    </w:rPr>
                  </w:pPr>
                  <w:r>
                    <w:rPr>
                      <w:rFonts w:hint="eastAsia"/>
                      <w:bCs/>
                      <w:color w:val="auto"/>
                      <w:szCs w:val="21"/>
                      <w:lang w:val="en-US" w:eastAsia="zh-CN"/>
                    </w:rPr>
                    <w:t>搅拌设备上方设置一套集气罩，经集气罩收集后</w:t>
                  </w:r>
                  <w:r>
                    <w:rPr>
                      <w:bCs/>
                      <w:color w:val="auto"/>
                      <w:szCs w:val="21"/>
                    </w:rPr>
                    <w:t>经密闭抽尘管道引至</w:t>
                  </w:r>
                  <w:r>
                    <w:rPr>
                      <w:rFonts w:hint="eastAsia"/>
                      <w:bCs/>
                      <w:color w:val="auto"/>
                      <w:szCs w:val="21"/>
                      <w:lang w:eastAsia="zh-CN"/>
                    </w:rPr>
                    <w:t>“二级活性炭吸附”装置处理后经</w:t>
                  </w:r>
                  <w:r>
                    <w:rPr>
                      <w:rFonts w:hint="eastAsia"/>
                      <w:bCs/>
                      <w:color w:val="auto"/>
                      <w:szCs w:val="21"/>
                      <w:lang w:val="en-US" w:eastAsia="zh-CN"/>
                    </w:rPr>
                    <w:t>20.5m</w:t>
                  </w:r>
                  <w:r>
                    <w:rPr>
                      <w:rFonts w:hint="eastAsia"/>
                      <w:bCs/>
                      <w:color w:val="auto"/>
                      <w:szCs w:val="21"/>
                      <w:lang w:eastAsia="zh-CN"/>
                    </w:rPr>
                    <w:t>高排气筒（</w:t>
                  </w:r>
                  <w:r>
                    <w:rPr>
                      <w:rFonts w:hint="eastAsia"/>
                      <w:bCs/>
                      <w:color w:val="auto"/>
                      <w:szCs w:val="21"/>
                      <w:lang w:val="en-US" w:eastAsia="zh-CN"/>
                    </w:rPr>
                    <w:t>DA001</w:t>
                  </w:r>
                  <w:r>
                    <w:rPr>
                      <w:rFonts w:hint="eastAsia"/>
                      <w:bCs/>
                      <w:color w:val="auto"/>
                      <w:szCs w:val="21"/>
                      <w:lang w:eastAsia="zh-CN"/>
                    </w:rPr>
                    <w:t>）排放。</w:t>
                  </w:r>
                </w:p>
              </w:tc>
              <w:tc>
                <w:tcPr>
                  <w:tcW w:w="718" w:type="dxa"/>
                  <w:vAlign w:val="center"/>
                </w:tcPr>
                <w:p w14:paraId="4105C966">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2208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348E102B">
                  <w:pPr>
                    <w:widowControl/>
                    <w:jc w:val="center"/>
                    <w:textAlignment w:val="center"/>
                    <w:rPr>
                      <w:color w:val="auto"/>
                      <w:kern w:val="0"/>
                      <w:szCs w:val="21"/>
                      <w:lang w:bidi="ar"/>
                    </w:rPr>
                  </w:pPr>
                </w:p>
              </w:tc>
              <w:tc>
                <w:tcPr>
                  <w:tcW w:w="599" w:type="dxa"/>
                  <w:vMerge w:val="continue"/>
                  <w:vAlign w:val="center"/>
                </w:tcPr>
                <w:p w14:paraId="6B144A56">
                  <w:pPr>
                    <w:widowControl/>
                    <w:jc w:val="center"/>
                    <w:textAlignment w:val="center"/>
                    <w:rPr>
                      <w:color w:val="auto"/>
                      <w:kern w:val="0"/>
                      <w:szCs w:val="21"/>
                      <w:lang w:bidi="ar"/>
                    </w:rPr>
                  </w:pPr>
                </w:p>
              </w:tc>
              <w:tc>
                <w:tcPr>
                  <w:tcW w:w="974" w:type="dxa"/>
                  <w:vMerge w:val="continue"/>
                  <w:vAlign w:val="center"/>
                </w:tcPr>
                <w:p w14:paraId="6610E006">
                  <w:pPr>
                    <w:widowControl/>
                    <w:jc w:val="center"/>
                    <w:textAlignment w:val="center"/>
                    <w:rPr>
                      <w:rFonts w:hint="eastAsia"/>
                      <w:color w:val="auto"/>
                      <w:kern w:val="0"/>
                      <w:szCs w:val="21"/>
                      <w:lang w:val="en-US" w:eastAsia="zh-CN" w:bidi="ar"/>
                    </w:rPr>
                  </w:pPr>
                </w:p>
              </w:tc>
              <w:tc>
                <w:tcPr>
                  <w:tcW w:w="1454" w:type="dxa"/>
                  <w:gridSpan w:val="5"/>
                  <w:vAlign w:val="center"/>
                </w:tcPr>
                <w:p w14:paraId="1B1F5126">
                  <w:pPr>
                    <w:widowControl/>
                    <w:jc w:val="center"/>
                    <w:textAlignment w:val="center"/>
                    <w:rPr>
                      <w:rFonts w:hint="default" w:eastAsia="宋体"/>
                      <w:color w:val="auto"/>
                      <w:kern w:val="0"/>
                      <w:sz w:val="21"/>
                      <w:szCs w:val="21"/>
                      <w:lang w:val="en-US" w:eastAsia="zh-CN" w:bidi="ar"/>
                    </w:rPr>
                  </w:pPr>
                  <w:r>
                    <w:rPr>
                      <w:rFonts w:hint="eastAsia"/>
                      <w:color w:val="auto"/>
                      <w:kern w:val="0"/>
                      <w:sz w:val="21"/>
                      <w:szCs w:val="21"/>
                      <w:lang w:val="en-US" w:eastAsia="zh-CN" w:bidi="ar"/>
                    </w:rPr>
                    <w:t>缠绕、固化废气（G2）</w:t>
                  </w:r>
                </w:p>
              </w:tc>
              <w:tc>
                <w:tcPr>
                  <w:tcW w:w="3653" w:type="dxa"/>
                  <w:gridSpan w:val="2"/>
                  <w:vAlign w:val="center"/>
                </w:tcPr>
                <w:p w14:paraId="612BFB40">
                  <w:pPr>
                    <w:widowControl/>
                    <w:jc w:val="center"/>
                    <w:textAlignment w:val="center"/>
                    <w:rPr>
                      <w:rFonts w:hint="default"/>
                      <w:bCs/>
                      <w:color w:val="auto"/>
                      <w:sz w:val="21"/>
                      <w:szCs w:val="21"/>
                      <w:lang w:val="en-US" w:eastAsia="zh-CN"/>
                    </w:rPr>
                  </w:pPr>
                  <w:r>
                    <w:rPr>
                      <w:rFonts w:hint="eastAsia"/>
                      <w:bCs/>
                      <w:color w:val="auto"/>
                      <w:sz w:val="21"/>
                      <w:szCs w:val="21"/>
                      <w:lang w:val="en-US" w:eastAsia="zh-CN"/>
                    </w:rPr>
                    <w:t>缠绕和固化工序上方设一套集气罩，经集气罩收集后</w:t>
                  </w:r>
                  <w:r>
                    <w:rPr>
                      <w:bCs/>
                      <w:color w:val="auto"/>
                      <w:sz w:val="21"/>
                      <w:szCs w:val="21"/>
                    </w:rPr>
                    <w:t>经密闭抽尘管道引至</w:t>
                  </w:r>
                  <w:r>
                    <w:rPr>
                      <w:rFonts w:hint="eastAsia"/>
                      <w:bCs/>
                      <w:color w:val="auto"/>
                      <w:sz w:val="21"/>
                      <w:szCs w:val="21"/>
                      <w:lang w:eastAsia="zh-CN"/>
                    </w:rPr>
                    <w:t>“二级活性炭吸附”装置处理后经20.5m高排气筒（</w:t>
                  </w:r>
                  <w:r>
                    <w:rPr>
                      <w:rFonts w:hint="eastAsia"/>
                      <w:bCs/>
                      <w:color w:val="auto"/>
                      <w:sz w:val="21"/>
                      <w:szCs w:val="21"/>
                      <w:lang w:val="en-US" w:eastAsia="zh-CN"/>
                    </w:rPr>
                    <w:t>DA001</w:t>
                  </w:r>
                  <w:r>
                    <w:rPr>
                      <w:rFonts w:hint="eastAsia"/>
                      <w:bCs/>
                      <w:color w:val="auto"/>
                      <w:sz w:val="21"/>
                      <w:szCs w:val="21"/>
                      <w:lang w:eastAsia="zh-CN"/>
                    </w:rPr>
                    <w:t>）排放。（</w:t>
                  </w:r>
                  <w:r>
                    <w:rPr>
                      <w:rFonts w:hint="eastAsia"/>
                      <w:bCs/>
                      <w:color w:val="auto"/>
                      <w:sz w:val="21"/>
                      <w:szCs w:val="21"/>
                      <w:lang w:val="en-US" w:eastAsia="zh-CN"/>
                    </w:rPr>
                    <w:t>与搅拌废气使用同一套设备</w:t>
                  </w:r>
                  <w:r>
                    <w:rPr>
                      <w:rFonts w:hint="eastAsia"/>
                      <w:bCs/>
                      <w:color w:val="auto"/>
                      <w:sz w:val="21"/>
                      <w:szCs w:val="21"/>
                      <w:lang w:eastAsia="zh-CN"/>
                    </w:rPr>
                    <w:t>）</w:t>
                  </w:r>
                </w:p>
              </w:tc>
              <w:tc>
                <w:tcPr>
                  <w:tcW w:w="718" w:type="dxa"/>
                  <w:vAlign w:val="center"/>
                </w:tcPr>
                <w:p w14:paraId="6B216F36">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新建</w:t>
                  </w:r>
                </w:p>
              </w:tc>
            </w:tr>
            <w:tr w14:paraId="6CF5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26FEE75F">
                  <w:pPr>
                    <w:widowControl/>
                    <w:jc w:val="center"/>
                    <w:textAlignment w:val="center"/>
                    <w:rPr>
                      <w:color w:val="auto"/>
                      <w:kern w:val="0"/>
                      <w:szCs w:val="21"/>
                      <w:lang w:bidi="ar"/>
                    </w:rPr>
                  </w:pPr>
                </w:p>
              </w:tc>
              <w:tc>
                <w:tcPr>
                  <w:tcW w:w="599" w:type="dxa"/>
                  <w:vMerge w:val="continue"/>
                  <w:vAlign w:val="center"/>
                </w:tcPr>
                <w:p w14:paraId="3342DA3A">
                  <w:pPr>
                    <w:widowControl/>
                    <w:jc w:val="center"/>
                    <w:textAlignment w:val="center"/>
                    <w:rPr>
                      <w:color w:val="auto"/>
                      <w:kern w:val="0"/>
                      <w:szCs w:val="21"/>
                      <w:lang w:bidi="ar"/>
                    </w:rPr>
                  </w:pPr>
                </w:p>
              </w:tc>
              <w:tc>
                <w:tcPr>
                  <w:tcW w:w="974" w:type="dxa"/>
                  <w:vMerge w:val="continue"/>
                  <w:vAlign w:val="center"/>
                </w:tcPr>
                <w:p w14:paraId="091FF599">
                  <w:pPr>
                    <w:widowControl/>
                    <w:jc w:val="center"/>
                    <w:textAlignment w:val="center"/>
                    <w:rPr>
                      <w:rFonts w:hint="eastAsia"/>
                      <w:color w:val="auto"/>
                      <w:kern w:val="0"/>
                      <w:szCs w:val="21"/>
                      <w:lang w:val="en-US" w:eastAsia="zh-CN" w:bidi="ar"/>
                    </w:rPr>
                  </w:pPr>
                </w:p>
              </w:tc>
              <w:tc>
                <w:tcPr>
                  <w:tcW w:w="1454" w:type="dxa"/>
                  <w:gridSpan w:val="5"/>
                  <w:vAlign w:val="center"/>
                </w:tcPr>
                <w:p w14:paraId="35301B85">
                  <w:pPr>
                    <w:widowControl/>
                    <w:jc w:val="center"/>
                    <w:textAlignment w:val="center"/>
                    <w:rPr>
                      <w:rFonts w:hint="default"/>
                      <w:color w:val="auto"/>
                      <w:kern w:val="0"/>
                      <w:sz w:val="21"/>
                      <w:szCs w:val="21"/>
                      <w:lang w:val="en-US" w:eastAsia="zh-CN" w:bidi="ar"/>
                    </w:rPr>
                  </w:pPr>
                  <w:r>
                    <w:rPr>
                      <w:rFonts w:hint="eastAsia"/>
                      <w:color w:val="auto"/>
                      <w:kern w:val="0"/>
                      <w:sz w:val="21"/>
                      <w:szCs w:val="21"/>
                      <w:lang w:val="en-US" w:eastAsia="zh-CN" w:bidi="ar"/>
                    </w:rPr>
                    <w:t>切割废气（G3）</w:t>
                  </w:r>
                </w:p>
              </w:tc>
              <w:tc>
                <w:tcPr>
                  <w:tcW w:w="3653" w:type="dxa"/>
                  <w:gridSpan w:val="2"/>
                  <w:vMerge w:val="restart"/>
                  <w:vAlign w:val="center"/>
                </w:tcPr>
                <w:p w14:paraId="0E42941B">
                  <w:pPr>
                    <w:widowControl/>
                    <w:jc w:val="center"/>
                    <w:textAlignment w:val="center"/>
                    <w:rPr>
                      <w:rFonts w:hint="eastAsia"/>
                      <w:bCs/>
                      <w:color w:val="auto"/>
                      <w:sz w:val="21"/>
                      <w:szCs w:val="21"/>
                      <w:lang w:val="en-US" w:eastAsia="zh-CN"/>
                    </w:rPr>
                  </w:pPr>
                  <w:r>
                    <w:rPr>
                      <w:rFonts w:hint="eastAsia" w:ascii="Times New Roman" w:hAnsi="Times New Roman" w:eastAsia="宋体" w:cs="Times New Roman"/>
                      <w:bCs/>
                      <w:color w:val="auto"/>
                      <w:sz w:val="21"/>
                      <w:szCs w:val="21"/>
                      <w:lang w:val="en-US" w:eastAsia="zh-CN"/>
                    </w:rPr>
                    <w:t>切割、打磨工序在密闭环境中完成，产生的</w:t>
                  </w:r>
                  <w:r>
                    <w:rPr>
                      <w:rFonts w:hint="eastAsia" w:cs="Times New Roman"/>
                      <w:bCs/>
                      <w:color w:val="auto"/>
                      <w:sz w:val="21"/>
                      <w:szCs w:val="21"/>
                      <w:lang w:val="en-US" w:eastAsia="zh-CN"/>
                    </w:rPr>
                    <w:t>粉尘</w:t>
                  </w:r>
                  <w:r>
                    <w:rPr>
                      <w:rFonts w:hint="eastAsia" w:ascii="Times New Roman" w:hAnsi="Times New Roman" w:eastAsia="宋体" w:cs="Times New Roman"/>
                      <w:bCs/>
                      <w:color w:val="auto"/>
                      <w:sz w:val="21"/>
                      <w:szCs w:val="21"/>
                      <w:lang w:val="en-US" w:eastAsia="zh-CN"/>
                    </w:rPr>
                    <w:t>由自带的吸尘管道收集，管道链接外置吸尘器由收集容器收集，不外排。</w:t>
                  </w:r>
                </w:p>
              </w:tc>
              <w:tc>
                <w:tcPr>
                  <w:tcW w:w="718" w:type="dxa"/>
                  <w:vAlign w:val="center"/>
                </w:tcPr>
                <w:p w14:paraId="65B2703A">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新建</w:t>
                  </w:r>
                </w:p>
              </w:tc>
            </w:tr>
            <w:tr w14:paraId="6B4E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4C561600">
                  <w:pPr>
                    <w:widowControl/>
                    <w:jc w:val="center"/>
                    <w:textAlignment w:val="center"/>
                    <w:rPr>
                      <w:color w:val="auto"/>
                      <w:kern w:val="0"/>
                      <w:szCs w:val="21"/>
                      <w:lang w:bidi="ar"/>
                    </w:rPr>
                  </w:pPr>
                </w:p>
              </w:tc>
              <w:tc>
                <w:tcPr>
                  <w:tcW w:w="599" w:type="dxa"/>
                  <w:vMerge w:val="continue"/>
                  <w:vAlign w:val="center"/>
                </w:tcPr>
                <w:p w14:paraId="5A6A4F5A">
                  <w:pPr>
                    <w:widowControl/>
                    <w:jc w:val="center"/>
                    <w:textAlignment w:val="center"/>
                    <w:rPr>
                      <w:color w:val="auto"/>
                      <w:kern w:val="0"/>
                      <w:szCs w:val="21"/>
                      <w:lang w:bidi="ar"/>
                    </w:rPr>
                  </w:pPr>
                </w:p>
              </w:tc>
              <w:tc>
                <w:tcPr>
                  <w:tcW w:w="974" w:type="dxa"/>
                  <w:vMerge w:val="continue"/>
                  <w:vAlign w:val="center"/>
                </w:tcPr>
                <w:p w14:paraId="2E07818D">
                  <w:pPr>
                    <w:widowControl/>
                    <w:jc w:val="center"/>
                    <w:textAlignment w:val="center"/>
                    <w:rPr>
                      <w:rFonts w:hint="eastAsia"/>
                      <w:color w:val="auto"/>
                      <w:kern w:val="0"/>
                      <w:szCs w:val="21"/>
                      <w:lang w:val="en-US" w:eastAsia="zh-CN" w:bidi="ar"/>
                    </w:rPr>
                  </w:pPr>
                </w:p>
              </w:tc>
              <w:tc>
                <w:tcPr>
                  <w:tcW w:w="1454" w:type="dxa"/>
                  <w:gridSpan w:val="5"/>
                  <w:vAlign w:val="center"/>
                </w:tcPr>
                <w:p w14:paraId="4C31DBEC">
                  <w:pPr>
                    <w:widowControl/>
                    <w:jc w:val="center"/>
                    <w:textAlignment w:val="center"/>
                    <w:rPr>
                      <w:rFonts w:hint="eastAsia"/>
                      <w:color w:val="auto"/>
                      <w:kern w:val="0"/>
                      <w:sz w:val="21"/>
                      <w:szCs w:val="21"/>
                      <w:lang w:val="en-US" w:eastAsia="zh-CN" w:bidi="ar"/>
                    </w:rPr>
                  </w:pPr>
                  <w:r>
                    <w:rPr>
                      <w:rFonts w:hint="eastAsia"/>
                      <w:color w:val="auto"/>
                      <w:kern w:val="0"/>
                      <w:sz w:val="21"/>
                      <w:szCs w:val="21"/>
                      <w:lang w:val="en-US" w:eastAsia="zh-CN" w:bidi="ar"/>
                    </w:rPr>
                    <w:t>打磨废气（G4）</w:t>
                  </w:r>
                </w:p>
              </w:tc>
              <w:tc>
                <w:tcPr>
                  <w:tcW w:w="3653" w:type="dxa"/>
                  <w:gridSpan w:val="2"/>
                  <w:vMerge w:val="continue"/>
                  <w:vAlign w:val="center"/>
                </w:tcPr>
                <w:p w14:paraId="255F0992">
                  <w:pPr>
                    <w:widowControl/>
                    <w:jc w:val="center"/>
                    <w:textAlignment w:val="center"/>
                    <w:rPr>
                      <w:rFonts w:hint="eastAsia"/>
                      <w:bCs/>
                      <w:color w:val="auto"/>
                      <w:sz w:val="21"/>
                      <w:szCs w:val="21"/>
                      <w:lang w:val="en-US" w:eastAsia="zh-CN"/>
                    </w:rPr>
                  </w:pPr>
                </w:p>
              </w:tc>
              <w:tc>
                <w:tcPr>
                  <w:tcW w:w="718" w:type="dxa"/>
                  <w:vAlign w:val="center"/>
                </w:tcPr>
                <w:p w14:paraId="1D9DF169">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新建</w:t>
                  </w:r>
                </w:p>
              </w:tc>
            </w:tr>
            <w:tr w14:paraId="3B0F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1C086B8A">
                  <w:pPr>
                    <w:widowControl/>
                    <w:jc w:val="center"/>
                    <w:textAlignment w:val="center"/>
                    <w:rPr>
                      <w:color w:val="auto"/>
                      <w:kern w:val="0"/>
                      <w:szCs w:val="21"/>
                      <w:lang w:bidi="ar"/>
                    </w:rPr>
                  </w:pPr>
                </w:p>
              </w:tc>
              <w:tc>
                <w:tcPr>
                  <w:tcW w:w="599" w:type="dxa"/>
                  <w:vMerge w:val="continue"/>
                  <w:vAlign w:val="center"/>
                </w:tcPr>
                <w:p w14:paraId="2DF32858">
                  <w:pPr>
                    <w:widowControl/>
                    <w:jc w:val="center"/>
                    <w:textAlignment w:val="center"/>
                    <w:rPr>
                      <w:color w:val="auto"/>
                      <w:kern w:val="0"/>
                      <w:szCs w:val="21"/>
                      <w:lang w:bidi="ar"/>
                    </w:rPr>
                  </w:pPr>
                </w:p>
              </w:tc>
              <w:tc>
                <w:tcPr>
                  <w:tcW w:w="974" w:type="dxa"/>
                  <w:vMerge w:val="continue"/>
                  <w:vAlign w:val="center"/>
                </w:tcPr>
                <w:p w14:paraId="2C7D5C74">
                  <w:pPr>
                    <w:widowControl/>
                    <w:jc w:val="center"/>
                    <w:textAlignment w:val="center"/>
                    <w:rPr>
                      <w:rFonts w:hint="eastAsia"/>
                      <w:color w:val="auto"/>
                      <w:kern w:val="0"/>
                      <w:szCs w:val="21"/>
                      <w:lang w:val="en-US" w:eastAsia="zh-CN" w:bidi="ar"/>
                    </w:rPr>
                  </w:pPr>
                </w:p>
              </w:tc>
              <w:tc>
                <w:tcPr>
                  <w:tcW w:w="1454" w:type="dxa"/>
                  <w:gridSpan w:val="5"/>
                  <w:shd w:val="clear" w:color="auto" w:fill="auto"/>
                  <w:vAlign w:val="center"/>
                </w:tcPr>
                <w:p w14:paraId="6F09074B">
                  <w:pPr>
                    <w:snapToGrid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静电喷涂喷涂废气（G5）</w:t>
                  </w:r>
                </w:p>
              </w:tc>
              <w:tc>
                <w:tcPr>
                  <w:tcW w:w="3653" w:type="dxa"/>
                  <w:gridSpan w:val="2"/>
                  <w:vAlign w:val="center"/>
                </w:tcPr>
                <w:p w14:paraId="652A8A1F">
                  <w:pPr>
                    <w:widowControl/>
                    <w:jc w:val="center"/>
                    <w:textAlignment w:val="center"/>
                    <w:rPr>
                      <w:rFonts w:hint="eastAsia"/>
                      <w:bCs/>
                      <w:color w:val="auto"/>
                      <w:sz w:val="21"/>
                      <w:szCs w:val="21"/>
                      <w:lang w:val="en-US" w:eastAsia="zh-CN"/>
                    </w:rPr>
                  </w:pPr>
                  <w:r>
                    <w:rPr>
                      <w:rFonts w:hint="eastAsia"/>
                      <w:bCs/>
                      <w:color w:val="auto"/>
                      <w:szCs w:val="21"/>
                      <w:lang w:val="en-US" w:eastAsia="zh-CN"/>
                    </w:rPr>
                    <w:t>喷涂过程产生的粉末、粉尘先通过大旋风分离器粉末回收系统收集，粉末通过自动回收系统送回粉桶循环使用，粉尘进入转翼式滤芯过滤器二级回收系统处置，经20.5m高排气筒（DA001）排放。</w:t>
                  </w:r>
                </w:p>
              </w:tc>
              <w:tc>
                <w:tcPr>
                  <w:tcW w:w="718" w:type="dxa"/>
                  <w:vAlign w:val="center"/>
                </w:tcPr>
                <w:p w14:paraId="3E4F0244">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新建</w:t>
                  </w:r>
                </w:p>
              </w:tc>
            </w:tr>
            <w:tr w14:paraId="6543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599" w:type="dxa"/>
                  <w:vMerge w:val="continue"/>
                  <w:vAlign w:val="center"/>
                </w:tcPr>
                <w:p w14:paraId="49E8906E">
                  <w:pPr>
                    <w:widowControl/>
                    <w:jc w:val="center"/>
                    <w:textAlignment w:val="center"/>
                    <w:rPr>
                      <w:color w:val="auto"/>
                      <w:kern w:val="0"/>
                      <w:szCs w:val="21"/>
                      <w:lang w:bidi="ar"/>
                    </w:rPr>
                  </w:pPr>
                </w:p>
              </w:tc>
              <w:tc>
                <w:tcPr>
                  <w:tcW w:w="599" w:type="dxa"/>
                  <w:vMerge w:val="continue"/>
                  <w:vAlign w:val="center"/>
                </w:tcPr>
                <w:p w14:paraId="74D83789">
                  <w:pPr>
                    <w:widowControl/>
                    <w:jc w:val="center"/>
                    <w:textAlignment w:val="center"/>
                    <w:rPr>
                      <w:color w:val="auto"/>
                      <w:kern w:val="0"/>
                      <w:szCs w:val="21"/>
                      <w:lang w:bidi="ar"/>
                    </w:rPr>
                  </w:pPr>
                </w:p>
              </w:tc>
              <w:tc>
                <w:tcPr>
                  <w:tcW w:w="974" w:type="dxa"/>
                  <w:vMerge w:val="continue"/>
                  <w:vAlign w:val="center"/>
                </w:tcPr>
                <w:p w14:paraId="524C59E2">
                  <w:pPr>
                    <w:widowControl/>
                    <w:jc w:val="center"/>
                    <w:textAlignment w:val="center"/>
                    <w:rPr>
                      <w:rFonts w:hint="eastAsia"/>
                      <w:color w:val="auto"/>
                      <w:kern w:val="0"/>
                      <w:szCs w:val="21"/>
                      <w:lang w:val="en-US" w:eastAsia="zh-CN" w:bidi="ar"/>
                    </w:rPr>
                  </w:pPr>
                </w:p>
              </w:tc>
              <w:tc>
                <w:tcPr>
                  <w:tcW w:w="1454" w:type="dxa"/>
                  <w:gridSpan w:val="5"/>
                  <w:shd w:val="clear" w:color="auto" w:fill="auto"/>
                  <w:vAlign w:val="center"/>
                </w:tcPr>
                <w:p w14:paraId="59127D93">
                  <w:pPr>
                    <w:snapToGrid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静电喷涂固化烘干废气（G6）</w:t>
                  </w:r>
                </w:p>
              </w:tc>
              <w:tc>
                <w:tcPr>
                  <w:tcW w:w="3653" w:type="dxa"/>
                  <w:gridSpan w:val="2"/>
                  <w:vAlign w:val="center"/>
                </w:tcPr>
                <w:p w14:paraId="249E14A4">
                  <w:pPr>
                    <w:widowControl/>
                    <w:jc w:val="center"/>
                    <w:textAlignment w:val="center"/>
                    <w:rPr>
                      <w:rFonts w:hint="eastAsia"/>
                      <w:color w:val="auto"/>
                      <w:kern w:val="0"/>
                      <w:sz w:val="21"/>
                      <w:szCs w:val="21"/>
                      <w:lang w:val="en-US" w:eastAsia="zh-CN" w:bidi="ar"/>
                    </w:rPr>
                  </w:pPr>
                  <w:r>
                    <w:rPr>
                      <w:rFonts w:hint="eastAsia"/>
                      <w:color w:val="auto"/>
                      <w:kern w:val="0"/>
                      <w:sz w:val="21"/>
                      <w:szCs w:val="21"/>
                      <w:lang w:val="en-US" w:eastAsia="zh-CN" w:bidi="ar"/>
                    </w:rPr>
                    <w:t>静电喷涂装置自带负压吸收装置和</w:t>
                  </w:r>
                  <w:r>
                    <w:rPr>
                      <w:rFonts w:hint="eastAsia"/>
                      <w:color w:val="auto"/>
                      <w:spacing w:val="7"/>
                      <w:sz w:val="21"/>
                      <w:szCs w:val="21"/>
                      <w:lang w:val="en-US" w:eastAsia="zh-CN"/>
                    </w:rPr>
                    <w:t>“</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w:t>
                  </w:r>
                </w:p>
                <w:p w14:paraId="465DE794">
                  <w:pPr>
                    <w:widowControl/>
                    <w:jc w:val="center"/>
                    <w:textAlignment w:val="center"/>
                    <w:rPr>
                      <w:rFonts w:hint="eastAsia" w:eastAsia="宋体"/>
                      <w:bCs/>
                      <w:color w:val="auto"/>
                      <w:sz w:val="21"/>
                      <w:szCs w:val="21"/>
                      <w:lang w:val="en-US" w:eastAsia="zh-CN"/>
                    </w:rPr>
                  </w:pPr>
                  <w:r>
                    <w:rPr>
                      <w:rFonts w:hint="eastAsia"/>
                      <w:color w:val="auto"/>
                      <w:kern w:val="0"/>
                      <w:sz w:val="21"/>
                      <w:szCs w:val="21"/>
                      <w:lang w:val="en-US" w:eastAsia="zh-CN" w:bidi="ar"/>
                    </w:rPr>
                    <w:t>废气</w:t>
                  </w:r>
                  <w:r>
                    <w:rPr>
                      <w:rFonts w:hint="eastAsia"/>
                      <w:color w:val="auto"/>
                      <w:spacing w:val="7"/>
                      <w:sz w:val="21"/>
                      <w:szCs w:val="21"/>
                      <w:lang w:val="en-US" w:eastAsia="zh-CN"/>
                    </w:rPr>
                    <w:t>经设备自带负压装置吸收后由“</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装置处</w:t>
                  </w:r>
                  <w:r>
                    <w:rPr>
                      <w:rFonts w:hint="eastAsia"/>
                      <w:bCs/>
                      <w:color w:val="auto"/>
                      <w:sz w:val="21"/>
                      <w:szCs w:val="21"/>
                      <w:lang w:eastAsia="zh-CN"/>
                    </w:rPr>
                    <w:t>理后经20.5m高排气筒（</w:t>
                  </w:r>
                  <w:r>
                    <w:rPr>
                      <w:rFonts w:hint="eastAsia"/>
                      <w:bCs/>
                      <w:color w:val="auto"/>
                      <w:sz w:val="21"/>
                      <w:szCs w:val="21"/>
                      <w:lang w:val="en-US" w:eastAsia="zh-CN"/>
                    </w:rPr>
                    <w:t>DA001</w:t>
                  </w:r>
                  <w:r>
                    <w:rPr>
                      <w:rFonts w:hint="eastAsia"/>
                      <w:bCs/>
                      <w:color w:val="auto"/>
                      <w:sz w:val="21"/>
                      <w:szCs w:val="21"/>
                      <w:lang w:eastAsia="zh-CN"/>
                    </w:rPr>
                    <w:t>）排放。</w:t>
                  </w:r>
                </w:p>
              </w:tc>
              <w:tc>
                <w:tcPr>
                  <w:tcW w:w="718" w:type="dxa"/>
                  <w:vAlign w:val="center"/>
                </w:tcPr>
                <w:p w14:paraId="2C9CF9AC">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新建</w:t>
                  </w:r>
                </w:p>
              </w:tc>
            </w:tr>
            <w:tr w14:paraId="408E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599" w:type="dxa"/>
                  <w:vMerge w:val="continue"/>
                  <w:vAlign w:val="center"/>
                </w:tcPr>
                <w:p w14:paraId="6FDF50E3">
                  <w:pPr>
                    <w:widowControl/>
                    <w:jc w:val="center"/>
                    <w:textAlignment w:val="center"/>
                    <w:rPr>
                      <w:color w:val="auto"/>
                      <w:kern w:val="0"/>
                      <w:szCs w:val="21"/>
                      <w:lang w:bidi="ar"/>
                    </w:rPr>
                  </w:pPr>
                </w:p>
              </w:tc>
              <w:tc>
                <w:tcPr>
                  <w:tcW w:w="599" w:type="dxa"/>
                  <w:vMerge w:val="continue"/>
                  <w:vAlign w:val="center"/>
                </w:tcPr>
                <w:p w14:paraId="7649166C">
                  <w:pPr>
                    <w:widowControl/>
                    <w:jc w:val="center"/>
                    <w:textAlignment w:val="center"/>
                    <w:rPr>
                      <w:color w:val="auto"/>
                      <w:kern w:val="0"/>
                      <w:szCs w:val="21"/>
                      <w:lang w:bidi="ar"/>
                    </w:rPr>
                  </w:pPr>
                </w:p>
              </w:tc>
              <w:tc>
                <w:tcPr>
                  <w:tcW w:w="974" w:type="dxa"/>
                  <w:vAlign w:val="center"/>
                </w:tcPr>
                <w:p w14:paraId="41FCA80F">
                  <w:pPr>
                    <w:widowControl/>
                    <w:jc w:val="center"/>
                    <w:textAlignment w:val="center"/>
                    <w:rPr>
                      <w:color w:val="auto"/>
                      <w:kern w:val="0"/>
                      <w:szCs w:val="21"/>
                      <w:highlight w:val="none"/>
                      <w:lang w:bidi="ar"/>
                    </w:rPr>
                  </w:pPr>
                  <w:r>
                    <w:rPr>
                      <w:rFonts w:hint="eastAsia"/>
                      <w:color w:val="auto"/>
                      <w:kern w:val="0"/>
                      <w:szCs w:val="21"/>
                      <w:highlight w:val="none"/>
                      <w:lang w:bidi="ar"/>
                    </w:rPr>
                    <w:t>废水</w:t>
                  </w:r>
                </w:p>
              </w:tc>
              <w:tc>
                <w:tcPr>
                  <w:tcW w:w="5107" w:type="dxa"/>
                  <w:gridSpan w:val="7"/>
                  <w:vAlign w:val="center"/>
                </w:tcPr>
                <w:p w14:paraId="20C804DF">
                  <w:pPr>
                    <w:widowControl/>
                    <w:jc w:val="center"/>
                    <w:textAlignment w:val="center"/>
                    <w:rPr>
                      <w:color w:val="auto"/>
                      <w:szCs w:val="21"/>
                      <w:highlight w:val="none"/>
                    </w:rPr>
                  </w:pPr>
                  <w:r>
                    <w:rPr>
                      <w:rFonts w:hint="eastAsia"/>
                      <w:color w:val="auto"/>
                      <w:szCs w:val="21"/>
                      <w:highlight w:val="none"/>
                    </w:rPr>
                    <w:t>生活污水</w:t>
                  </w:r>
                  <w:r>
                    <w:rPr>
                      <w:rFonts w:hint="eastAsia"/>
                      <w:color w:val="auto"/>
                      <w:szCs w:val="21"/>
                      <w:highlight w:val="none"/>
                      <w:lang w:val="en-US" w:eastAsia="zh-CN"/>
                    </w:rPr>
                    <w:t>共需要</w:t>
                  </w:r>
                  <w:r>
                    <w:rPr>
                      <w:rFonts w:hint="eastAsia"/>
                      <w:bCs/>
                      <w:color w:val="auto"/>
                      <w:sz w:val="21"/>
                      <w:szCs w:val="21"/>
                      <w:highlight w:val="none"/>
                      <w:lang w:val="en-US" w:eastAsia="zh-CN"/>
                    </w:rPr>
                    <w:t>244.2</w:t>
                  </w:r>
                  <w:r>
                    <w:rPr>
                      <w:rFonts w:ascii="Times New Roman" w:hAnsi="Times New Roman"/>
                      <w:bCs/>
                      <w:color w:val="auto"/>
                      <w:sz w:val="21"/>
                      <w:szCs w:val="21"/>
                      <w:highlight w:val="none"/>
                    </w:rPr>
                    <w:t>m</w:t>
                  </w:r>
                  <w:r>
                    <w:rPr>
                      <w:rFonts w:ascii="Times New Roman" w:hAnsi="Times New Roman"/>
                      <w:bCs/>
                      <w:color w:val="auto"/>
                      <w:sz w:val="21"/>
                      <w:szCs w:val="21"/>
                      <w:highlight w:val="none"/>
                      <w:vertAlign w:val="superscript"/>
                    </w:rPr>
                    <w:t>3</w:t>
                  </w:r>
                  <w:r>
                    <w:rPr>
                      <w:rFonts w:ascii="Times New Roman" w:hAnsi="Times New Roman"/>
                      <w:bCs/>
                      <w:color w:val="auto"/>
                      <w:sz w:val="21"/>
                      <w:szCs w:val="21"/>
                      <w:highlight w:val="none"/>
                    </w:rPr>
                    <w:t>/a</w:t>
                  </w:r>
                  <w:r>
                    <w:rPr>
                      <w:rFonts w:hint="eastAsia"/>
                      <w:bCs/>
                      <w:color w:val="auto"/>
                      <w:sz w:val="21"/>
                      <w:szCs w:val="21"/>
                      <w:highlight w:val="none"/>
                      <w:lang w:eastAsia="zh-CN"/>
                    </w:rPr>
                    <w:t>，</w:t>
                  </w:r>
                  <w:r>
                    <w:rPr>
                      <w:rFonts w:hint="eastAsia"/>
                      <w:bCs/>
                      <w:color w:val="auto"/>
                      <w:sz w:val="21"/>
                      <w:szCs w:val="21"/>
                      <w:highlight w:val="none"/>
                      <w:lang w:val="en-US" w:eastAsia="zh-CN"/>
                    </w:rPr>
                    <w:t>生活污水经园区化粪池处理后，接管排入内蒙古天河水务有限公司进一步处理</w:t>
                  </w:r>
                  <w:r>
                    <w:rPr>
                      <w:rFonts w:hint="eastAsia"/>
                      <w:color w:val="auto"/>
                      <w:szCs w:val="21"/>
                      <w:highlight w:val="none"/>
                    </w:rPr>
                    <w:t>。</w:t>
                  </w:r>
                </w:p>
              </w:tc>
              <w:tc>
                <w:tcPr>
                  <w:tcW w:w="718" w:type="dxa"/>
                  <w:vAlign w:val="center"/>
                </w:tcPr>
                <w:p w14:paraId="54A08618">
                  <w:pPr>
                    <w:widowControl/>
                    <w:jc w:val="both"/>
                    <w:textAlignment w:val="center"/>
                    <w:rPr>
                      <w:rFonts w:hint="eastAsia" w:eastAsia="宋体"/>
                      <w:color w:val="auto"/>
                      <w:kern w:val="0"/>
                      <w:szCs w:val="21"/>
                      <w:lang w:eastAsia="zh-CN" w:bidi="ar"/>
                    </w:rPr>
                  </w:pPr>
                  <w:r>
                    <w:rPr>
                      <w:rFonts w:hint="eastAsia"/>
                      <w:color w:val="auto"/>
                      <w:kern w:val="0"/>
                      <w:szCs w:val="21"/>
                      <w:lang w:val="en-US" w:eastAsia="zh-CN" w:bidi="ar"/>
                    </w:rPr>
                    <w:t>依托</w:t>
                  </w:r>
                </w:p>
              </w:tc>
            </w:tr>
            <w:tr w14:paraId="7693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599" w:type="dxa"/>
                  <w:vMerge w:val="continue"/>
                  <w:vAlign w:val="center"/>
                </w:tcPr>
                <w:p w14:paraId="5D9F336F">
                  <w:pPr>
                    <w:widowControl/>
                    <w:jc w:val="center"/>
                    <w:textAlignment w:val="center"/>
                    <w:rPr>
                      <w:color w:val="auto"/>
                    </w:rPr>
                  </w:pPr>
                </w:p>
              </w:tc>
              <w:tc>
                <w:tcPr>
                  <w:tcW w:w="599" w:type="dxa"/>
                  <w:vMerge w:val="continue"/>
                  <w:vAlign w:val="center"/>
                </w:tcPr>
                <w:p w14:paraId="37AEEB89">
                  <w:pPr>
                    <w:widowControl/>
                    <w:jc w:val="center"/>
                    <w:textAlignment w:val="center"/>
                    <w:rPr>
                      <w:color w:val="auto"/>
                    </w:rPr>
                  </w:pPr>
                </w:p>
              </w:tc>
              <w:tc>
                <w:tcPr>
                  <w:tcW w:w="974" w:type="dxa"/>
                  <w:vAlign w:val="center"/>
                </w:tcPr>
                <w:p w14:paraId="54C42E69">
                  <w:pPr>
                    <w:widowControl/>
                    <w:jc w:val="center"/>
                    <w:textAlignment w:val="center"/>
                    <w:rPr>
                      <w:color w:val="auto"/>
                      <w:kern w:val="0"/>
                      <w:szCs w:val="21"/>
                      <w:lang w:bidi="ar"/>
                    </w:rPr>
                  </w:pPr>
                  <w:r>
                    <w:rPr>
                      <w:rFonts w:hint="eastAsia"/>
                      <w:color w:val="auto"/>
                      <w:kern w:val="0"/>
                      <w:szCs w:val="21"/>
                      <w:lang w:bidi="ar"/>
                    </w:rPr>
                    <w:t>噪声</w:t>
                  </w:r>
                </w:p>
              </w:tc>
              <w:tc>
                <w:tcPr>
                  <w:tcW w:w="5107" w:type="dxa"/>
                  <w:gridSpan w:val="7"/>
                  <w:vAlign w:val="center"/>
                </w:tcPr>
                <w:p w14:paraId="0A8A5C15">
                  <w:pPr>
                    <w:widowControl/>
                    <w:jc w:val="center"/>
                    <w:textAlignment w:val="center"/>
                    <w:rPr>
                      <w:color w:val="auto"/>
                      <w:kern w:val="0"/>
                      <w:szCs w:val="21"/>
                      <w:lang w:bidi="ar"/>
                    </w:rPr>
                  </w:pPr>
                  <w:r>
                    <w:rPr>
                      <w:rFonts w:hint="eastAsia"/>
                      <w:color w:val="auto"/>
                      <w:kern w:val="0"/>
                      <w:szCs w:val="21"/>
                      <w:lang w:bidi="ar"/>
                    </w:rPr>
                    <w:t>合理布局，选用低噪声设备，机械设备安装减振基础。</w:t>
                  </w:r>
                </w:p>
              </w:tc>
              <w:tc>
                <w:tcPr>
                  <w:tcW w:w="718" w:type="dxa"/>
                  <w:vAlign w:val="center"/>
                </w:tcPr>
                <w:p w14:paraId="6BE184A6">
                  <w:pPr>
                    <w:widowControl/>
                    <w:jc w:val="center"/>
                    <w:textAlignment w:val="center"/>
                    <w:rPr>
                      <w:color w:val="auto"/>
                      <w:szCs w:val="21"/>
                    </w:rPr>
                  </w:pPr>
                  <w:r>
                    <w:rPr>
                      <w:rFonts w:hint="eastAsia"/>
                      <w:color w:val="auto"/>
                      <w:kern w:val="0"/>
                      <w:szCs w:val="21"/>
                      <w:lang w:bidi="ar"/>
                    </w:rPr>
                    <w:t>新建</w:t>
                  </w:r>
                </w:p>
              </w:tc>
            </w:tr>
            <w:tr w14:paraId="6746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99" w:type="dxa"/>
                  <w:vMerge w:val="continue"/>
                  <w:vAlign w:val="center"/>
                </w:tcPr>
                <w:p w14:paraId="359C5DD1">
                  <w:pPr>
                    <w:widowControl/>
                    <w:jc w:val="center"/>
                    <w:textAlignment w:val="center"/>
                    <w:rPr>
                      <w:color w:val="auto"/>
                      <w:kern w:val="0"/>
                      <w:szCs w:val="21"/>
                      <w:lang w:bidi="ar"/>
                    </w:rPr>
                  </w:pPr>
                </w:p>
              </w:tc>
              <w:tc>
                <w:tcPr>
                  <w:tcW w:w="599" w:type="dxa"/>
                  <w:vMerge w:val="continue"/>
                  <w:vAlign w:val="center"/>
                </w:tcPr>
                <w:p w14:paraId="6DB533D9">
                  <w:pPr>
                    <w:widowControl/>
                    <w:jc w:val="center"/>
                    <w:textAlignment w:val="center"/>
                    <w:rPr>
                      <w:color w:val="auto"/>
                      <w:kern w:val="0"/>
                      <w:szCs w:val="21"/>
                      <w:lang w:bidi="ar"/>
                    </w:rPr>
                  </w:pPr>
                </w:p>
              </w:tc>
              <w:tc>
                <w:tcPr>
                  <w:tcW w:w="974" w:type="dxa"/>
                  <w:vMerge w:val="restart"/>
                  <w:vAlign w:val="center"/>
                </w:tcPr>
                <w:p w14:paraId="79172A07">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固废</w:t>
                  </w:r>
                </w:p>
              </w:tc>
              <w:tc>
                <w:tcPr>
                  <w:tcW w:w="456" w:type="dxa"/>
                  <w:vMerge w:val="restart"/>
                  <w:vAlign w:val="center"/>
                </w:tcPr>
                <w:p w14:paraId="73A9D702">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一般固废</w:t>
                  </w:r>
                </w:p>
              </w:tc>
              <w:tc>
                <w:tcPr>
                  <w:tcW w:w="998" w:type="dxa"/>
                  <w:gridSpan w:val="4"/>
                  <w:shd w:val="clear" w:color="auto" w:fill="auto"/>
                  <w:vAlign w:val="center"/>
                </w:tcPr>
                <w:p w14:paraId="6C1366E1">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切割粉尘</w:t>
                  </w:r>
                  <w:r>
                    <w:rPr>
                      <w:rFonts w:hint="eastAsia" w:ascii="Times New Roman" w:hAnsi="Times New Roman" w:eastAsia="宋体" w:cs="Times New Roman"/>
                      <w:bCs/>
                      <w:color w:val="auto"/>
                      <w:szCs w:val="21"/>
                      <w:lang w:val="en-US" w:eastAsia="zh-CN"/>
                    </w:rPr>
                    <w:t>（S</w:t>
                  </w:r>
                  <w:r>
                    <w:rPr>
                      <w:rFonts w:hint="eastAsia" w:cs="Times New Roman"/>
                      <w:bCs/>
                      <w:color w:val="auto"/>
                      <w:szCs w:val="21"/>
                      <w:lang w:val="en-US" w:eastAsia="zh-CN"/>
                    </w:rPr>
                    <w:t>4</w:t>
                  </w:r>
                  <w:r>
                    <w:rPr>
                      <w:rFonts w:hint="eastAsia" w:ascii="Times New Roman" w:hAnsi="Times New Roman" w:eastAsia="宋体" w:cs="Times New Roman"/>
                      <w:bCs/>
                      <w:color w:val="auto"/>
                      <w:szCs w:val="21"/>
                      <w:lang w:val="en-US" w:eastAsia="zh-CN"/>
                    </w:rPr>
                    <w:t>）</w:t>
                  </w:r>
                </w:p>
              </w:tc>
              <w:tc>
                <w:tcPr>
                  <w:tcW w:w="3653" w:type="dxa"/>
                  <w:gridSpan w:val="2"/>
                  <w:vAlign w:val="center"/>
                </w:tcPr>
                <w:p w14:paraId="3B5C0411">
                  <w:pPr>
                    <w:widowControl/>
                    <w:jc w:val="center"/>
                    <w:textAlignment w:val="center"/>
                    <w:rPr>
                      <w:bCs/>
                      <w:color w:val="auto"/>
                      <w:szCs w:val="21"/>
                    </w:rPr>
                  </w:pPr>
                  <w:r>
                    <w:rPr>
                      <w:rFonts w:hint="eastAsia"/>
                      <w:bCs/>
                      <w:color w:val="auto"/>
                      <w:szCs w:val="21"/>
                      <w:lang w:val="en-US" w:eastAsia="zh-CN"/>
                    </w:rPr>
                    <w:t>切割工序产生的切割粉尘，收集后</w:t>
                  </w:r>
                  <w:r>
                    <w:rPr>
                      <w:rFonts w:hint="eastAsia"/>
                      <w:bCs/>
                      <w:color w:val="auto"/>
                      <w:szCs w:val="21"/>
                    </w:rPr>
                    <w:t>暂存一般固体废物暂存间，交由一般固废处置单位处置。</w:t>
                  </w:r>
                </w:p>
              </w:tc>
              <w:tc>
                <w:tcPr>
                  <w:tcW w:w="718" w:type="dxa"/>
                  <w:vAlign w:val="center"/>
                </w:tcPr>
                <w:p w14:paraId="2857258E">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新建</w:t>
                  </w:r>
                </w:p>
              </w:tc>
            </w:tr>
            <w:tr w14:paraId="5167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99" w:type="dxa"/>
                  <w:vMerge w:val="continue"/>
                  <w:vAlign w:val="center"/>
                </w:tcPr>
                <w:p w14:paraId="0B6E490A">
                  <w:pPr>
                    <w:widowControl/>
                    <w:jc w:val="center"/>
                    <w:textAlignment w:val="center"/>
                    <w:rPr>
                      <w:color w:val="auto"/>
                      <w:kern w:val="0"/>
                      <w:szCs w:val="21"/>
                      <w:lang w:bidi="ar"/>
                    </w:rPr>
                  </w:pPr>
                </w:p>
              </w:tc>
              <w:tc>
                <w:tcPr>
                  <w:tcW w:w="599" w:type="dxa"/>
                  <w:vMerge w:val="continue"/>
                  <w:vAlign w:val="center"/>
                </w:tcPr>
                <w:p w14:paraId="720B7FF1">
                  <w:pPr>
                    <w:widowControl/>
                    <w:jc w:val="center"/>
                    <w:textAlignment w:val="center"/>
                    <w:rPr>
                      <w:color w:val="auto"/>
                      <w:kern w:val="0"/>
                      <w:szCs w:val="21"/>
                      <w:lang w:bidi="ar"/>
                    </w:rPr>
                  </w:pPr>
                </w:p>
              </w:tc>
              <w:tc>
                <w:tcPr>
                  <w:tcW w:w="974" w:type="dxa"/>
                  <w:vMerge w:val="continue"/>
                  <w:vAlign w:val="center"/>
                </w:tcPr>
                <w:p w14:paraId="5832A769">
                  <w:pPr>
                    <w:widowControl/>
                    <w:jc w:val="center"/>
                    <w:textAlignment w:val="center"/>
                    <w:rPr>
                      <w:color w:val="auto"/>
                      <w:kern w:val="0"/>
                      <w:szCs w:val="21"/>
                      <w:lang w:bidi="ar"/>
                    </w:rPr>
                  </w:pPr>
                </w:p>
              </w:tc>
              <w:tc>
                <w:tcPr>
                  <w:tcW w:w="456" w:type="dxa"/>
                  <w:vMerge w:val="continue"/>
                  <w:vAlign w:val="center"/>
                </w:tcPr>
                <w:p w14:paraId="31195B10">
                  <w:pPr>
                    <w:widowControl/>
                    <w:jc w:val="center"/>
                    <w:textAlignment w:val="center"/>
                    <w:rPr>
                      <w:color w:val="auto"/>
                      <w:kern w:val="0"/>
                      <w:szCs w:val="21"/>
                      <w:lang w:bidi="ar"/>
                    </w:rPr>
                  </w:pPr>
                </w:p>
              </w:tc>
              <w:tc>
                <w:tcPr>
                  <w:tcW w:w="998" w:type="dxa"/>
                  <w:gridSpan w:val="4"/>
                  <w:shd w:val="clear" w:color="auto" w:fill="auto"/>
                  <w:vAlign w:val="center"/>
                </w:tcPr>
                <w:p w14:paraId="2206D57A">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打磨粉尘</w:t>
                  </w:r>
                  <w:r>
                    <w:rPr>
                      <w:rFonts w:hint="eastAsia" w:ascii="Times New Roman" w:hAnsi="Times New Roman" w:eastAsia="宋体" w:cs="Times New Roman"/>
                      <w:bCs/>
                      <w:color w:val="auto"/>
                      <w:szCs w:val="21"/>
                      <w:lang w:val="en-US" w:eastAsia="zh-CN"/>
                    </w:rPr>
                    <w:t>（S</w:t>
                  </w:r>
                  <w:r>
                    <w:rPr>
                      <w:rFonts w:hint="eastAsia" w:cs="Times New Roman"/>
                      <w:bCs/>
                      <w:color w:val="auto"/>
                      <w:szCs w:val="21"/>
                      <w:lang w:val="en-US" w:eastAsia="zh-CN"/>
                    </w:rPr>
                    <w:t>5</w:t>
                  </w:r>
                  <w:r>
                    <w:rPr>
                      <w:rFonts w:hint="eastAsia" w:ascii="Times New Roman" w:hAnsi="Times New Roman" w:eastAsia="宋体" w:cs="Times New Roman"/>
                      <w:bCs/>
                      <w:color w:val="auto"/>
                      <w:szCs w:val="21"/>
                      <w:lang w:val="en-US" w:eastAsia="zh-CN"/>
                    </w:rPr>
                    <w:t>）</w:t>
                  </w:r>
                </w:p>
              </w:tc>
              <w:tc>
                <w:tcPr>
                  <w:tcW w:w="3653" w:type="dxa"/>
                  <w:gridSpan w:val="2"/>
                  <w:vAlign w:val="center"/>
                </w:tcPr>
                <w:p w14:paraId="55E79391">
                  <w:pPr>
                    <w:widowControl/>
                    <w:jc w:val="center"/>
                    <w:textAlignment w:val="center"/>
                    <w:rPr>
                      <w:bCs/>
                      <w:color w:val="auto"/>
                      <w:szCs w:val="21"/>
                    </w:rPr>
                  </w:pPr>
                  <w:r>
                    <w:rPr>
                      <w:rFonts w:hint="eastAsia"/>
                      <w:bCs/>
                      <w:color w:val="auto"/>
                      <w:szCs w:val="21"/>
                      <w:lang w:val="en-US" w:eastAsia="zh-CN"/>
                    </w:rPr>
                    <w:t>打磨工序产生的打磨粉尘，收集后</w:t>
                  </w:r>
                  <w:r>
                    <w:rPr>
                      <w:rFonts w:hint="eastAsia"/>
                      <w:bCs/>
                      <w:color w:val="auto"/>
                      <w:szCs w:val="21"/>
                    </w:rPr>
                    <w:t>暂存一般固体废物暂存间，交由一般固废处置单位处置。</w:t>
                  </w:r>
                </w:p>
              </w:tc>
              <w:tc>
                <w:tcPr>
                  <w:tcW w:w="718" w:type="dxa"/>
                  <w:vAlign w:val="center"/>
                </w:tcPr>
                <w:p w14:paraId="6C6414BC">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新建</w:t>
                  </w:r>
                </w:p>
              </w:tc>
            </w:tr>
            <w:tr w14:paraId="3B3E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99" w:type="dxa"/>
                  <w:vMerge w:val="continue"/>
                  <w:vAlign w:val="center"/>
                </w:tcPr>
                <w:p w14:paraId="30AC4F4C">
                  <w:pPr>
                    <w:widowControl/>
                    <w:jc w:val="center"/>
                    <w:textAlignment w:val="center"/>
                    <w:rPr>
                      <w:color w:val="auto"/>
                      <w:kern w:val="0"/>
                      <w:szCs w:val="21"/>
                      <w:lang w:bidi="ar"/>
                    </w:rPr>
                  </w:pPr>
                </w:p>
              </w:tc>
              <w:tc>
                <w:tcPr>
                  <w:tcW w:w="599" w:type="dxa"/>
                  <w:vMerge w:val="continue"/>
                  <w:vAlign w:val="center"/>
                </w:tcPr>
                <w:p w14:paraId="76C056DA">
                  <w:pPr>
                    <w:widowControl/>
                    <w:jc w:val="center"/>
                    <w:textAlignment w:val="center"/>
                    <w:rPr>
                      <w:color w:val="auto"/>
                      <w:kern w:val="0"/>
                      <w:szCs w:val="21"/>
                      <w:lang w:bidi="ar"/>
                    </w:rPr>
                  </w:pPr>
                </w:p>
              </w:tc>
              <w:tc>
                <w:tcPr>
                  <w:tcW w:w="974" w:type="dxa"/>
                  <w:vMerge w:val="continue"/>
                  <w:vAlign w:val="center"/>
                </w:tcPr>
                <w:p w14:paraId="53894248">
                  <w:pPr>
                    <w:widowControl/>
                    <w:jc w:val="center"/>
                    <w:textAlignment w:val="center"/>
                    <w:rPr>
                      <w:color w:val="auto"/>
                      <w:kern w:val="0"/>
                      <w:szCs w:val="21"/>
                      <w:lang w:bidi="ar"/>
                    </w:rPr>
                  </w:pPr>
                </w:p>
              </w:tc>
              <w:tc>
                <w:tcPr>
                  <w:tcW w:w="456" w:type="dxa"/>
                  <w:vMerge w:val="continue"/>
                  <w:vAlign w:val="center"/>
                </w:tcPr>
                <w:p w14:paraId="342146BF">
                  <w:pPr>
                    <w:widowControl/>
                    <w:jc w:val="center"/>
                    <w:textAlignment w:val="center"/>
                    <w:rPr>
                      <w:color w:val="auto"/>
                      <w:kern w:val="0"/>
                      <w:szCs w:val="21"/>
                      <w:lang w:bidi="ar"/>
                    </w:rPr>
                  </w:pPr>
                </w:p>
              </w:tc>
              <w:tc>
                <w:tcPr>
                  <w:tcW w:w="998" w:type="dxa"/>
                  <w:gridSpan w:val="4"/>
                  <w:shd w:val="clear" w:color="auto" w:fill="auto"/>
                  <w:vAlign w:val="center"/>
                </w:tcPr>
                <w:p w14:paraId="4DA48FD0">
                  <w:pPr>
                    <w:snapToGrid w:val="0"/>
                    <w:jc w:val="center"/>
                    <w:rPr>
                      <w:rFonts w:hint="eastAsia" w:cs="Times New Roman"/>
                      <w:bCs/>
                      <w:color w:val="auto"/>
                      <w:szCs w:val="21"/>
                      <w:lang w:val="en-US" w:eastAsia="zh-CN"/>
                    </w:rPr>
                  </w:pPr>
                  <w:r>
                    <w:rPr>
                      <w:rFonts w:hint="eastAsia" w:cs="Times New Roman"/>
                      <w:bCs/>
                      <w:color w:val="auto"/>
                      <w:szCs w:val="21"/>
                      <w:lang w:val="en-US" w:eastAsia="zh-CN"/>
                    </w:rPr>
                    <w:t>静电喷涂粉尘（S6）</w:t>
                  </w:r>
                </w:p>
              </w:tc>
              <w:tc>
                <w:tcPr>
                  <w:tcW w:w="3653" w:type="dxa"/>
                  <w:gridSpan w:val="2"/>
                  <w:vAlign w:val="center"/>
                </w:tcPr>
                <w:p w14:paraId="5B2442BD">
                  <w:pPr>
                    <w:widowControl/>
                    <w:jc w:val="center"/>
                    <w:textAlignment w:val="center"/>
                    <w:rPr>
                      <w:rFonts w:hint="eastAsia"/>
                      <w:bCs/>
                      <w:color w:val="auto"/>
                      <w:szCs w:val="21"/>
                      <w:lang w:val="en-US" w:eastAsia="zh-CN"/>
                    </w:rPr>
                  </w:pPr>
                  <w:r>
                    <w:rPr>
                      <w:rFonts w:hint="eastAsia"/>
                      <w:bCs/>
                      <w:color w:val="auto"/>
                      <w:szCs w:val="21"/>
                      <w:lang w:val="en-US" w:eastAsia="zh-CN"/>
                    </w:rPr>
                    <w:t>除尘器及滤芯过滤器收集的粉尘回用于生产工序。</w:t>
                  </w:r>
                </w:p>
              </w:tc>
              <w:tc>
                <w:tcPr>
                  <w:tcW w:w="718" w:type="dxa"/>
                  <w:vAlign w:val="center"/>
                </w:tcPr>
                <w:p w14:paraId="02942C5C">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新建</w:t>
                  </w:r>
                </w:p>
              </w:tc>
            </w:tr>
            <w:tr w14:paraId="5598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99" w:type="dxa"/>
                  <w:vMerge w:val="continue"/>
                  <w:vAlign w:val="center"/>
                </w:tcPr>
                <w:p w14:paraId="6A2F631D">
                  <w:pPr>
                    <w:widowControl/>
                    <w:jc w:val="center"/>
                    <w:textAlignment w:val="center"/>
                    <w:rPr>
                      <w:color w:val="auto"/>
                      <w:kern w:val="0"/>
                      <w:szCs w:val="21"/>
                      <w:lang w:bidi="ar"/>
                    </w:rPr>
                  </w:pPr>
                </w:p>
              </w:tc>
              <w:tc>
                <w:tcPr>
                  <w:tcW w:w="599" w:type="dxa"/>
                  <w:vMerge w:val="continue"/>
                  <w:vAlign w:val="center"/>
                </w:tcPr>
                <w:p w14:paraId="72E4E7C8">
                  <w:pPr>
                    <w:widowControl/>
                    <w:jc w:val="center"/>
                    <w:textAlignment w:val="center"/>
                    <w:rPr>
                      <w:color w:val="auto"/>
                      <w:kern w:val="0"/>
                      <w:szCs w:val="21"/>
                      <w:lang w:bidi="ar"/>
                    </w:rPr>
                  </w:pPr>
                </w:p>
              </w:tc>
              <w:tc>
                <w:tcPr>
                  <w:tcW w:w="974" w:type="dxa"/>
                  <w:vMerge w:val="continue"/>
                  <w:vAlign w:val="center"/>
                </w:tcPr>
                <w:p w14:paraId="0BA7E158">
                  <w:pPr>
                    <w:widowControl/>
                    <w:jc w:val="center"/>
                    <w:textAlignment w:val="center"/>
                    <w:rPr>
                      <w:color w:val="auto"/>
                      <w:kern w:val="0"/>
                      <w:szCs w:val="21"/>
                      <w:lang w:bidi="ar"/>
                    </w:rPr>
                  </w:pPr>
                </w:p>
              </w:tc>
              <w:tc>
                <w:tcPr>
                  <w:tcW w:w="456" w:type="dxa"/>
                  <w:vMerge w:val="continue"/>
                  <w:vAlign w:val="center"/>
                </w:tcPr>
                <w:p w14:paraId="1629833E">
                  <w:pPr>
                    <w:widowControl/>
                    <w:jc w:val="center"/>
                    <w:textAlignment w:val="center"/>
                    <w:rPr>
                      <w:color w:val="auto"/>
                      <w:kern w:val="0"/>
                      <w:szCs w:val="21"/>
                      <w:lang w:bidi="ar"/>
                    </w:rPr>
                  </w:pPr>
                </w:p>
              </w:tc>
              <w:tc>
                <w:tcPr>
                  <w:tcW w:w="998" w:type="dxa"/>
                  <w:gridSpan w:val="4"/>
                  <w:shd w:val="clear" w:color="auto" w:fill="auto"/>
                  <w:vAlign w:val="center"/>
                </w:tcPr>
                <w:p w14:paraId="1E96C233">
                  <w:pPr>
                    <w:snapToGrid w:val="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不合格产品（S</w:t>
                  </w:r>
                  <w:r>
                    <w:rPr>
                      <w:rFonts w:hint="eastAsia" w:cs="Times New Roman"/>
                      <w:bCs/>
                      <w:color w:val="auto"/>
                      <w:szCs w:val="21"/>
                      <w:lang w:val="en-US" w:eastAsia="zh-CN"/>
                    </w:rPr>
                    <w:t>8</w:t>
                  </w:r>
                  <w:r>
                    <w:rPr>
                      <w:rFonts w:hint="eastAsia" w:ascii="Times New Roman" w:hAnsi="Times New Roman" w:eastAsia="宋体" w:cs="Times New Roman"/>
                      <w:bCs/>
                      <w:color w:val="auto"/>
                      <w:szCs w:val="21"/>
                      <w:lang w:val="en-US" w:eastAsia="zh-CN"/>
                    </w:rPr>
                    <w:t>）</w:t>
                  </w:r>
                </w:p>
              </w:tc>
              <w:tc>
                <w:tcPr>
                  <w:tcW w:w="3653" w:type="dxa"/>
                  <w:gridSpan w:val="2"/>
                  <w:vAlign w:val="center"/>
                </w:tcPr>
                <w:p w14:paraId="6E490DD5">
                  <w:pPr>
                    <w:widowControl/>
                    <w:jc w:val="center"/>
                    <w:textAlignment w:val="center"/>
                    <w:rPr>
                      <w:bCs/>
                      <w:color w:val="auto"/>
                      <w:szCs w:val="21"/>
                    </w:rPr>
                  </w:pPr>
                  <w:r>
                    <w:rPr>
                      <w:rFonts w:hint="eastAsia"/>
                      <w:bCs/>
                      <w:color w:val="auto"/>
                      <w:szCs w:val="21"/>
                      <w:lang w:val="en-US" w:eastAsia="zh-CN"/>
                    </w:rPr>
                    <w:t>检验不合格的产品，收集后</w:t>
                  </w:r>
                  <w:r>
                    <w:rPr>
                      <w:rFonts w:hint="eastAsia"/>
                      <w:bCs/>
                      <w:color w:val="auto"/>
                      <w:szCs w:val="21"/>
                    </w:rPr>
                    <w:t>暂存一般固体废物暂存间，交由一般固废处置单位处置。</w:t>
                  </w:r>
                </w:p>
              </w:tc>
              <w:tc>
                <w:tcPr>
                  <w:tcW w:w="718" w:type="dxa"/>
                  <w:vAlign w:val="center"/>
                </w:tcPr>
                <w:p w14:paraId="3E451E14">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新建</w:t>
                  </w:r>
                </w:p>
              </w:tc>
            </w:tr>
            <w:tr w14:paraId="31F9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599" w:type="dxa"/>
                  <w:vMerge w:val="continue"/>
                  <w:vAlign w:val="center"/>
                </w:tcPr>
                <w:p w14:paraId="7628F9FD">
                  <w:pPr>
                    <w:widowControl/>
                    <w:jc w:val="center"/>
                    <w:textAlignment w:val="center"/>
                    <w:rPr>
                      <w:color w:val="auto"/>
                      <w:kern w:val="0"/>
                      <w:szCs w:val="21"/>
                      <w:lang w:bidi="ar"/>
                    </w:rPr>
                  </w:pPr>
                </w:p>
              </w:tc>
              <w:tc>
                <w:tcPr>
                  <w:tcW w:w="599" w:type="dxa"/>
                  <w:vMerge w:val="continue"/>
                  <w:vAlign w:val="center"/>
                </w:tcPr>
                <w:p w14:paraId="2BBD77C6">
                  <w:pPr>
                    <w:widowControl/>
                    <w:jc w:val="center"/>
                    <w:textAlignment w:val="center"/>
                    <w:rPr>
                      <w:color w:val="auto"/>
                      <w:kern w:val="0"/>
                      <w:szCs w:val="21"/>
                      <w:lang w:bidi="ar"/>
                    </w:rPr>
                  </w:pPr>
                </w:p>
              </w:tc>
              <w:tc>
                <w:tcPr>
                  <w:tcW w:w="974" w:type="dxa"/>
                  <w:vMerge w:val="continue"/>
                  <w:vAlign w:val="center"/>
                </w:tcPr>
                <w:p w14:paraId="16C4438E">
                  <w:pPr>
                    <w:widowControl/>
                    <w:jc w:val="center"/>
                    <w:textAlignment w:val="center"/>
                    <w:rPr>
                      <w:color w:val="auto"/>
                      <w:kern w:val="0"/>
                      <w:szCs w:val="21"/>
                      <w:lang w:bidi="ar"/>
                    </w:rPr>
                  </w:pPr>
                </w:p>
              </w:tc>
              <w:tc>
                <w:tcPr>
                  <w:tcW w:w="456" w:type="dxa"/>
                  <w:vMerge w:val="continue"/>
                  <w:vAlign w:val="center"/>
                </w:tcPr>
                <w:p w14:paraId="66B3F62C">
                  <w:pPr>
                    <w:widowControl/>
                    <w:jc w:val="center"/>
                    <w:textAlignment w:val="center"/>
                    <w:rPr>
                      <w:color w:val="auto"/>
                      <w:kern w:val="0"/>
                      <w:szCs w:val="21"/>
                      <w:lang w:bidi="ar"/>
                    </w:rPr>
                  </w:pPr>
                </w:p>
              </w:tc>
              <w:tc>
                <w:tcPr>
                  <w:tcW w:w="998" w:type="dxa"/>
                  <w:gridSpan w:val="4"/>
                  <w:vAlign w:val="center"/>
                </w:tcPr>
                <w:p w14:paraId="02087DF1">
                  <w:pPr>
                    <w:widowControl/>
                    <w:jc w:val="center"/>
                    <w:textAlignment w:val="center"/>
                    <w:rPr>
                      <w:rFonts w:hint="eastAsia"/>
                      <w:color w:val="auto"/>
                      <w:kern w:val="0"/>
                      <w:szCs w:val="21"/>
                      <w:lang w:bidi="ar"/>
                    </w:rPr>
                  </w:pPr>
                  <w:r>
                    <w:rPr>
                      <w:rFonts w:hint="eastAsia"/>
                      <w:color w:val="auto"/>
                      <w:kern w:val="0"/>
                      <w:szCs w:val="21"/>
                      <w:lang w:bidi="ar"/>
                    </w:rPr>
                    <w:t>生活</w:t>
                  </w:r>
                </w:p>
                <w:p w14:paraId="3FEED342">
                  <w:pPr>
                    <w:widowControl/>
                    <w:jc w:val="center"/>
                    <w:textAlignment w:val="center"/>
                    <w:rPr>
                      <w:rFonts w:hint="eastAsia" w:eastAsia="宋体"/>
                      <w:color w:val="auto"/>
                      <w:kern w:val="0"/>
                      <w:szCs w:val="21"/>
                      <w:lang w:eastAsia="zh-CN" w:bidi="ar"/>
                    </w:rPr>
                  </w:pPr>
                  <w:r>
                    <w:rPr>
                      <w:rFonts w:hint="eastAsia"/>
                      <w:color w:val="auto"/>
                      <w:kern w:val="0"/>
                      <w:szCs w:val="21"/>
                      <w:lang w:bidi="ar"/>
                    </w:rPr>
                    <w:t>垃圾</w:t>
                  </w:r>
                  <w:r>
                    <w:rPr>
                      <w:rFonts w:hint="eastAsia"/>
                      <w:color w:val="auto"/>
                      <w:kern w:val="0"/>
                      <w:szCs w:val="21"/>
                      <w:lang w:eastAsia="zh-CN" w:bidi="ar"/>
                    </w:rPr>
                    <w:t>（</w:t>
                  </w:r>
                  <w:r>
                    <w:rPr>
                      <w:rFonts w:hint="eastAsia"/>
                      <w:color w:val="auto"/>
                      <w:kern w:val="0"/>
                      <w:szCs w:val="21"/>
                      <w:lang w:val="en-US" w:eastAsia="zh-CN" w:bidi="ar"/>
                    </w:rPr>
                    <w:t>S10</w:t>
                  </w:r>
                  <w:r>
                    <w:rPr>
                      <w:rFonts w:hint="eastAsia"/>
                      <w:color w:val="auto"/>
                      <w:kern w:val="0"/>
                      <w:szCs w:val="21"/>
                      <w:lang w:eastAsia="zh-CN" w:bidi="ar"/>
                    </w:rPr>
                    <w:t>）</w:t>
                  </w:r>
                </w:p>
              </w:tc>
              <w:tc>
                <w:tcPr>
                  <w:tcW w:w="3653" w:type="dxa"/>
                  <w:gridSpan w:val="2"/>
                  <w:vAlign w:val="center"/>
                </w:tcPr>
                <w:p w14:paraId="7455A458">
                  <w:pPr>
                    <w:widowControl/>
                    <w:jc w:val="center"/>
                    <w:textAlignment w:val="center"/>
                    <w:rPr>
                      <w:color w:val="auto"/>
                      <w:kern w:val="0"/>
                      <w:szCs w:val="21"/>
                      <w:lang w:bidi="ar"/>
                    </w:rPr>
                  </w:pPr>
                  <w:r>
                    <w:rPr>
                      <w:bCs/>
                      <w:color w:val="auto"/>
                      <w:szCs w:val="21"/>
                    </w:rPr>
                    <w:t>办公区收集设施集中收集，生活垃圾由园区环卫部门统一处理。</w:t>
                  </w:r>
                </w:p>
              </w:tc>
              <w:tc>
                <w:tcPr>
                  <w:tcW w:w="718" w:type="dxa"/>
                  <w:vAlign w:val="center"/>
                </w:tcPr>
                <w:p w14:paraId="1E5A4293">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新建</w:t>
                  </w:r>
                </w:p>
              </w:tc>
            </w:tr>
            <w:tr w14:paraId="11A7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99" w:type="dxa"/>
                  <w:vMerge w:val="continue"/>
                  <w:vAlign w:val="center"/>
                </w:tcPr>
                <w:p w14:paraId="5162C764">
                  <w:pPr>
                    <w:widowControl/>
                    <w:jc w:val="center"/>
                    <w:textAlignment w:val="center"/>
                    <w:rPr>
                      <w:color w:val="auto"/>
                      <w:kern w:val="0"/>
                      <w:szCs w:val="21"/>
                      <w:lang w:bidi="ar"/>
                    </w:rPr>
                  </w:pPr>
                </w:p>
              </w:tc>
              <w:tc>
                <w:tcPr>
                  <w:tcW w:w="599" w:type="dxa"/>
                  <w:vMerge w:val="continue"/>
                  <w:vAlign w:val="center"/>
                </w:tcPr>
                <w:p w14:paraId="1A28EB91">
                  <w:pPr>
                    <w:widowControl/>
                    <w:jc w:val="center"/>
                    <w:textAlignment w:val="center"/>
                    <w:rPr>
                      <w:color w:val="auto"/>
                      <w:kern w:val="0"/>
                      <w:szCs w:val="21"/>
                      <w:lang w:bidi="ar"/>
                    </w:rPr>
                  </w:pPr>
                </w:p>
              </w:tc>
              <w:tc>
                <w:tcPr>
                  <w:tcW w:w="974" w:type="dxa"/>
                  <w:vMerge w:val="continue"/>
                  <w:vAlign w:val="center"/>
                </w:tcPr>
                <w:p w14:paraId="70E20AFE">
                  <w:pPr>
                    <w:widowControl/>
                    <w:jc w:val="center"/>
                    <w:textAlignment w:val="center"/>
                    <w:rPr>
                      <w:color w:val="auto"/>
                      <w:kern w:val="0"/>
                      <w:szCs w:val="21"/>
                      <w:lang w:bidi="ar"/>
                    </w:rPr>
                  </w:pPr>
                </w:p>
              </w:tc>
              <w:tc>
                <w:tcPr>
                  <w:tcW w:w="456" w:type="dxa"/>
                  <w:vMerge w:val="restart"/>
                  <w:vAlign w:val="center"/>
                </w:tcPr>
                <w:p w14:paraId="745F3DF0">
                  <w:pPr>
                    <w:widowControl/>
                    <w:jc w:val="center"/>
                    <w:textAlignment w:val="center"/>
                    <w:rPr>
                      <w:color w:val="auto"/>
                      <w:kern w:val="0"/>
                      <w:szCs w:val="21"/>
                      <w:lang w:bidi="ar"/>
                    </w:rPr>
                  </w:pPr>
                  <w:r>
                    <w:rPr>
                      <w:rFonts w:hint="eastAsia"/>
                      <w:color w:val="auto"/>
                      <w:kern w:val="0"/>
                      <w:szCs w:val="21"/>
                      <w:lang w:bidi="ar"/>
                    </w:rPr>
                    <w:t>危险废物</w:t>
                  </w:r>
                </w:p>
              </w:tc>
              <w:tc>
                <w:tcPr>
                  <w:tcW w:w="998" w:type="dxa"/>
                  <w:gridSpan w:val="4"/>
                  <w:vAlign w:val="center"/>
                </w:tcPr>
                <w:p w14:paraId="60343460">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废包装桶（S1）</w:t>
                  </w:r>
                </w:p>
              </w:tc>
              <w:tc>
                <w:tcPr>
                  <w:tcW w:w="3653" w:type="dxa"/>
                  <w:gridSpan w:val="2"/>
                  <w:shd w:val="clear" w:color="auto" w:fill="auto"/>
                  <w:vAlign w:val="center"/>
                </w:tcPr>
                <w:p w14:paraId="3E717899">
                  <w:pPr>
                    <w:snapToGrid w:val="0"/>
                    <w:jc w:val="center"/>
                    <w:rPr>
                      <w:rFonts w:hint="eastAsia"/>
                      <w:bCs/>
                      <w:color w:val="auto"/>
                      <w:szCs w:val="21"/>
                      <w:lang w:val="en-US" w:eastAsia="zh-CN"/>
                    </w:rPr>
                  </w:pPr>
                  <w:r>
                    <w:rPr>
                      <w:rFonts w:hint="eastAsia" w:ascii="Times New Roman" w:hAnsi="Times New Roman" w:eastAsia="宋体" w:cs="Times New Roman"/>
                      <w:bCs/>
                      <w:color w:val="auto"/>
                      <w:szCs w:val="21"/>
                      <w:lang w:val="en-US" w:eastAsia="zh-CN"/>
                    </w:rPr>
                    <w:t>无溶剂改性环氧树脂、改性液体酸酐固化剂、环氧粉末包装桶，暂存危废暂存间，定期委托有资质单位处理。</w:t>
                  </w:r>
                </w:p>
              </w:tc>
              <w:tc>
                <w:tcPr>
                  <w:tcW w:w="718" w:type="dxa"/>
                  <w:vAlign w:val="center"/>
                </w:tcPr>
                <w:p w14:paraId="4ECB6ABC">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新建</w:t>
                  </w:r>
                </w:p>
              </w:tc>
            </w:tr>
            <w:tr w14:paraId="7B79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99" w:type="dxa"/>
                  <w:vMerge w:val="continue"/>
                  <w:vAlign w:val="center"/>
                </w:tcPr>
                <w:p w14:paraId="4DF216B7">
                  <w:pPr>
                    <w:widowControl/>
                    <w:jc w:val="center"/>
                    <w:textAlignment w:val="center"/>
                    <w:rPr>
                      <w:color w:val="auto"/>
                      <w:kern w:val="0"/>
                      <w:szCs w:val="21"/>
                      <w:lang w:bidi="ar"/>
                    </w:rPr>
                  </w:pPr>
                </w:p>
              </w:tc>
              <w:tc>
                <w:tcPr>
                  <w:tcW w:w="599" w:type="dxa"/>
                  <w:vMerge w:val="continue"/>
                  <w:vAlign w:val="center"/>
                </w:tcPr>
                <w:p w14:paraId="14FC4399">
                  <w:pPr>
                    <w:widowControl/>
                    <w:jc w:val="center"/>
                    <w:textAlignment w:val="center"/>
                    <w:rPr>
                      <w:color w:val="auto"/>
                      <w:kern w:val="0"/>
                      <w:szCs w:val="21"/>
                      <w:lang w:bidi="ar"/>
                    </w:rPr>
                  </w:pPr>
                </w:p>
              </w:tc>
              <w:tc>
                <w:tcPr>
                  <w:tcW w:w="974" w:type="dxa"/>
                  <w:vMerge w:val="continue"/>
                  <w:vAlign w:val="center"/>
                </w:tcPr>
                <w:p w14:paraId="4F87D78D">
                  <w:pPr>
                    <w:widowControl/>
                    <w:jc w:val="center"/>
                    <w:textAlignment w:val="center"/>
                    <w:rPr>
                      <w:color w:val="auto"/>
                      <w:kern w:val="0"/>
                      <w:szCs w:val="21"/>
                      <w:lang w:bidi="ar"/>
                    </w:rPr>
                  </w:pPr>
                </w:p>
              </w:tc>
              <w:tc>
                <w:tcPr>
                  <w:tcW w:w="456" w:type="dxa"/>
                  <w:vMerge w:val="continue"/>
                  <w:vAlign w:val="center"/>
                </w:tcPr>
                <w:p w14:paraId="7C398B25">
                  <w:pPr>
                    <w:widowControl/>
                    <w:jc w:val="center"/>
                    <w:textAlignment w:val="center"/>
                    <w:rPr>
                      <w:rFonts w:hint="eastAsia"/>
                      <w:color w:val="auto"/>
                      <w:kern w:val="0"/>
                      <w:szCs w:val="21"/>
                      <w:lang w:bidi="ar"/>
                    </w:rPr>
                  </w:pPr>
                </w:p>
              </w:tc>
              <w:tc>
                <w:tcPr>
                  <w:tcW w:w="998" w:type="dxa"/>
                  <w:gridSpan w:val="4"/>
                  <w:shd w:val="clear" w:color="auto" w:fill="auto"/>
                  <w:vAlign w:val="center"/>
                </w:tcPr>
                <w:p w14:paraId="5123923B">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废活性炭（S</w:t>
                  </w:r>
                  <w:r>
                    <w:rPr>
                      <w:rFonts w:hint="eastAsia" w:cs="Times New Roman"/>
                      <w:bCs/>
                      <w:color w:val="auto"/>
                      <w:szCs w:val="21"/>
                      <w:lang w:val="en-US" w:eastAsia="zh-CN"/>
                    </w:rPr>
                    <w:t>2</w:t>
                  </w:r>
                  <w:r>
                    <w:rPr>
                      <w:rFonts w:hint="eastAsia" w:ascii="Times New Roman" w:hAnsi="Times New Roman" w:eastAsia="宋体" w:cs="Times New Roman"/>
                      <w:bCs/>
                      <w:color w:val="auto"/>
                      <w:szCs w:val="21"/>
                      <w:lang w:val="en-US" w:eastAsia="zh-CN"/>
                    </w:rPr>
                    <w:t>）</w:t>
                  </w:r>
                </w:p>
              </w:tc>
              <w:tc>
                <w:tcPr>
                  <w:tcW w:w="3653" w:type="dxa"/>
                  <w:gridSpan w:val="2"/>
                  <w:shd w:val="clear" w:color="auto" w:fill="auto"/>
                  <w:vAlign w:val="center"/>
                </w:tcPr>
                <w:p w14:paraId="7056E696">
                  <w:pPr>
                    <w:snapToGrid w:val="0"/>
                    <w:jc w:val="center"/>
                    <w:rPr>
                      <w:rFonts w:hint="eastAsia"/>
                      <w:bCs/>
                      <w:color w:val="auto"/>
                      <w:szCs w:val="21"/>
                      <w:lang w:val="en-US" w:eastAsia="zh-CN"/>
                    </w:rPr>
                  </w:pPr>
                  <w:r>
                    <w:rPr>
                      <w:rFonts w:hint="eastAsia"/>
                      <w:bCs/>
                      <w:color w:val="auto"/>
                      <w:szCs w:val="21"/>
                      <w:lang w:val="en-US" w:eastAsia="zh-CN"/>
                    </w:rPr>
                    <w:t>玻璃纤维缠绕，成型后管道固化工序的活性炭，暂存危废暂存间，</w:t>
                  </w:r>
                  <w:r>
                    <w:rPr>
                      <w:rFonts w:hint="eastAsia"/>
                      <w:bCs/>
                      <w:color w:val="auto"/>
                      <w:szCs w:val="21"/>
                      <w:lang w:eastAsia="zh-CN"/>
                    </w:rPr>
                    <w:t>定期委托有资质单位处理</w:t>
                  </w:r>
                  <w:r>
                    <w:rPr>
                      <w:bCs/>
                      <w:color w:val="auto"/>
                      <w:szCs w:val="21"/>
                    </w:rPr>
                    <w:t>。</w:t>
                  </w:r>
                </w:p>
              </w:tc>
              <w:tc>
                <w:tcPr>
                  <w:tcW w:w="718" w:type="dxa"/>
                  <w:vAlign w:val="center"/>
                </w:tcPr>
                <w:p w14:paraId="211DFD78">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新建</w:t>
                  </w:r>
                </w:p>
              </w:tc>
            </w:tr>
            <w:tr w14:paraId="1B73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99" w:type="dxa"/>
                  <w:vMerge w:val="continue"/>
                  <w:vAlign w:val="center"/>
                </w:tcPr>
                <w:p w14:paraId="6829B377">
                  <w:pPr>
                    <w:widowControl/>
                    <w:jc w:val="center"/>
                    <w:textAlignment w:val="center"/>
                    <w:rPr>
                      <w:color w:val="auto"/>
                      <w:kern w:val="0"/>
                      <w:szCs w:val="21"/>
                      <w:lang w:bidi="ar"/>
                    </w:rPr>
                  </w:pPr>
                </w:p>
              </w:tc>
              <w:tc>
                <w:tcPr>
                  <w:tcW w:w="599" w:type="dxa"/>
                  <w:vMerge w:val="continue"/>
                  <w:vAlign w:val="center"/>
                </w:tcPr>
                <w:p w14:paraId="52707634">
                  <w:pPr>
                    <w:widowControl/>
                    <w:jc w:val="center"/>
                    <w:textAlignment w:val="center"/>
                    <w:rPr>
                      <w:color w:val="auto"/>
                      <w:kern w:val="0"/>
                      <w:szCs w:val="21"/>
                      <w:lang w:bidi="ar"/>
                    </w:rPr>
                  </w:pPr>
                </w:p>
              </w:tc>
              <w:tc>
                <w:tcPr>
                  <w:tcW w:w="974" w:type="dxa"/>
                  <w:vMerge w:val="continue"/>
                  <w:vAlign w:val="center"/>
                </w:tcPr>
                <w:p w14:paraId="5B42B046">
                  <w:pPr>
                    <w:widowControl/>
                    <w:jc w:val="center"/>
                    <w:textAlignment w:val="center"/>
                    <w:rPr>
                      <w:color w:val="auto"/>
                      <w:kern w:val="0"/>
                      <w:szCs w:val="21"/>
                      <w:lang w:bidi="ar"/>
                    </w:rPr>
                  </w:pPr>
                </w:p>
              </w:tc>
              <w:tc>
                <w:tcPr>
                  <w:tcW w:w="456" w:type="dxa"/>
                  <w:vMerge w:val="continue"/>
                  <w:vAlign w:val="center"/>
                </w:tcPr>
                <w:p w14:paraId="33A6D8AC">
                  <w:pPr>
                    <w:widowControl/>
                    <w:jc w:val="center"/>
                    <w:textAlignment w:val="center"/>
                    <w:rPr>
                      <w:rFonts w:hint="eastAsia"/>
                      <w:color w:val="auto"/>
                      <w:kern w:val="0"/>
                      <w:szCs w:val="21"/>
                      <w:lang w:bidi="ar"/>
                    </w:rPr>
                  </w:pPr>
                </w:p>
              </w:tc>
              <w:tc>
                <w:tcPr>
                  <w:tcW w:w="998" w:type="dxa"/>
                  <w:gridSpan w:val="4"/>
                  <w:shd w:val="clear" w:color="auto" w:fill="auto"/>
                  <w:vAlign w:val="center"/>
                </w:tcPr>
                <w:p w14:paraId="359CA4AB">
                  <w:pPr>
                    <w:snapToGrid w:val="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eastAsia="宋体" w:cs="Times New Roman"/>
                      <w:bCs/>
                      <w:color w:val="auto"/>
                      <w:szCs w:val="21"/>
                      <w:lang w:eastAsia="zh-CN"/>
                    </w:rPr>
                    <w:t>（</w:t>
                  </w:r>
                  <w:r>
                    <w:rPr>
                      <w:rFonts w:ascii="Times New Roman" w:hAnsi="Times New Roman" w:eastAsia="宋体" w:cs="Times New Roman"/>
                      <w:bCs/>
                      <w:color w:val="auto"/>
                      <w:szCs w:val="21"/>
                    </w:rPr>
                    <w:t>S</w:t>
                  </w:r>
                  <w:r>
                    <w:rPr>
                      <w:rFonts w:hint="eastAsia" w:ascii="Times New Roman" w:hAnsi="Times New Roman" w:eastAsia="宋体" w:cs="Times New Roman"/>
                      <w:bCs/>
                      <w:color w:val="auto"/>
                      <w:szCs w:val="21"/>
                      <w:lang w:val="en-US" w:eastAsia="zh-CN"/>
                    </w:rPr>
                    <w:t>3</w:t>
                  </w:r>
                  <w:r>
                    <w:rPr>
                      <w:rFonts w:hint="eastAsia" w:ascii="Times New Roman" w:hAnsi="Times New Roman" w:eastAsia="宋体" w:cs="Times New Roman"/>
                      <w:bCs/>
                      <w:color w:val="auto"/>
                      <w:szCs w:val="21"/>
                      <w:lang w:eastAsia="zh-CN"/>
                    </w:rPr>
                    <w:t>）</w:t>
                  </w:r>
                </w:p>
              </w:tc>
              <w:tc>
                <w:tcPr>
                  <w:tcW w:w="3653" w:type="dxa"/>
                  <w:gridSpan w:val="2"/>
                  <w:shd w:val="clear" w:color="auto" w:fill="auto"/>
                  <w:vAlign w:val="center"/>
                </w:tcPr>
                <w:p w14:paraId="4F3379CF">
                  <w:pPr>
                    <w:snapToGrid w:val="0"/>
                    <w:jc w:val="center"/>
                    <w:rPr>
                      <w:rFonts w:hint="eastAsia"/>
                      <w:bCs/>
                      <w:color w:val="auto"/>
                      <w:szCs w:val="21"/>
                      <w:lang w:val="en-US" w:eastAsia="zh-CN"/>
                    </w:rPr>
                  </w:pPr>
                  <w:r>
                    <w:rPr>
                      <w:rFonts w:hint="eastAsia"/>
                      <w:bCs/>
                      <w:color w:val="auto"/>
                      <w:szCs w:val="21"/>
                      <w:lang w:val="en-US" w:eastAsia="zh-CN"/>
                    </w:rPr>
                    <w:t>缠绕编织工序产生的</w:t>
                  </w: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eastAsia="宋体" w:cs="Times New Roman"/>
                      <w:bCs/>
                      <w:color w:val="auto"/>
                      <w:szCs w:val="21"/>
                      <w:lang w:eastAsia="zh-CN"/>
                    </w:rPr>
                    <w:t>，</w:t>
                  </w:r>
                  <w:r>
                    <w:rPr>
                      <w:rFonts w:hint="eastAsia"/>
                      <w:bCs/>
                      <w:color w:val="auto"/>
                      <w:szCs w:val="21"/>
                      <w:lang w:val="en-US" w:eastAsia="zh-CN"/>
                    </w:rPr>
                    <w:t>暂存危废暂存间，</w:t>
                  </w:r>
                  <w:r>
                    <w:rPr>
                      <w:rFonts w:hint="eastAsia"/>
                      <w:bCs/>
                      <w:color w:val="auto"/>
                      <w:szCs w:val="21"/>
                      <w:lang w:eastAsia="zh-CN"/>
                    </w:rPr>
                    <w:t>定期委托有资质单位处理。</w:t>
                  </w:r>
                </w:p>
              </w:tc>
              <w:tc>
                <w:tcPr>
                  <w:tcW w:w="718" w:type="dxa"/>
                  <w:vAlign w:val="center"/>
                </w:tcPr>
                <w:p w14:paraId="5629E2A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新建</w:t>
                  </w:r>
                </w:p>
              </w:tc>
            </w:tr>
            <w:tr w14:paraId="17B4B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99" w:type="dxa"/>
                  <w:vMerge w:val="continue"/>
                  <w:vAlign w:val="center"/>
                </w:tcPr>
                <w:p w14:paraId="2B034002">
                  <w:pPr>
                    <w:widowControl/>
                    <w:jc w:val="center"/>
                    <w:textAlignment w:val="center"/>
                    <w:rPr>
                      <w:color w:val="auto"/>
                      <w:kern w:val="0"/>
                      <w:szCs w:val="21"/>
                      <w:lang w:bidi="ar"/>
                    </w:rPr>
                  </w:pPr>
                </w:p>
              </w:tc>
              <w:tc>
                <w:tcPr>
                  <w:tcW w:w="599" w:type="dxa"/>
                  <w:vMerge w:val="continue"/>
                  <w:vAlign w:val="center"/>
                </w:tcPr>
                <w:p w14:paraId="6F44D0C7">
                  <w:pPr>
                    <w:widowControl/>
                    <w:jc w:val="center"/>
                    <w:textAlignment w:val="center"/>
                    <w:rPr>
                      <w:color w:val="auto"/>
                      <w:kern w:val="0"/>
                      <w:szCs w:val="21"/>
                      <w:lang w:bidi="ar"/>
                    </w:rPr>
                  </w:pPr>
                </w:p>
              </w:tc>
              <w:tc>
                <w:tcPr>
                  <w:tcW w:w="974" w:type="dxa"/>
                  <w:vMerge w:val="continue"/>
                  <w:vAlign w:val="center"/>
                </w:tcPr>
                <w:p w14:paraId="21CC1058">
                  <w:pPr>
                    <w:widowControl/>
                    <w:jc w:val="center"/>
                    <w:textAlignment w:val="center"/>
                    <w:rPr>
                      <w:color w:val="auto"/>
                      <w:kern w:val="0"/>
                      <w:szCs w:val="21"/>
                      <w:lang w:bidi="ar"/>
                    </w:rPr>
                  </w:pPr>
                </w:p>
              </w:tc>
              <w:tc>
                <w:tcPr>
                  <w:tcW w:w="456" w:type="dxa"/>
                  <w:vMerge w:val="continue"/>
                  <w:vAlign w:val="center"/>
                </w:tcPr>
                <w:p w14:paraId="485F735D">
                  <w:pPr>
                    <w:widowControl/>
                    <w:jc w:val="center"/>
                    <w:textAlignment w:val="center"/>
                    <w:rPr>
                      <w:rFonts w:hint="eastAsia"/>
                      <w:color w:val="auto"/>
                      <w:kern w:val="0"/>
                      <w:szCs w:val="21"/>
                      <w:lang w:bidi="ar"/>
                    </w:rPr>
                  </w:pPr>
                </w:p>
              </w:tc>
              <w:tc>
                <w:tcPr>
                  <w:tcW w:w="998" w:type="dxa"/>
                  <w:gridSpan w:val="4"/>
                  <w:shd w:val="clear" w:color="auto" w:fill="auto"/>
                  <w:vAlign w:val="center"/>
                </w:tcPr>
                <w:p w14:paraId="2D3867D5">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废活性炭（S</w:t>
                  </w:r>
                  <w:r>
                    <w:rPr>
                      <w:rFonts w:hint="eastAsia" w:cs="Times New Roman"/>
                      <w:bCs/>
                      <w:color w:val="auto"/>
                      <w:szCs w:val="21"/>
                      <w:lang w:val="en-US" w:eastAsia="zh-CN"/>
                    </w:rPr>
                    <w:t>7</w:t>
                  </w:r>
                  <w:r>
                    <w:rPr>
                      <w:rFonts w:hint="eastAsia" w:ascii="Times New Roman" w:hAnsi="Times New Roman" w:eastAsia="宋体" w:cs="Times New Roman"/>
                      <w:bCs/>
                      <w:color w:val="auto"/>
                      <w:szCs w:val="21"/>
                      <w:lang w:val="en-US" w:eastAsia="zh-CN"/>
                    </w:rPr>
                    <w:t>）</w:t>
                  </w:r>
                </w:p>
              </w:tc>
              <w:tc>
                <w:tcPr>
                  <w:tcW w:w="3653" w:type="dxa"/>
                  <w:gridSpan w:val="2"/>
                  <w:shd w:val="clear" w:color="auto" w:fill="auto"/>
                  <w:vAlign w:val="center"/>
                </w:tcPr>
                <w:p w14:paraId="1AFE8A29">
                  <w:pPr>
                    <w:snapToGrid w:val="0"/>
                    <w:jc w:val="center"/>
                    <w:rPr>
                      <w:rFonts w:hint="eastAsia" w:eastAsia="宋体"/>
                      <w:bCs/>
                      <w:color w:val="auto"/>
                      <w:szCs w:val="21"/>
                      <w:lang w:val="en-US" w:eastAsia="zh-CN"/>
                    </w:rPr>
                  </w:pPr>
                  <w:r>
                    <w:rPr>
                      <w:rFonts w:hint="eastAsia"/>
                      <w:bCs/>
                      <w:color w:val="auto"/>
                      <w:szCs w:val="21"/>
                      <w:lang w:val="en-US" w:eastAsia="zh-CN"/>
                    </w:rPr>
                    <w:t>静电喷涂设备内自带的废气处理装置产生的废活性炭，暂存危废暂存间，定期委托有资质单位处理。</w:t>
                  </w:r>
                </w:p>
              </w:tc>
              <w:tc>
                <w:tcPr>
                  <w:tcW w:w="718" w:type="dxa"/>
                  <w:vAlign w:val="center"/>
                </w:tcPr>
                <w:p w14:paraId="02204F49">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新建</w:t>
                  </w:r>
                </w:p>
              </w:tc>
            </w:tr>
            <w:tr w14:paraId="7D08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599" w:type="dxa"/>
                  <w:vMerge w:val="continue"/>
                  <w:vAlign w:val="center"/>
                </w:tcPr>
                <w:p w14:paraId="7024A1EF">
                  <w:pPr>
                    <w:widowControl/>
                    <w:jc w:val="center"/>
                    <w:textAlignment w:val="center"/>
                    <w:rPr>
                      <w:color w:val="auto"/>
                      <w:kern w:val="0"/>
                      <w:szCs w:val="21"/>
                      <w:lang w:bidi="ar"/>
                    </w:rPr>
                  </w:pPr>
                </w:p>
              </w:tc>
              <w:tc>
                <w:tcPr>
                  <w:tcW w:w="599" w:type="dxa"/>
                  <w:vMerge w:val="continue"/>
                  <w:vAlign w:val="center"/>
                </w:tcPr>
                <w:p w14:paraId="44150ACB">
                  <w:pPr>
                    <w:widowControl/>
                    <w:jc w:val="center"/>
                    <w:textAlignment w:val="center"/>
                    <w:rPr>
                      <w:color w:val="auto"/>
                      <w:kern w:val="0"/>
                      <w:szCs w:val="21"/>
                      <w:lang w:bidi="ar"/>
                    </w:rPr>
                  </w:pPr>
                </w:p>
              </w:tc>
              <w:tc>
                <w:tcPr>
                  <w:tcW w:w="974" w:type="dxa"/>
                  <w:vMerge w:val="continue"/>
                  <w:vAlign w:val="center"/>
                </w:tcPr>
                <w:p w14:paraId="4C88C456">
                  <w:pPr>
                    <w:widowControl/>
                    <w:jc w:val="center"/>
                    <w:textAlignment w:val="center"/>
                    <w:rPr>
                      <w:color w:val="auto"/>
                      <w:kern w:val="0"/>
                      <w:szCs w:val="21"/>
                      <w:lang w:bidi="ar"/>
                    </w:rPr>
                  </w:pPr>
                </w:p>
              </w:tc>
              <w:tc>
                <w:tcPr>
                  <w:tcW w:w="456" w:type="dxa"/>
                  <w:vMerge w:val="continue"/>
                  <w:vAlign w:val="center"/>
                </w:tcPr>
                <w:p w14:paraId="776293EE">
                  <w:pPr>
                    <w:widowControl/>
                    <w:jc w:val="center"/>
                    <w:textAlignment w:val="center"/>
                    <w:rPr>
                      <w:color w:val="auto"/>
                      <w:kern w:val="0"/>
                      <w:szCs w:val="21"/>
                      <w:lang w:bidi="ar"/>
                    </w:rPr>
                  </w:pPr>
                </w:p>
              </w:tc>
              <w:tc>
                <w:tcPr>
                  <w:tcW w:w="998" w:type="dxa"/>
                  <w:gridSpan w:val="4"/>
                  <w:vAlign w:val="center"/>
                </w:tcPr>
                <w:p w14:paraId="010DBF21">
                  <w:pPr>
                    <w:widowControl/>
                    <w:jc w:val="center"/>
                    <w:textAlignment w:val="center"/>
                    <w:rPr>
                      <w:rFonts w:hint="eastAsia"/>
                      <w:color w:val="auto"/>
                      <w:kern w:val="0"/>
                      <w:szCs w:val="21"/>
                      <w:lang w:bidi="ar"/>
                    </w:rPr>
                  </w:pPr>
                  <w:r>
                    <w:rPr>
                      <w:rFonts w:hint="eastAsia"/>
                      <w:color w:val="auto"/>
                      <w:kern w:val="0"/>
                      <w:szCs w:val="21"/>
                      <w:lang w:bidi="ar"/>
                    </w:rPr>
                    <w:t>废润</w:t>
                  </w:r>
                </w:p>
                <w:p w14:paraId="5F4FE210">
                  <w:pPr>
                    <w:widowControl/>
                    <w:jc w:val="center"/>
                    <w:textAlignment w:val="center"/>
                    <w:rPr>
                      <w:rFonts w:hint="eastAsia" w:eastAsia="宋体"/>
                      <w:color w:val="auto"/>
                      <w:kern w:val="0"/>
                      <w:szCs w:val="21"/>
                      <w:lang w:eastAsia="zh-CN" w:bidi="ar"/>
                    </w:rPr>
                  </w:pPr>
                  <w:r>
                    <w:rPr>
                      <w:rFonts w:hint="eastAsia"/>
                      <w:color w:val="auto"/>
                      <w:kern w:val="0"/>
                      <w:szCs w:val="21"/>
                      <w:lang w:bidi="ar"/>
                    </w:rPr>
                    <w:t>滑油</w:t>
                  </w:r>
                  <w:r>
                    <w:rPr>
                      <w:rFonts w:hint="eastAsia"/>
                      <w:color w:val="auto"/>
                      <w:kern w:val="0"/>
                      <w:szCs w:val="21"/>
                      <w:lang w:eastAsia="zh-CN" w:bidi="ar"/>
                    </w:rPr>
                    <w:t>（</w:t>
                  </w:r>
                  <w:r>
                    <w:rPr>
                      <w:rFonts w:hint="eastAsia"/>
                      <w:color w:val="auto"/>
                      <w:kern w:val="0"/>
                      <w:szCs w:val="21"/>
                      <w:lang w:val="en-US" w:eastAsia="zh-CN" w:bidi="ar"/>
                    </w:rPr>
                    <w:t>S9</w:t>
                  </w:r>
                  <w:r>
                    <w:rPr>
                      <w:rFonts w:hint="eastAsia"/>
                      <w:color w:val="auto"/>
                      <w:kern w:val="0"/>
                      <w:szCs w:val="21"/>
                      <w:lang w:eastAsia="zh-CN" w:bidi="ar"/>
                    </w:rPr>
                    <w:t>）</w:t>
                  </w:r>
                </w:p>
              </w:tc>
              <w:tc>
                <w:tcPr>
                  <w:tcW w:w="3653" w:type="dxa"/>
                  <w:gridSpan w:val="2"/>
                  <w:shd w:val="clear" w:color="auto" w:fill="auto"/>
                  <w:vAlign w:val="center"/>
                </w:tcPr>
                <w:p w14:paraId="23A3005F">
                  <w:pPr>
                    <w:snapToGrid w:val="0"/>
                    <w:jc w:val="center"/>
                    <w:rPr>
                      <w:rFonts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暂存危废暂存间，</w:t>
                  </w:r>
                  <w:r>
                    <w:rPr>
                      <w:rFonts w:hint="eastAsia"/>
                      <w:bCs/>
                      <w:color w:val="auto"/>
                      <w:szCs w:val="21"/>
                      <w:lang w:eastAsia="zh-CN"/>
                    </w:rPr>
                    <w:t>定期委托有资质单位处理</w:t>
                  </w:r>
                  <w:r>
                    <w:rPr>
                      <w:bCs/>
                      <w:color w:val="auto"/>
                      <w:szCs w:val="21"/>
                    </w:rPr>
                    <w:t>。</w:t>
                  </w:r>
                </w:p>
              </w:tc>
              <w:tc>
                <w:tcPr>
                  <w:tcW w:w="718" w:type="dxa"/>
                  <w:vAlign w:val="center"/>
                </w:tcPr>
                <w:p w14:paraId="6172BEFF">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新建</w:t>
                  </w:r>
                </w:p>
              </w:tc>
            </w:tr>
            <w:tr w14:paraId="0C3A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226F7B1A">
                  <w:pPr>
                    <w:widowControl/>
                    <w:jc w:val="center"/>
                    <w:textAlignment w:val="center"/>
                    <w:rPr>
                      <w:color w:val="auto"/>
                      <w:kern w:val="0"/>
                      <w:szCs w:val="21"/>
                      <w:lang w:bidi="ar"/>
                    </w:rPr>
                  </w:pPr>
                </w:p>
              </w:tc>
              <w:tc>
                <w:tcPr>
                  <w:tcW w:w="599" w:type="dxa"/>
                  <w:vMerge w:val="continue"/>
                  <w:vAlign w:val="center"/>
                </w:tcPr>
                <w:p w14:paraId="561629F8">
                  <w:pPr>
                    <w:widowControl/>
                    <w:jc w:val="center"/>
                    <w:textAlignment w:val="center"/>
                    <w:rPr>
                      <w:color w:val="auto"/>
                      <w:kern w:val="0"/>
                      <w:szCs w:val="21"/>
                      <w:lang w:bidi="ar"/>
                    </w:rPr>
                  </w:pPr>
                </w:p>
              </w:tc>
              <w:tc>
                <w:tcPr>
                  <w:tcW w:w="974" w:type="dxa"/>
                  <w:vAlign w:val="center"/>
                </w:tcPr>
                <w:p w14:paraId="1E6F00AD">
                  <w:pPr>
                    <w:widowControl/>
                    <w:jc w:val="center"/>
                    <w:textAlignment w:val="center"/>
                    <w:rPr>
                      <w:rFonts w:hint="default" w:eastAsia="宋体"/>
                      <w:color w:val="auto"/>
                      <w:kern w:val="0"/>
                      <w:sz w:val="21"/>
                      <w:szCs w:val="21"/>
                      <w:lang w:val="en-US" w:eastAsia="zh-CN" w:bidi="ar"/>
                    </w:rPr>
                  </w:pPr>
                  <w:r>
                    <w:rPr>
                      <w:rFonts w:hint="eastAsia"/>
                      <w:color w:val="auto"/>
                      <w:kern w:val="0"/>
                      <w:sz w:val="21"/>
                      <w:szCs w:val="21"/>
                      <w:lang w:val="en-US" w:eastAsia="zh-CN" w:bidi="ar"/>
                    </w:rPr>
                    <w:t>一般固废暂存间</w:t>
                  </w:r>
                </w:p>
              </w:tc>
              <w:tc>
                <w:tcPr>
                  <w:tcW w:w="5107" w:type="dxa"/>
                  <w:gridSpan w:val="7"/>
                  <w:vAlign w:val="center"/>
                </w:tcPr>
                <w:p w14:paraId="1E334E8E">
                  <w:pPr>
                    <w:keepNext w:val="0"/>
                    <w:keepLines w:val="0"/>
                    <w:widowControl/>
                    <w:suppressLineNumbers w:val="0"/>
                    <w:jc w:val="center"/>
                    <w:rPr>
                      <w:rFonts w:hint="default" w:eastAsia="宋体"/>
                      <w:color w:val="auto"/>
                      <w:kern w:val="0"/>
                      <w:sz w:val="21"/>
                      <w:szCs w:val="21"/>
                      <w:lang w:val="en-US" w:eastAsia="zh-CN" w:bidi="ar"/>
                    </w:rPr>
                  </w:pPr>
                  <w:r>
                    <w:rPr>
                      <w:rFonts w:hint="eastAsia"/>
                      <w:color w:val="auto"/>
                      <w:kern w:val="0"/>
                      <w:sz w:val="21"/>
                      <w:szCs w:val="21"/>
                      <w:lang w:val="en-US" w:eastAsia="zh-CN" w:bidi="ar"/>
                    </w:rPr>
                    <w:t>位于生产车间内西北侧，面积25</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w:t>
                  </w:r>
                  <w:r>
                    <w:rPr>
                      <w:rFonts w:hint="eastAsia"/>
                      <w:color w:val="auto"/>
                      <w:spacing w:val="6"/>
                      <w:sz w:val="21"/>
                      <w:szCs w:val="21"/>
                      <w:lang w:val="en-US" w:eastAsia="zh-CN"/>
                    </w:rPr>
                    <w:t>一般固体废物</w:t>
                  </w:r>
                  <w:r>
                    <w:rPr>
                      <w:color w:val="auto"/>
                      <w:spacing w:val="6"/>
                      <w:sz w:val="21"/>
                      <w:szCs w:val="21"/>
                    </w:rPr>
                    <w:t>的存放</w:t>
                  </w:r>
                  <w:r>
                    <w:rPr>
                      <w:rFonts w:hint="eastAsia"/>
                      <w:color w:val="auto"/>
                      <w:spacing w:val="6"/>
                      <w:sz w:val="21"/>
                      <w:szCs w:val="21"/>
                      <w:lang w:eastAsia="zh-CN"/>
                    </w:rPr>
                    <w:t>，</w:t>
                  </w:r>
                  <w:r>
                    <w:rPr>
                      <w:rFonts w:hint="eastAsia"/>
                      <w:color w:val="auto"/>
                      <w:sz w:val="21"/>
                      <w:szCs w:val="21"/>
                      <w:lang w:val="en-US" w:eastAsia="zh-CN"/>
                    </w:rPr>
                    <w:t>防渗要求：</w:t>
                  </w:r>
                  <w:r>
                    <w:rPr>
                      <w:rFonts w:hint="eastAsia"/>
                      <w:color w:val="auto"/>
                      <w:sz w:val="21"/>
                      <w:szCs w:val="21"/>
                      <w:highlight w:val="none"/>
                      <w:lang w:val="en-US" w:eastAsia="zh-CN"/>
                    </w:rPr>
                    <w:t>一般防渗区，等效黏土防渗层Mb≥1.5m，K≤1.0×10</w:t>
                  </w:r>
                  <w:r>
                    <w:rPr>
                      <w:rFonts w:hint="eastAsia"/>
                      <w:color w:val="auto"/>
                      <w:sz w:val="21"/>
                      <w:szCs w:val="21"/>
                      <w:highlight w:val="none"/>
                      <w:vertAlign w:val="superscript"/>
                      <w:lang w:val="en-US" w:eastAsia="zh-CN"/>
                    </w:rPr>
                    <w:t>-7</w:t>
                  </w:r>
                  <w:r>
                    <w:rPr>
                      <w:rFonts w:hint="eastAsia"/>
                      <w:color w:val="auto"/>
                      <w:sz w:val="21"/>
                      <w:szCs w:val="21"/>
                      <w:highlight w:val="none"/>
                      <w:lang w:val="en-US" w:eastAsia="zh-CN"/>
                    </w:rPr>
                    <w:t>cm/s。</w:t>
                  </w:r>
                </w:p>
              </w:tc>
              <w:tc>
                <w:tcPr>
                  <w:tcW w:w="718" w:type="dxa"/>
                  <w:vAlign w:val="center"/>
                </w:tcPr>
                <w:p w14:paraId="24A3391D">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新建</w:t>
                  </w:r>
                </w:p>
              </w:tc>
            </w:tr>
            <w:tr w14:paraId="6443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99" w:type="dxa"/>
                  <w:vMerge w:val="continue"/>
                  <w:vAlign w:val="center"/>
                </w:tcPr>
                <w:p w14:paraId="0E160F5B">
                  <w:pPr>
                    <w:widowControl/>
                    <w:jc w:val="center"/>
                    <w:textAlignment w:val="center"/>
                    <w:rPr>
                      <w:color w:val="auto"/>
                      <w:kern w:val="0"/>
                      <w:szCs w:val="21"/>
                      <w:lang w:bidi="ar"/>
                    </w:rPr>
                  </w:pPr>
                </w:p>
              </w:tc>
              <w:tc>
                <w:tcPr>
                  <w:tcW w:w="599" w:type="dxa"/>
                  <w:vMerge w:val="continue"/>
                  <w:vAlign w:val="center"/>
                </w:tcPr>
                <w:p w14:paraId="38A4A73E">
                  <w:pPr>
                    <w:widowControl/>
                    <w:jc w:val="center"/>
                    <w:textAlignment w:val="center"/>
                    <w:rPr>
                      <w:color w:val="auto"/>
                      <w:kern w:val="0"/>
                      <w:szCs w:val="21"/>
                      <w:lang w:bidi="ar"/>
                    </w:rPr>
                  </w:pPr>
                </w:p>
              </w:tc>
              <w:tc>
                <w:tcPr>
                  <w:tcW w:w="974" w:type="dxa"/>
                  <w:vAlign w:val="center"/>
                </w:tcPr>
                <w:p w14:paraId="0B8484A2">
                  <w:pPr>
                    <w:widowControl/>
                    <w:jc w:val="center"/>
                    <w:textAlignment w:val="center"/>
                    <w:rPr>
                      <w:color w:val="auto"/>
                      <w:kern w:val="0"/>
                      <w:sz w:val="21"/>
                      <w:szCs w:val="21"/>
                      <w:lang w:bidi="ar"/>
                    </w:rPr>
                  </w:pPr>
                  <w:r>
                    <w:rPr>
                      <w:rFonts w:hint="eastAsia"/>
                      <w:color w:val="auto"/>
                      <w:kern w:val="0"/>
                      <w:sz w:val="21"/>
                      <w:szCs w:val="21"/>
                      <w:lang w:bidi="ar"/>
                    </w:rPr>
                    <w:t>危废暂存间</w:t>
                  </w:r>
                </w:p>
              </w:tc>
              <w:tc>
                <w:tcPr>
                  <w:tcW w:w="5107" w:type="dxa"/>
                  <w:gridSpan w:val="7"/>
                  <w:vAlign w:val="center"/>
                </w:tcPr>
                <w:p w14:paraId="05D1DC60">
                  <w:pPr>
                    <w:keepNext w:val="0"/>
                    <w:keepLines w:val="0"/>
                    <w:widowControl/>
                    <w:suppressLineNumbers w:val="0"/>
                    <w:jc w:val="center"/>
                    <w:rPr>
                      <w:color w:val="auto"/>
                      <w:sz w:val="21"/>
                      <w:szCs w:val="21"/>
                    </w:rPr>
                  </w:pPr>
                  <w:r>
                    <w:rPr>
                      <w:rFonts w:hint="eastAsia"/>
                      <w:color w:val="auto"/>
                      <w:kern w:val="0"/>
                      <w:sz w:val="21"/>
                      <w:szCs w:val="21"/>
                      <w:lang w:val="en-US" w:eastAsia="zh-CN" w:bidi="ar"/>
                    </w:rPr>
                    <w:t>位于生产车间内西北侧，面积70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主要用于危险废物的存放</w:t>
                  </w:r>
                  <w:r>
                    <w:rPr>
                      <w:rFonts w:hint="eastAsia"/>
                      <w:color w:val="auto"/>
                      <w:spacing w:val="6"/>
                      <w:sz w:val="21"/>
                      <w:szCs w:val="21"/>
                      <w:lang w:eastAsia="zh-CN"/>
                    </w:rPr>
                    <w:t>，</w:t>
                  </w:r>
                  <w:r>
                    <w:rPr>
                      <w:rFonts w:hint="eastAsia"/>
                      <w:color w:val="auto"/>
                      <w:spacing w:val="6"/>
                      <w:sz w:val="21"/>
                      <w:szCs w:val="21"/>
                      <w:lang w:val="en-US" w:eastAsia="zh-CN"/>
                    </w:rPr>
                    <w:t>防渗要求：</w:t>
                  </w:r>
                  <w:r>
                    <w:rPr>
                      <w:rFonts w:hint="eastAsia"/>
                      <w:color w:val="auto"/>
                      <w:spacing w:val="6"/>
                      <w:sz w:val="21"/>
                      <w:szCs w:val="21"/>
                      <w:lang w:eastAsia="zh-CN"/>
                    </w:rPr>
                    <w:t>至少2mm厚高密度聚乙烯膜等人工防渗材料（</w:t>
                  </w:r>
                  <w:r>
                    <w:rPr>
                      <w:rFonts w:hint="eastAsia"/>
                      <w:color w:val="auto"/>
                      <w:sz w:val="21"/>
                      <w:szCs w:val="21"/>
                    </w:rPr>
                    <w:t>渗透系数≤1</w:t>
                  </w:r>
                  <w:r>
                    <w:rPr>
                      <w:rFonts w:hint="eastAsia"/>
                      <w:color w:val="auto"/>
                      <w:sz w:val="21"/>
                      <w:szCs w:val="21"/>
                      <w:lang w:val="en-US" w:eastAsia="zh-CN"/>
                    </w:rPr>
                    <w:t>0</w:t>
                  </w:r>
                  <w:r>
                    <w:rPr>
                      <w:rFonts w:hint="eastAsia"/>
                      <w:color w:val="auto"/>
                      <w:sz w:val="21"/>
                      <w:szCs w:val="21"/>
                      <w:vertAlign w:val="superscript"/>
                    </w:rPr>
                    <w:t>-</w:t>
                  </w:r>
                  <w:r>
                    <w:rPr>
                      <w:rFonts w:hint="eastAsia"/>
                      <w:color w:val="auto"/>
                      <w:sz w:val="21"/>
                      <w:szCs w:val="21"/>
                      <w:vertAlign w:val="superscript"/>
                      <w:lang w:val="en-US" w:eastAsia="zh-CN"/>
                    </w:rPr>
                    <w:t>10</w:t>
                  </w:r>
                  <w:r>
                    <w:rPr>
                      <w:rFonts w:hint="eastAsia"/>
                      <w:color w:val="auto"/>
                      <w:sz w:val="21"/>
                      <w:szCs w:val="21"/>
                    </w:rPr>
                    <w:t>cm/s</w:t>
                  </w:r>
                  <w:r>
                    <w:rPr>
                      <w:rFonts w:hint="eastAsia"/>
                      <w:color w:val="auto"/>
                      <w:spacing w:val="6"/>
                      <w:sz w:val="21"/>
                      <w:szCs w:val="21"/>
                      <w:lang w:eastAsia="zh-CN"/>
                    </w:rPr>
                    <w:t>），或其他防渗性能等效的材料</w:t>
                  </w:r>
                  <w:r>
                    <w:rPr>
                      <w:rFonts w:hint="eastAsia" w:ascii="宋体" w:hAnsi="宋体" w:eastAsia="宋体" w:cs="宋体"/>
                      <w:color w:val="auto"/>
                      <w:kern w:val="0"/>
                      <w:sz w:val="21"/>
                      <w:szCs w:val="21"/>
                      <w:lang w:val="en-US" w:eastAsia="zh-CN" w:bidi="ar"/>
                    </w:rPr>
                    <w:t>。</w:t>
                  </w:r>
                </w:p>
              </w:tc>
              <w:tc>
                <w:tcPr>
                  <w:tcW w:w="718" w:type="dxa"/>
                  <w:vAlign w:val="center"/>
                </w:tcPr>
                <w:p w14:paraId="0F8F94EA">
                  <w:pPr>
                    <w:widowControl/>
                    <w:jc w:val="center"/>
                    <w:textAlignment w:val="center"/>
                    <w:rPr>
                      <w:rFonts w:hint="eastAsia" w:eastAsia="宋体"/>
                      <w:color w:val="auto"/>
                      <w:kern w:val="0"/>
                      <w:szCs w:val="21"/>
                      <w:lang w:eastAsia="zh-CN" w:bidi="ar"/>
                    </w:rPr>
                  </w:pPr>
                  <w:r>
                    <w:rPr>
                      <w:rFonts w:hint="eastAsia"/>
                      <w:color w:val="auto"/>
                      <w:kern w:val="0"/>
                      <w:szCs w:val="21"/>
                      <w:lang w:val="en-US" w:eastAsia="zh-CN" w:bidi="ar"/>
                    </w:rPr>
                    <w:t>新建</w:t>
                  </w:r>
                </w:p>
              </w:tc>
            </w:tr>
            <w:tr w14:paraId="5755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restart"/>
                  <w:vAlign w:val="center"/>
                </w:tcPr>
                <w:p w14:paraId="7F409304">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二期</w:t>
                  </w:r>
                </w:p>
              </w:tc>
              <w:tc>
                <w:tcPr>
                  <w:tcW w:w="599" w:type="dxa"/>
                  <w:shd w:val="clear" w:color="auto" w:fill="auto"/>
                  <w:vAlign w:val="center"/>
                </w:tcPr>
                <w:p w14:paraId="1CA4BCB8">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主体工程</w:t>
                  </w:r>
                </w:p>
              </w:tc>
              <w:tc>
                <w:tcPr>
                  <w:tcW w:w="974" w:type="dxa"/>
                  <w:shd w:val="clear" w:color="auto" w:fill="auto"/>
                  <w:vAlign w:val="center"/>
                </w:tcPr>
                <w:p w14:paraId="2C070403">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生产</w:t>
                  </w:r>
                </w:p>
                <w:p w14:paraId="62841220">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车间</w:t>
                  </w:r>
                </w:p>
              </w:tc>
              <w:tc>
                <w:tcPr>
                  <w:tcW w:w="5107" w:type="dxa"/>
                  <w:gridSpan w:val="7"/>
                  <w:vAlign w:val="center"/>
                </w:tcPr>
                <w:p w14:paraId="7A56BFE3">
                  <w:pPr>
                    <w:keepNext w:val="0"/>
                    <w:keepLines w:val="0"/>
                    <w:widowControl/>
                    <w:suppressLineNumbers w:val="0"/>
                    <w:jc w:val="center"/>
                    <w:rPr>
                      <w:rFonts w:hint="eastAsia"/>
                      <w:color w:val="auto"/>
                      <w:kern w:val="0"/>
                      <w:sz w:val="21"/>
                      <w:szCs w:val="21"/>
                      <w:lang w:val="en-US" w:eastAsia="zh-CN" w:bidi="ar"/>
                    </w:rPr>
                  </w:pPr>
                  <w:r>
                    <w:rPr>
                      <w:rFonts w:hint="eastAsia"/>
                      <w:color w:val="auto"/>
                      <w:szCs w:val="21"/>
                      <w:lang w:val="en-US" w:eastAsia="zh-CN"/>
                    </w:rPr>
                    <w:t>厂房预留二期生产区域布置5条编织生产线，其他设施与一期公用。</w:t>
                  </w:r>
                </w:p>
              </w:tc>
              <w:tc>
                <w:tcPr>
                  <w:tcW w:w="718" w:type="dxa"/>
                  <w:vAlign w:val="center"/>
                </w:tcPr>
                <w:p w14:paraId="7EF89584">
                  <w:pPr>
                    <w:widowControl/>
                    <w:jc w:val="center"/>
                    <w:textAlignment w:val="center"/>
                    <w:rPr>
                      <w:rFonts w:hint="eastAsia"/>
                      <w:color w:val="auto"/>
                      <w:kern w:val="0"/>
                      <w:szCs w:val="21"/>
                      <w:lang w:val="en-US" w:eastAsia="zh-CN" w:bidi="ar"/>
                    </w:rPr>
                  </w:pPr>
                  <w:r>
                    <w:rPr>
                      <w:rFonts w:hint="eastAsia"/>
                      <w:color w:val="auto"/>
                      <w:lang w:val="en-US" w:eastAsia="zh-CN"/>
                    </w:rPr>
                    <w:t>租用/已建成</w:t>
                  </w:r>
                </w:p>
              </w:tc>
            </w:tr>
            <w:tr w14:paraId="64C5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24C40B7B">
                  <w:pPr>
                    <w:widowControl/>
                    <w:jc w:val="center"/>
                    <w:textAlignment w:val="center"/>
                    <w:rPr>
                      <w:color w:val="auto"/>
                      <w:kern w:val="0"/>
                      <w:szCs w:val="21"/>
                      <w:lang w:bidi="ar"/>
                    </w:rPr>
                  </w:pPr>
                </w:p>
              </w:tc>
              <w:tc>
                <w:tcPr>
                  <w:tcW w:w="599" w:type="dxa"/>
                  <w:vMerge w:val="restart"/>
                  <w:vAlign w:val="center"/>
                </w:tcPr>
                <w:p w14:paraId="094B6811">
                  <w:pPr>
                    <w:widowControl/>
                    <w:jc w:val="center"/>
                    <w:textAlignment w:val="center"/>
                    <w:rPr>
                      <w:color w:val="auto"/>
                      <w:kern w:val="0"/>
                      <w:szCs w:val="21"/>
                      <w:lang w:bidi="ar"/>
                    </w:rPr>
                  </w:pPr>
                  <w:r>
                    <w:rPr>
                      <w:rFonts w:hint="eastAsia"/>
                      <w:color w:val="auto"/>
                      <w:kern w:val="0"/>
                      <w:szCs w:val="21"/>
                      <w:lang w:bidi="ar"/>
                    </w:rPr>
                    <w:t>储运工程</w:t>
                  </w:r>
                </w:p>
              </w:tc>
              <w:tc>
                <w:tcPr>
                  <w:tcW w:w="974" w:type="dxa"/>
                  <w:shd w:val="clear" w:color="auto" w:fill="auto"/>
                  <w:vAlign w:val="center"/>
                </w:tcPr>
                <w:p w14:paraId="153E64B0">
                  <w:pPr>
                    <w:widowControl/>
                    <w:jc w:val="center"/>
                    <w:rPr>
                      <w:rFonts w:hint="eastAsia" w:ascii="Times New Roman" w:hAnsi="Times New Roman" w:eastAsia="宋体" w:cs="Times New Roman"/>
                      <w:color w:val="auto"/>
                      <w:kern w:val="2"/>
                      <w:sz w:val="21"/>
                      <w:szCs w:val="21"/>
                      <w:lang w:val="en-US" w:eastAsia="zh-CN" w:bidi="ar-SA"/>
                    </w:rPr>
                  </w:pPr>
                  <w:r>
                    <w:rPr>
                      <w:rFonts w:hint="default"/>
                      <w:color w:val="auto"/>
                      <w:szCs w:val="21"/>
                      <w:lang w:val="en-US" w:eastAsia="zh-CN"/>
                    </w:rPr>
                    <w:t>玻璃纤维</w:t>
                  </w:r>
                  <w:r>
                    <w:rPr>
                      <w:rFonts w:hint="eastAsia"/>
                      <w:color w:val="auto"/>
                      <w:szCs w:val="21"/>
                      <w:lang w:val="en-US" w:eastAsia="zh-CN"/>
                    </w:rPr>
                    <w:t>存放区</w:t>
                  </w:r>
                </w:p>
              </w:tc>
              <w:tc>
                <w:tcPr>
                  <w:tcW w:w="5107" w:type="dxa"/>
                  <w:gridSpan w:val="7"/>
                  <w:shd w:val="clear" w:color="auto" w:fill="auto"/>
                  <w:vAlign w:val="center"/>
                </w:tcPr>
                <w:p w14:paraId="2643C8BC">
                  <w:pPr>
                    <w:widowControl/>
                    <w:jc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kern w:val="0"/>
                      <w:sz w:val="21"/>
                      <w:szCs w:val="21"/>
                      <w:lang w:val="en-US" w:eastAsia="zh-CN" w:bidi="ar"/>
                    </w:rPr>
                    <w:t>位于车间内西侧，建设隔墙用于划分存放区，隔墙采用轻钢龙骨骨架，外侧封彩钢板，墙高2.5m；面积344</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rFonts w:hint="eastAsia"/>
                      <w:color w:val="auto"/>
                      <w:szCs w:val="21"/>
                      <w:lang w:val="en-US" w:eastAsia="zh-CN"/>
                    </w:rPr>
                    <w:t>主要用于原料</w:t>
                  </w:r>
                  <w:r>
                    <w:rPr>
                      <w:rFonts w:hint="default"/>
                      <w:color w:val="auto"/>
                      <w:kern w:val="0"/>
                      <w:szCs w:val="21"/>
                      <w:lang w:val="en-US" w:eastAsia="zh-CN" w:bidi="ar"/>
                    </w:rPr>
                    <w:t>玻璃纤维</w:t>
                  </w:r>
                  <w:r>
                    <w:rPr>
                      <w:rFonts w:hint="eastAsia"/>
                      <w:color w:val="auto"/>
                      <w:szCs w:val="21"/>
                      <w:lang w:val="en-US" w:eastAsia="zh-CN"/>
                    </w:rPr>
                    <w:t>的存放，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zCs w:val="21"/>
                      <w:lang w:val="en-US" w:eastAsia="zh-CN"/>
                    </w:rPr>
                    <w:t>。</w:t>
                  </w:r>
                </w:p>
              </w:tc>
              <w:tc>
                <w:tcPr>
                  <w:tcW w:w="718" w:type="dxa"/>
                  <w:shd w:val="clear" w:color="auto" w:fill="auto"/>
                  <w:vAlign w:val="center"/>
                </w:tcPr>
                <w:p w14:paraId="290056AD">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5707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15C45B1F">
                  <w:pPr>
                    <w:widowControl/>
                    <w:jc w:val="center"/>
                    <w:textAlignment w:val="center"/>
                    <w:rPr>
                      <w:color w:val="auto"/>
                      <w:kern w:val="0"/>
                      <w:szCs w:val="21"/>
                      <w:lang w:bidi="ar"/>
                    </w:rPr>
                  </w:pPr>
                </w:p>
              </w:tc>
              <w:tc>
                <w:tcPr>
                  <w:tcW w:w="599" w:type="dxa"/>
                  <w:vMerge w:val="continue"/>
                  <w:vAlign w:val="center"/>
                </w:tcPr>
                <w:p w14:paraId="32EC9B5F">
                  <w:pPr>
                    <w:widowControl/>
                    <w:jc w:val="center"/>
                    <w:textAlignment w:val="center"/>
                    <w:rPr>
                      <w:color w:val="auto"/>
                      <w:kern w:val="0"/>
                      <w:szCs w:val="21"/>
                      <w:lang w:bidi="ar"/>
                    </w:rPr>
                  </w:pPr>
                </w:p>
              </w:tc>
              <w:tc>
                <w:tcPr>
                  <w:tcW w:w="974" w:type="dxa"/>
                  <w:shd w:val="clear" w:color="auto" w:fill="auto"/>
                  <w:vAlign w:val="center"/>
                </w:tcPr>
                <w:p w14:paraId="7B884B4C">
                  <w:pPr>
                    <w:widowControl/>
                    <w:jc w:val="center"/>
                    <w:rPr>
                      <w:rFonts w:hint="eastAsia" w:ascii="Times New Roman" w:hAnsi="Times New Roman" w:eastAsia="宋体" w:cs="Times New Roman"/>
                      <w:color w:val="auto"/>
                      <w:kern w:val="2"/>
                      <w:sz w:val="21"/>
                      <w:szCs w:val="21"/>
                      <w:lang w:val="en-US" w:eastAsia="zh-CN" w:bidi="ar-SA"/>
                    </w:rPr>
                  </w:pPr>
                  <w:r>
                    <w:rPr>
                      <w:rFonts w:hint="default"/>
                      <w:color w:val="auto"/>
                      <w:kern w:val="0"/>
                      <w:sz w:val="21"/>
                      <w:szCs w:val="21"/>
                      <w:lang w:val="en-US" w:eastAsia="zh-CN" w:bidi="ar"/>
                    </w:rPr>
                    <w:t>环氧树酯存放</w:t>
                  </w:r>
                  <w:r>
                    <w:rPr>
                      <w:rFonts w:hint="default"/>
                      <w:color w:val="auto"/>
                      <w:szCs w:val="21"/>
                      <w:lang w:val="en-US" w:eastAsia="zh-CN"/>
                    </w:rPr>
                    <w:t>区</w:t>
                  </w:r>
                </w:p>
              </w:tc>
              <w:tc>
                <w:tcPr>
                  <w:tcW w:w="5107" w:type="dxa"/>
                  <w:gridSpan w:val="7"/>
                  <w:shd w:val="clear" w:color="auto" w:fill="auto"/>
                  <w:vAlign w:val="center"/>
                </w:tcPr>
                <w:p w14:paraId="5AF56D1A">
                  <w:pPr>
                    <w:widowControl/>
                    <w:jc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kern w:val="0"/>
                      <w:sz w:val="21"/>
                      <w:szCs w:val="21"/>
                      <w:lang w:val="en-US" w:eastAsia="zh-CN" w:bidi="ar"/>
                    </w:rPr>
                    <w:t>位于车间内西侧，建设隔墙用于划分存放区，隔墙采用轻钢龙骨骨架，外侧封彩钢板，墙高2.5m；A区115m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，B区115m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，共230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rFonts w:hint="eastAsia"/>
                      <w:color w:val="auto"/>
                      <w:szCs w:val="21"/>
                      <w:lang w:val="en-US" w:eastAsia="zh-CN"/>
                    </w:rPr>
                    <w:t>主要用于原料环氧树脂存放，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zCs w:val="21"/>
                      <w:lang w:val="en-US" w:eastAsia="zh-CN"/>
                    </w:rPr>
                    <w:t>。</w:t>
                  </w:r>
                </w:p>
              </w:tc>
              <w:tc>
                <w:tcPr>
                  <w:tcW w:w="718" w:type="dxa"/>
                  <w:shd w:val="clear" w:color="auto" w:fill="auto"/>
                  <w:vAlign w:val="center"/>
                </w:tcPr>
                <w:p w14:paraId="53C4183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3BA7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4773153F">
                  <w:pPr>
                    <w:widowControl/>
                    <w:jc w:val="center"/>
                    <w:textAlignment w:val="center"/>
                    <w:rPr>
                      <w:color w:val="auto"/>
                      <w:kern w:val="0"/>
                      <w:szCs w:val="21"/>
                      <w:lang w:bidi="ar"/>
                    </w:rPr>
                  </w:pPr>
                </w:p>
              </w:tc>
              <w:tc>
                <w:tcPr>
                  <w:tcW w:w="599" w:type="dxa"/>
                  <w:vMerge w:val="continue"/>
                  <w:vAlign w:val="center"/>
                </w:tcPr>
                <w:p w14:paraId="1B05D11A">
                  <w:pPr>
                    <w:widowControl/>
                    <w:jc w:val="center"/>
                    <w:textAlignment w:val="center"/>
                    <w:rPr>
                      <w:color w:val="auto"/>
                      <w:kern w:val="0"/>
                      <w:szCs w:val="21"/>
                      <w:lang w:bidi="ar"/>
                    </w:rPr>
                  </w:pPr>
                </w:p>
              </w:tc>
              <w:tc>
                <w:tcPr>
                  <w:tcW w:w="974" w:type="dxa"/>
                  <w:shd w:val="clear" w:color="auto" w:fill="auto"/>
                  <w:vAlign w:val="center"/>
                </w:tcPr>
                <w:p w14:paraId="29ECFB87">
                  <w:pPr>
                    <w:widowControl/>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环氧树脂粉末存放区</w:t>
                  </w:r>
                </w:p>
              </w:tc>
              <w:tc>
                <w:tcPr>
                  <w:tcW w:w="5107" w:type="dxa"/>
                  <w:gridSpan w:val="7"/>
                  <w:shd w:val="clear" w:color="auto" w:fill="auto"/>
                  <w:vAlign w:val="center"/>
                </w:tcPr>
                <w:p w14:paraId="7F05B442">
                  <w:pPr>
                    <w:widowControl/>
                    <w:jc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位于车间内西侧，建设隔墙用于划分存放区，隔墙采用轻钢龙骨骨架，外侧封彩钢板，墙高2.5m；面积115m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，主要用于环氧粉末的存放，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kern w:val="0"/>
                      <w:sz w:val="21"/>
                      <w:szCs w:val="21"/>
                      <w:lang w:val="en-US" w:eastAsia="zh-CN" w:bidi="ar"/>
                    </w:rPr>
                    <w:t>。</w:t>
                  </w:r>
                </w:p>
              </w:tc>
              <w:tc>
                <w:tcPr>
                  <w:tcW w:w="718" w:type="dxa"/>
                  <w:shd w:val="clear" w:color="auto" w:fill="auto"/>
                  <w:vAlign w:val="center"/>
                </w:tcPr>
                <w:p w14:paraId="3E3EF416">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5EF2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720281E1">
                  <w:pPr>
                    <w:widowControl/>
                    <w:jc w:val="center"/>
                    <w:textAlignment w:val="center"/>
                    <w:rPr>
                      <w:color w:val="auto"/>
                      <w:kern w:val="0"/>
                      <w:szCs w:val="21"/>
                      <w:lang w:bidi="ar"/>
                    </w:rPr>
                  </w:pPr>
                </w:p>
              </w:tc>
              <w:tc>
                <w:tcPr>
                  <w:tcW w:w="599" w:type="dxa"/>
                  <w:vMerge w:val="continue"/>
                  <w:vAlign w:val="center"/>
                </w:tcPr>
                <w:p w14:paraId="23A8B210">
                  <w:pPr>
                    <w:widowControl/>
                    <w:jc w:val="center"/>
                    <w:textAlignment w:val="center"/>
                    <w:rPr>
                      <w:color w:val="auto"/>
                      <w:kern w:val="0"/>
                      <w:szCs w:val="21"/>
                      <w:lang w:bidi="ar"/>
                    </w:rPr>
                  </w:pPr>
                </w:p>
              </w:tc>
              <w:tc>
                <w:tcPr>
                  <w:tcW w:w="974" w:type="dxa"/>
                  <w:shd w:val="clear" w:color="auto" w:fill="auto"/>
                  <w:vAlign w:val="center"/>
                </w:tcPr>
                <w:p w14:paraId="13DFF15A">
                  <w:pPr>
                    <w:widowControl/>
                    <w:jc w:val="center"/>
                    <w:textAlignment w:val="center"/>
                    <w:rPr>
                      <w:rFonts w:hint="eastAsia"/>
                      <w:color w:val="auto"/>
                      <w:spacing w:val="2"/>
                      <w:szCs w:val="21"/>
                      <w:lang w:val="en-US" w:eastAsia="zh-CN"/>
                    </w:rPr>
                  </w:pPr>
                  <w:r>
                    <w:rPr>
                      <w:rFonts w:hint="eastAsia"/>
                      <w:color w:val="auto"/>
                      <w:spacing w:val="2"/>
                      <w:szCs w:val="21"/>
                      <w:lang w:val="en-US" w:eastAsia="zh-CN"/>
                    </w:rPr>
                    <w:t>原料</w:t>
                  </w:r>
                </w:p>
                <w:p w14:paraId="3EEB202A">
                  <w:pPr>
                    <w:widowControl/>
                    <w:jc w:val="center"/>
                    <w:textAlignment w:val="center"/>
                    <w:rPr>
                      <w:rFonts w:hint="eastAsia" w:ascii="Times New Roman" w:hAnsi="Times New Roman" w:eastAsia="宋体" w:cs="Times New Roman"/>
                      <w:color w:val="auto"/>
                      <w:spacing w:val="2"/>
                      <w:kern w:val="2"/>
                      <w:sz w:val="21"/>
                      <w:szCs w:val="21"/>
                      <w:lang w:val="en-US" w:eastAsia="zh-CN" w:bidi="ar-SA"/>
                    </w:rPr>
                  </w:pPr>
                  <w:r>
                    <w:rPr>
                      <w:rFonts w:hint="eastAsia"/>
                      <w:color w:val="auto"/>
                      <w:spacing w:val="2"/>
                      <w:szCs w:val="21"/>
                      <w:lang w:val="en-US" w:eastAsia="zh-CN"/>
                    </w:rPr>
                    <w:t>仓库</w:t>
                  </w:r>
                </w:p>
              </w:tc>
              <w:tc>
                <w:tcPr>
                  <w:tcW w:w="5107" w:type="dxa"/>
                  <w:gridSpan w:val="7"/>
                  <w:shd w:val="clear" w:color="auto" w:fill="auto"/>
                  <w:vAlign w:val="center"/>
                </w:tcPr>
                <w:p w14:paraId="630BE86B">
                  <w:pPr>
                    <w:widowControl/>
                    <w:jc w:val="center"/>
                    <w:textAlignment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kern w:val="0"/>
                      <w:sz w:val="21"/>
                      <w:szCs w:val="21"/>
                      <w:lang w:val="en-US" w:eastAsia="zh-CN" w:bidi="ar"/>
                    </w:rPr>
                    <w:t>位于车间内西南侧，建设隔墙用于划分存放区，隔墙采用轻钢龙骨骨架，外侧封彩钢板，墙高2.5m；面积70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w:t>
                  </w:r>
                  <w:r>
                    <w:rPr>
                      <w:rFonts w:hint="eastAsia"/>
                      <w:color w:val="auto"/>
                      <w:spacing w:val="6"/>
                      <w:sz w:val="21"/>
                      <w:szCs w:val="21"/>
                      <w:lang w:val="en-US" w:eastAsia="zh-CN"/>
                    </w:rPr>
                    <w:t>原料钢丝、固化剂的存放，</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ascii="宋体" w:hAnsi="宋体" w:eastAsia="宋体" w:cs="宋体"/>
                      <w:color w:val="auto"/>
                      <w:kern w:val="0"/>
                      <w:sz w:val="21"/>
                      <w:szCs w:val="21"/>
                      <w:lang w:val="en-US" w:eastAsia="zh-CN" w:bidi="ar"/>
                    </w:rPr>
                    <w:t>。</w:t>
                  </w:r>
                </w:p>
              </w:tc>
              <w:tc>
                <w:tcPr>
                  <w:tcW w:w="718" w:type="dxa"/>
                  <w:shd w:val="clear" w:color="auto" w:fill="auto"/>
                  <w:vAlign w:val="center"/>
                </w:tcPr>
                <w:p w14:paraId="51881291">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20D0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1321BF4B">
                  <w:pPr>
                    <w:widowControl/>
                    <w:jc w:val="center"/>
                    <w:textAlignment w:val="center"/>
                    <w:rPr>
                      <w:color w:val="auto"/>
                      <w:kern w:val="0"/>
                      <w:szCs w:val="21"/>
                      <w:lang w:bidi="ar"/>
                    </w:rPr>
                  </w:pPr>
                </w:p>
              </w:tc>
              <w:tc>
                <w:tcPr>
                  <w:tcW w:w="599" w:type="dxa"/>
                  <w:vMerge w:val="continue"/>
                  <w:vAlign w:val="center"/>
                </w:tcPr>
                <w:p w14:paraId="5FF8FE33">
                  <w:pPr>
                    <w:widowControl/>
                    <w:jc w:val="center"/>
                    <w:textAlignment w:val="center"/>
                    <w:rPr>
                      <w:color w:val="auto"/>
                      <w:kern w:val="0"/>
                      <w:szCs w:val="21"/>
                      <w:lang w:bidi="ar"/>
                    </w:rPr>
                  </w:pPr>
                </w:p>
              </w:tc>
              <w:tc>
                <w:tcPr>
                  <w:tcW w:w="974" w:type="dxa"/>
                  <w:shd w:val="clear" w:color="auto" w:fill="auto"/>
                  <w:vAlign w:val="center"/>
                </w:tcPr>
                <w:p w14:paraId="4BC3C56A">
                  <w:pPr>
                    <w:widowControl/>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成品区</w:t>
                  </w:r>
                </w:p>
              </w:tc>
              <w:tc>
                <w:tcPr>
                  <w:tcW w:w="5107" w:type="dxa"/>
                  <w:gridSpan w:val="7"/>
                  <w:shd w:val="clear" w:color="auto" w:fill="auto"/>
                  <w:vAlign w:val="center"/>
                </w:tcPr>
                <w:p w14:paraId="0E3EB329">
                  <w:pPr>
                    <w:widowControl/>
                    <w:jc w:val="center"/>
                    <w:textAlignment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spacing w:val="4"/>
                      <w:sz w:val="21"/>
                      <w:szCs w:val="21"/>
                      <w:lang w:val="en-US" w:eastAsia="zh-CN"/>
                    </w:rPr>
                    <w:t>位</w:t>
                  </w:r>
                  <w:r>
                    <w:rPr>
                      <w:rFonts w:hint="eastAsia"/>
                      <w:color w:val="auto"/>
                      <w:spacing w:val="4"/>
                      <w:sz w:val="21"/>
                      <w:szCs w:val="21"/>
                    </w:rPr>
                    <w:t>于生产车间</w:t>
                  </w:r>
                  <w:r>
                    <w:rPr>
                      <w:rFonts w:hint="eastAsia"/>
                      <w:color w:val="auto"/>
                      <w:spacing w:val="4"/>
                      <w:sz w:val="21"/>
                      <w:szCs w:val="21"/>
                      <w:lang w:val="en-US" w:eastAsia="zh-CN"/>
                    </w:rPr>
                    <w:t>外东侧，面积10000m</w:t>
                  </w:r>
                  <w:r>
                    <w:rPr>
                      <w:rFonts w:hint="eastAsia"/>
                      <w:color w:val="auto"/>
                      <w:spacing w:val="4"/>
                      <w:sz w:val="21"/>
                      <w:szCs w:val="21"/>
                      <w:vertAlign w:val="superscript"/>
                      <w:lang w:val="en-US" w:eastAsia="zh-CN"/>
                    </w:rPr>
                    <w:t>2</w:t>
                  </w:r>
                  <w:r>
                    <w:rPr>
                      <w:rFonts w:hint="eastAsia"/>
                      <w:color w:val="auto"/>
                      <w:spacing w:val="4"/>
                      <w:sz w:val="21"/>
                      <w:szCs w:val="21"/>
                      <w:lang w:val="en-US" w:eastAsia="zh-CN"/>
                    </w:rPr>
                    <w:t>，用于露天存放成品环氧玻璃纤维高压管道，</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pacing w:val="4"/>
                      <w:sz w:val="21"/>
                      <w:szCs w:val="21"/>
                      <w:lang w:val="en-US" w:eastAsia="zh-CN"/>
                    </w:rPr>
                    <w:t>。</w:t>
                  </w:r>
                </w:p>
              </w:tc>
              <w:tc>
                <w:tcPr>
                  <w:tcW w:w="718" w:type="dxa"/>
                  <w:shd w:val="clear" w:color="auto" w:fill="auto"/>
                  <w:vAlign w:val="center"/>
                </w:tcPr>
                <w:p w14:paraId="25745DA4">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已建成/依托</w:t>
                  </w:r>
                </w:p>
              </w:tc>
            </w:tr>
            <w:tr w14:paraId="4655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9" w:type="dxa"/>
                  <w:vMerge w:val="continue"/>
                  <w:vAlign w:val="center"/>
                </w:tcPr>
                <w:p w14:paraId="1502799E">
                  <w:pPr>
                    <w:widowControl/>
                    <w:jc w:val="center"/>
                    <w:textAlignment w:val="center"/>
                    <w:rPr>
                      <w:color w:val="auto"/>
                      <w:kern w:val="0"/>
                      <w:szCs w:val="21"/>
                      <w:lang w:bidi="ar"/>
                    </w:rPr>
                  </w:pPr>
                </w:p>
              </w:tc>
              <w:tc>
                <w:tcPr>
                  <w:tcW w:w="599" w:type="dxa"/>
                  <w:vMerge w:val="continue"/>
                  <w:vAlign w:val="center"/>
                </w:tcPr>
                <w:p w14:paraId="0378558B">
                  <w:pPr>
                    <w:widowControl/>
                    <w:jc w:val="center"/>
                    <w:textAlignment w:val="center"/>
                    <w:rPr>
                      <w:color w:val="auto"/>
                      <w:kern w:val="0"/>
                      <w:szCs w:val="21"/>
                      <w:lang w:bidi="ar"/>
                    </w:rPr>
                  </w:pPr>
                </w:p>
              </w:tc>
              <w:tc>
                <w:tcPr>
                  <w:tcW w:w="974" w:type="dxa"/>
                  <w:shd w:val="clear" w:color="auto" w:fill="auto"/>
                  <w:vAlign w:val="center"/>
                </w:tcPr>
                <w:p w14:paraId="22E01042">
                  <w:pPr>
                    <w:widowControl/>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道路</w:t>
                  </w:r>
                </w:p>
              </w:tc>
              <w:tc>
                <w:tcPr>
                  <w:tcW w:w="5107" w:type="dxa"/>
                  <w:gridSpan w:val="7"/>
                  <w:shd w:val="clear" w:color="auto" w:fill="auto"/>
                  <w:vAlign w:val="center"/>
                </w:tcPr>
                <w:p w14:paraId="355F7077">
                  <w:pPr>
                    <w:widowControl/>
                    <w:jc w:val="center"/>
                    <w:textAlignment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spacing w:val="4"/>
                      <w:sz w:val="21"/>
                      <w:szCs w:val="21"/>
                      <w:lang w:val="en-US" w:eastAsia="zh-CN"/>
                    </w:rPr>
                    <w:t>本项目园区内部已建成道路。</w:t>
                  </w:r>
                </w:p>
              </w:tc>
              <w:tc>
                <w:tcPr>
                  <w:tcW w:w="718" w:type="dxa"/>
                  <w:shd w:val="clear" w:color="auto" w:fill="auto"/>
                  <w:vAlign w:val="center"/>
                </w:tcPr>
                <w:p w14:paraId="7AE2D338">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0F5C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500E13C7">
                  <w:pPr>
                    <w:widowControl/>
                    <w:jc w:val="center"/>
                    <w:textAlignment w:val="center"/>
                    <w:rPr>
                      <w:color w:val="auto"/>
                      <w:kern w:val="0"/>
                      <w:szCs w:val="21"/>
                      <w:lang w:bidi="ar"/>
                    </w:rPr>
                  </w:pPr>
                </w:p>
              </w:tc>
              <w:tc>
                <w:tcPr>
                  <w:tcW w:w="599" w:type="dxa"/>
                  <w:vMerge w:val="restart"/>
                  <w:vAlign w:val="center"/>
                </w:tcPr>
                <w:p w14:paraId="1A099B8F">
                  <w:pPr>
                    <w:widowControl/>
                    <w:jc w:val="center"/>
                    <w:textAlignment w:val="center"/>
                    <w:rPr>
                      <w:color w:val="auto"/>
                      <w:kern w:val="0"/>
                      <w:szCs w:val="21"/>
                      <w:lang w:bidi="ar"/>
                    </w:rPr>
                  </w:pPr>
                  <w:r>
                    <w:rPr>
                      <w:rFonts w:hint="eastAsia"/>
                      <w:color w:val="auto"/>
                      <w:kern w:val="0"/>
                      <w:szCs w:val="21"/>
                      <w:lang w:bidi="ar"/>
                    </w:rPr>
                    <w:t>辅助工程</w:t>
                  </w:r>
                </w:p>
              </w:tc>
              <w:tc>
                <w:tcPr>
                  <w:tcW w:w="974" w:type="dxa"/>
                  <w:shd w:val="clear" w:color="auto" w:fill="auto"/>
                  <w:vAlign w:val="center"/>
                </w:tcPr>
                <w:p w14:paraId="7151915D">
                  <w:pPr>
                    <w:widowControl/>
                    <w:jc w:val="center"/>
                    <w:textAlignment w:val="center"/>
                    <w:rPr>
                      <w:rFonts w:hint="eastAsia"/>
                      <w:color w:val="auto"/>
                      <w:spacing w:val="2"/>
                      <w:szCs w:val="21"/>
                      <w:lang w:val="en-US" w:eastAsia="zh-CN"/>
                    </w:rPr>
                  </w:pPr>
                  <w:r>
                    <w:rPr>
                      <w:rFonts w:hint="eastAsia"/>
                      <w:color w:val="auto"/>
                      <w:spacing w:val="2"/>
                      <w:szCs w:val="21"/>
                      <w:lang w:val="en-US" w:eastAsia="zh-CN"/>
                    </w:rPr>
                    <w:t>配料</w:t>
                  </w:r>
                </w:p>
                <w:p w14:paraId="4EF7B093">
                  <w:pPr>
                    <w:widowControl/>
                    <w:jc w:val="center"/>
                    <w:textAlignment w:val="center"/>
                    <w:rPr>
                      <w:rFonts w:hint="eastAsia" w:ascii="Times New Roman" w:hAnsi="Times New Roman" w:eastAsia="宋体" w:cs="Times New Roman"/>
                      <w:color w:val="auto"/>
                      <w:spacing w:val="2"/>
                      <w:kern w:val="2"/>
                      <w:sz w:val="21"/>
                      <w:szCs w:val="21"/>
                      <w:lang w:val="en-US" w:eastAsia="zh-CN" w:bidi="ar-SA"/>
                    </w:rPr>
                  </w:pPr>
                  <w:r>
                    <w:rPr>
                      <w:rFonts w:hint="eastAsia"/>
                      <w:color w:val="auto"/>
                      <w:spacing w:val="2"/>
                      <w:szCs w:val="21"/>
                      <w:lang w:val="en-US" w:eastAsia="zh-CN"/>
                    </w:rPr>
                    <w:t>车间</w:t>
                  </w:r>
                </w:p>
              </w:tc>
              <w:tc>
                <w:tcPr>
                  <w:tcW w:w="5107" w:type="dxa"/>
                  <w:gridSpan w:val="7"/>
                  <w:shd w:val="clear" w:color="auto" w:fill="auto"/>
                  <w:vAlign w:val="center"/>
                </w:tcPr>
                <w:p w14:paraId="6B0612FE">
                  <w:pPr>
                    <w:keepNext w:val="0"/>
                    <w:keepLines w:val="0"/>
                    <w:widowControl/>
                    <w:suppressLineNumbers w:val="0"/>
                    <w:jc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位于车间内西南侧，建设隔墙用于划分存放区，隔墙采用轻钢龙骨骨架，外侧封彩钢板，墙高2.5m；面积25</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w:t>
                  </w:r>
                  <w:r>
                    <w:rPr>
                      <w:rFonts w:hint="eastAsia"/>
                      <w:color w:val="auto"/>
                      <w:spacing w:val="6"/>
                      <w:sz w:val="21"/>
                      <w:szCs w:val="21"/>
                      <w:lang w:val="en-US" w:eastAsia="zh-CN"/>
                    </w:rPr>
                    <w:t>调配环氧树脂和固化剂，调配完成后使用洁净干燥的PE/PP塑料桶使用搬运车运送至</w:t>
                  </w:r>
                  <w:r>
                    <w:rPr>
                      <w:rFonts w:hint="eastAsia"/>
                      <w:color w:val="auto"/>
                      <w:szCs w:val="21"/>
                      <w:lang w:val="en-US" w:eastAsia="zh-CN"/>
                    </w:rPr>
                    <w:t>管道生产区投入浸润槽，</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pacing w:val="6"/>
                      <w:sz w:val="21"/>
                      <w:szCs w:val="21"/>
                      <w:lang w:val="en-US" w:eastAsia="zh-CN"/>
                    </w:rPr>
                    <w:t>。</w:t>
                  </w:r>
                </w:p>
              </w:tc>
              <w:tc>
                <w:tcPr>
                  <w:tcW w:w="718" w:type="dxa"/>
                  <w:shd w:val="clear" w:color="auto" w:fill="auto"/>
                  <w:vAlign w:val="center"/>
                </w:tcPr>
                <w:p w14:paraId="18131AF8">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11CF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338CDAC7">
                  <w:pPr>
                    <w:widowControl/>
                    <w:jc w:val="center"/>
                    <w:textAlignment w:val="center"/>
                    <w:rPr>
                      <w:color w:val="auto"/>
                      <w:kern w:val="0"/>
                      <w:szCs w:val="21"/>
                      <w:lang w:bidi="ar"/>
                    </w:rPr>
                  </w:pPr>
                </w:p>
              </w:tc>
              <w:tc>
                <w:tcPr>
                  <w:tcW w:w="599" w:type="dxa"/>
                  <w:vMerge w:val="continue"/>
                  <w:vAlign w:val="center"/>
                </w:tcPr>
                <w:p w14:paraId="6437F54F">
                  <w:pPr>
                    <w:widowControl/>
                    <w:jc w:val="center"/>
                    <w:textAlignment w:val="center"/>
                    <w:rPr>
                      <w:color w:val="auto"/>
                      <w:kern w:val="0"/>
                      <w:szCs w:val="21"/>
                      <w:lang w:bidi="ar"/>
                    </w:rPr>
                  </w:pPr>
                </w:p>
              </w:tc>
              <w:tc>
                <w:tcPr>
                  <w:tcW w:w="974" w:type="dxa"/>
                  <w:shd w:val="clear" w:color="auto" w:fill="auto"/>
                  <w:vAlign w:val="center"/>
                </w:tcPr>
                <w:p w14:paraId="37E21F44">
                  <w:pPr>
                    <w:widowControl/>
                    <w:jc w:val="center"/>
                    <w:textAlignment w:val="center"/>
                    <w:rPr>
                      <w:rFonts w:hint="eastAsia" w:ascii="Times New Roman" w:hAnsi="Times New Roman" w:eastAsia="宋体" w:cs="Times New Roman"/>
                      <w:color w:val="auto"/>
                      <w:spacing w:val="2"/>
                      <w:kern w:val="2"/>
                      <w:sz w:val="21"/>
                      <w:szCs w:val="21"/>
                      <w:lang w:val="en-US" w:eastAsia="zh-CN" w:bidi="ar-SA"/>
                    </w:rPr>
                  </w:pPr>
                  <w:r>
                    <w:rPr>
                      <w:rFonts w:hint="eastAsia"/>
                      <w:color w:val="auto"/>
                      <w:spacing w:val="2"/>
                      <w:szCs w:val="21"/>
                    </w:rPr>
                    <w:t>资料及库管办公室</w:t>
                  </w:r>
                </w:p>
              </w:tc>
              <w:tc>
                <w:tcPr>
                  <w:tcW w:w="5107" w:type="dxa"/>
                  <w:gridSpan w:val="7"/>
                  <w:shd w:val="clear" w:color="auto" w:fill="auto"/>
                  <w:vAlign w:val="center"/>
                </w:tcPr>
                <w:p w14:paraId="782E9389">
                  <w:pPr>
                    <w:widowControl/>
                    <w:jc w:val="center"/>
                    <w:textAlignment w:val="center"/>
                    <w:rPr>
                      <w:rFonts w:hint="eastAsia" w:ascii="Times New Roman" w:hAnsi="Times New Roman" w:eastAsia="宋体" w:cs="Times New Roman"/>
                      <w:color w:val="auto"/>
                      <w:spacing w:val="4"/>
                      <w:kern w:val="2"/>
                      <w:sz w:val="21"/>
                      <w:szCs w:val="21"/>
                      <w:lang w:val="en-US" w:eastAsia="zh-CN" w:bidi="ar-SA"/>
                    </w:rPr>
                  </w:pPr>
                  <w:r>
                    <w:rPr>
                      <w:rFonts w:hint="eastAsia"/>
                      <w:color w:val="auto"/>
                      <w:kern w:val="0"/>
                      <w:sz w:val="21"/>
                      <w:szCs w:val="21"/>
                      <w:lang w:val="en-US" w:eastAsia="zh-CN" w:bidi="ar"/>
                    </w:rPr>
                    <w:t>位于车间内东北侧，建设隔墙用于划分存放区，隔墙采用轻钢龙骨骨架，外侧封彩钢板，墙高2.5m；面积50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rFonts w:hint="eastAsia"/>
                      <w:color w:val="auto"/>
                      <w:spacing w:val="4"/>
                      <w:sz w:val="21"/>
                      <w:szCs w:val="21"/>
                      <w:lang w:val="en-US" w:eastAsia="zh-CN"/>
                    </w:rPr>
                    <w:t>主要用于存放资料及办公室</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spacing w:val="4"/>
                      <w:sz w:val="21"/>
                      <w:szCs w:val="21"/>
                      <w:lang w:val="en-US" w:eastAsia="zh-CN"/>
                    </w:rPr>
                    <w:t>。</w:t>
                  </w:r>
                </w:p>
              </w:tc>
              <w:tc>
                <w:tcPr>
                  <w:tcW w:w="718" w:type="dxa"/>
                  <w:shd w:val="clear" w:color="auto" w:fill="auto"/>
                  <w:vAlign w:val="center"/>
                </w:tcPr>
                <w:p w14:paraId="49CE556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4378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599" w:type="dxa"/>
                  <w:vMerge w:val="continue"/>
                  <w:vAlign w:val="center"/>
                </w:tcPr>
                <w:p w14:paraId="1B53D945">
                  <w:pPr>
                    <w:widowControl/>
                    <w:jc w:val="center"/>
                    <w:textAlignment w:val="center"/>
                    <w:rPr>
                      <w:color w:val="auto"/>
                      <w:kern w:val="0"/>
                      <w:szCs w:val="21"/>
                      <w:lang w:bidi="ar"/>
                    </w:rPr>
                  </w:pPr>
                </w:p>
              </w:tc>
              <w:tc>
                <w:tcPr>
                  <w:tcW w:w="599" w:type="dxa"/>
                  <w:vMerge w:val="continue"/>
                  <w:vAlign w:val="center"/>
                </w:tcPr>
                <w:p w14:paraId="7295C3EA">
                  <w:pPr>
                    <w:widowControl/>
                    <w:jc w:val="center"/>
                    <w:textAlignment w:val="center"/>
                    <w:rPr>
                      <w:color w:val="auto"/>
                      <w:kern w:val="0"/>
                      <w:szCs w:val="21"/>
                      <w:lang w:bidi="ar"/>
                    </w:rPr>
                  </w:pPr>
                </w:p>
              </w:tc>
              <w:tc>
                <w:tcPr>
                  <w:tcW w:w="974" w:type="dxa"/>
                  <w:shd w:val="clear" w:color="auto" w:fill="auto"/>
                  <w:vAlign w:val="center"/>
                </w:tcPr>
                <w:p w14:paraId="5410EBDF">
                  <w:pPr>
                    <w:widowControl/>
                    <w:jc w:val="center"/>
                    <w:textAlignment w:val="center"/>
                    <w:rPr>
                      <w:rFonts w:hint="eastAsia" w:ascii="Times New Roman" w:hAnsi="Times New Roman" w:eastAsia="宋体" w:cs="Times New Roman"/>
                      <w:color w:val="auto"/>
                      <w:spacing w:val="2"/>
                      <w:kern w:val="2"/>
                      <w:sz w:val="21"/>
                      <w:szCs w:val="21"/>
                      <w:highlight w:val="none"/>
                      <w:lang w:val="en-US" w:eastAsia="zh-CN" w:bidi="ar-SA"/>
                    </w:rPr>
                  </w:pPr>
                  <w:r>
                    <w:rPr>
                      <w:rFonts w:hint="eastAsia"/>
                      <w:color w:val="auto"/>
                      <w:spacing w:val="2"/>
                      <w:szCs w:val="21"/>
                      <w:highlight w:val="none"/>
                      <w:lang w:val="en-US" w:eastAsia="zh-CN"/>
                    </w:rPr>
                    <w:t>检测</w:t>
                  </w:r>
                  <w:r>
                    <w:rPr>
                      <w:rFonts w:hint="eastAsia"/>
                      <w:color w:val="auto"/>
                      <w:spacing w:val="2"/>
                      <w:szCs w:val="21"/>
                      <w:highlight w:val="none"/>
                    </w:rPr>
                    <w:t>室</w:t>
                  </w:r>
                </w:p>
              </w:tc>
              <w:tc>
                <w:tcPr>
                  <w:tcW w:w="5107" w:type="dxa"/>
                  <w:gridSpan w:val="7"/>
                  <w:shd w:val="clear" w:color="auto" w:fill="auto"/>
                  <w:vAlign w:val="center"/>
                </w:tcPr>
                <w:p w14:paraId="24D85274">
                  <w:pPr>
                    <w:widowControl/>
                    <w:jc w:val="center"/>
                    <w:textAlignment w:val="center"/>
                    <w:rPr>
                      <w:rFonts w:hint="eastAsia" w:ascii="Times New Roman" w:hAnsi="Times New Roman" w:eastAsia="宋体" w:cs="Times New Roman"/>
                      <w:color w:val="auto"/>
                      <w:spacing w:val="4"/>
                      <w:kern w:val="2"/>
                      <w:sz w:val="21"/>
                      <w:szCs w:val="21"/>
                      <w:highlight w:val="none"/>
                      <w:lang w:val="en-US" w:eastAsia="zh-CN" w:bidi="ar-SA"/>
                    </w:rPr>
                  </w:pPr>
                  <w:r>
                    <w:rPr>
                      <w:rFonts w:hint="eastAsia"/>
                      <w:color w:val="auto"/>
                      <w:kern w:val="0"/>
                      <w:sz w:val="21"/>
                      <w:szCs w:val="21"/>
                      <w:highlight w:val="none"/>
                      <w:lang w:val="en-US" w:eastAsia="zh-CN" w:bidi="ar"/>
                    </w:rPr>
                    <w:t>位于车间内东北侧，</w:t>
                  </w:r>
                  <w:r>
                    <w:rPr>
                      <w:rFonts w:hint="eastAsia"/>
                      <w:color w:val="auto"/>
                      <w:kern w:val="0"/>
                      <w:sz w:val="21"/>
                      <w:szCs w:val="21"/>
                      <w:lang w:val="en-US" w:eastAsia="zh-CN" w:bidi="ar"/>
                    </w:rPr>
                    <w:t>建设隔墙用于划分存放区，隔墙采用轻钢龙骨骨架，外侧封彩钢板，墙高2.5m；</w:t>
                  </w:r>
                  <w:r>
                    <w:rPr>
                      <w:rFonts w:hint="eastAsia"/>
                      <w:color w:val="auto"/>
                      <w:kern w:val="0"/>
                      <w:sz w:val="21"/>
                      <w:szCs w:val="21"/>
                      <w:highlight w:val="none"/>
                      <w:lang w:val="en-US" w:eastAsia="zh-CN" w:bidi="ar"/>
                    </w:rPr>
                    <w:t>面积50</w:t>
                  </w:r>
                  <w:r>
                    <w:rPr>
                      <w:rFonts w:hint="eastAsia"/>
                      <w:color w:val="auto"/>
                      <w:kern w:val="0"/>
                      <w:sz w:val="21"/>
                      <w:szCs w:val="21"/>
                      <w:highlight w:val="none"/>
                      <w:lang w:bidi="ar"/>
                    </w:rPr>
                    <w:t>m</w:t>
                  </w:r>
                  <w:r>
                    <w:rPr>
                      <w:rFonts w:hint="eastAsia"/>
                      <w:color w:val="auto"/>
                      <w:kern w:val="0"/>
                      <w:sz w:val="21"/>
                      <w:szCs w:val="21"/>
                      <w:highlight w:val="none"/>
                      <w:vertAlign w:val="superscript"/>
                      <w:lang w:bidi="ar"/>
                    </w:rPr>
                    <w:t>2</w:t>
                  </w:r>
                  <w:r>
                    <w:rPr>
                      <w:rFonts w:hint="eastAsia"/>
                      <w:color w:val="auto"/>
                      <w:kern w:val="0"/>
                      <w:sz w:val="21"/>
                      <w:szCs w:val="21"/>
                      <w:highlight w:val="none"/>
                      <w:lang w:eastAsia="zh-CN" w:bidi="ar"/>
                    </w:rPr>
                    <w:t>，</w:t>
                  </w:r>
                  <w:r>
                    <w:rPr>
                      <w:color w:val="auto"/>
                      <w:spacing w:val="6"/>
                      <w:sz w:val="21"/>
                      <w:szCs w:val="21"/>
                      <w:highlight w:val="none"/>
                    </w:rPr>
                    <w:t>主要用于</w:t>
                  </w:r>
                  <w:r>
                    <w:rPr>
                      <w:rFonts w:hint="eastAsia"/>
                      <w:color w:val="auto"/>
                      <w:spacing w:val="6"/>
                      <w:sz w:val="21"/>
                      <w:szCs w:val="21"/>
                      <w:highlight w:val="none"/>
                      <w:lang w:val="en-US" w:eastAsia="zh-CN"/>
                    </w:rPr>
                    <w:t>使用仪器检测产品阻燃性和抗静电</w:t>
                  </w:r>
                  <w:r>
                    <w:rPr>
                      <w:rFonts w:hint="eastAsia"/>
                      <w:color w:val="auto"/>
                      <w:lang w:val="en-US" w:eastAsia="zh-CN"/>
                    </w:rPr>
                    <w:t>性，</w:t>
                  </w:r>
                  <w:r>
                    <w:rPr>
                      <w:rFonts w:hint="eastAsia"/>
                      <w:color w:val="auto"/>
                      <w:sz w:val="21"/>
                      <w:szCs w:val="21"/>
                      <w:lang w:val="en-US" w:eastAsia="zh-CN"/>
                    </w:rPr>
                    <w:t>防渗要求为</w:t>
                  </w:r>
                  <w:r>
                    <w:rPr>
                      <w:rFonts w:hint="eastAsia"/>
                      <w:color w:val="auto"/>
                      <w:sz w:val="21"/>
                      <w:szCs w:val="21"/>
                      <w:highlight w:val="none"/>
                      <w:lang w:val="en-US" w:eastAsia="zh-CN"/>
                    </w:rPr>
                    <w:t>一般地面硬化</w:t>
                  </w:r>
                  <w:r>
                    <w:rPr>
                      <w:rFonts w:hint="eastAsia"/>
                      <w:color w:val="auto"/>
                      <w:lang w:val="en-US" w:eastAsia="zh-CN"/>
                    </w:rPr>
                    <w:t>。</w:t>
                  </w:r>
                </w:p>
              </w:tc>
              <w:tc>
                <w:tcPr>
                  <w:tcW w:w="718" w:type="dxa"/>
                  <w:shd w:val="clear" w:color="auto" w:fill="auto"/>
                  <w:vAlign w:val="center"/>
                </w:tcPr>
                <w:p w14:paraId="4FAE816F">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0971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599" w:type="dxa"/>
                  <w:vMerge w:val="continue"/>
                  <w:vAlign w:val="center"/>
                </w:tcPr>
                <w:p w14:paraId="2474D72A">
                  <w:pPr>
                    <w:widowControl/>
                    <w:jc w:val="center"/>
                    <w:textAlignment w:val="center"/>
                    <w:rPr>
                      <w:color w:val="auto"/>
                      <w:kern w:val="0"/>
                      <w:szCs w:val="21"/>
                      <w:lang w:bidi="ar"/>
                    </w:rPr>
                  </w:pPr>
                </w:p>
              </w:tc>
              <w:tc>
                <w:tcPr>
                  <w:tcW w:w="599" w:type="dxa"/>
                  <w:vMerge w:val="restart"/>
                  <w:vAlign w:val="center"/>
                </w:tcPr>
                <w:p w14:paraId="60CF9E4A">
                  <w:pPr>
                    <w:widowControl/>
                    <w:jc w:val="center"/>
                    <w:textAlignment w:val="center"/>
                    <w:rPr>
                      <w:color w:val="auto"/>
                      <w:kern w:val="0"/>
                      <w:szCs w:val="21"/>
                      <w:lang w:bidi="ar"/>
                    </w:rPr>
                  </w:pPr>
                  <w:r>
                    <w:rPr>
                      <w:rFonts w:hint="eastAsia"/>
                      <w:color w:val="auto"/>
                      <w:kern w:val="0"/>
                      <w:szCs w:val="21"/>
                      <w:lang w:bidi="ar"/>
                    </w:rPr>
                    <w:t>公用工程</w:t>
                  </w:r>
                </w:p>
              </w:tc>
              <w:tc>
                <w:tcPr>
                  <w:tcW w:w="974" w:type="dxa"/>
                  <w:shd w:val="clear" w:color="auto" w:fill="auto"/>
                  <w:vAlign w:val="center"/>
                </w:tcPr>
                <w:p w14:paraId="7A8E095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供水</w:t>
                  </w:r>
                </w:p>
              </w:tc>
              <w:tc>
                <w:tcPr>
                  <w:tcW w:w="5107" w:type="dxa"/>
                  <w:gridSpan w:val="7"/>
                  <w:shd w:val="clear" w:color="auto" w:fill="auto"/>
                  <w:vAlign w:val="center"/>
                </w:tcPr>
                <w:p w14:paraId="2177D1FB">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本项目由园区供水管网提供</w:t>
                  </w:r>
                  <w:r>
                    <w:rPr>
                      <w:rFonts w:hint="eastAsia"/>
                      <w:color w:val="auto"/>
                      <w:kern w:val="0"/>
                      <w:szCs w:val="21"/>
                      <w:lang w:eastAsia="zh-CN" w:bidi="ar"/>
                    </w:rPr>
                    <w:t>。</w:t>
                  </w:r>
                </w:p>
              </w:tc>
              <w:tc>
                <w:tcPr>
                  <w:tcW w:w="718" w:type="dxa"/>
                  <w:shd w:val="clear" w:color="auto" w:fill="auto"/>
                  <w:vAlign w:val="center"/>
                </w:tcPr>
                <w:p w14:paraId="782060BA">
                  <w:pPr>
                    <w:widowControl/>
                    <w:jc w:val="center"/>
                    <w:rPr>
                      <w:rFonts w:hint="eastAsia" w:ascii="Times New Roman" w:hAnsi="Times New Roman" w:eastAsia="宋体" w:cs="Times New Roman"/>
                      <w:color w:val="auto"/>
                      <w:kern w:val="0"/>
                      <w:sz w:val="21"/>
                      <w:szCs w:val="21"/>
                      <w:lang w:val="en-US" w:eastAsia="zh-CN" w:bidi="ar"/>
                    </w:rPr>
                  </w:pPr>
                  <w:r>
                    <w:rPr>
                      <w:rFonts w:hint="eastAsia" w:ascii="宋体" w:hAnsi="宋体" w:cs="宋体"/>
                      <w:color w:val="auto"/>
                      <w:kern w:val="0"/>
                      <w:szCs w:val="21"/>
                      <w:lang w:bidi="ar"/>
                    </w:rPr>
                    <w:t>依托</w:t>
                  </w:r>
                </w:p>
              </w:tc>
            </w:tr>
            <w:tr w14:paraId="02B5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599" w:type="dxa"/>
                  <w:vMerge w:val="continue"/>
                  <w:vAlign w:val="center"/>
                </w:tcPr>
                <w:p w14:paraId="74074E7A">
                  <w:pPr>
                    <w:widowControl/>
                    <w:jc w:val="center"/>
                    <w:textAlignment w:val="center"/>
                    <w:rPr>
                      <w:color w:val="auto"/>
                      <w:kern w:val="0"/>
                      <w:szCs w:val="21"/>
                      <w:lang w:bidi="ar"/>
                    </w:rPr>
                  </w:pPr>
                </w:p>
              </w:tc>
              <w:tc>
                <w:tcPr>
                  <w:tcW w:w="599" w:type="dxa"/>
                  <w:vMerge w:val="continue"/>
                  <w:vAlign w:val="center"/>
                </w:tcPr>
                <w:p w14:paraId="39ABDA86">
                  <w:pPr>
                    <w:widowControl/>
                    <w:jc w:val="center"/>
                    <w:textAlignment w:val="center"/>
                    <w:rPr>
                      <w:color w:val="auto"/>
                      <w:kern w:val="0"/>
                      <w:szCs w:val="21"/>
                      <w:lang w:bidi="ar"/>
                    </w:rPr>
                  </w:pPr>
                </w:p>
              </w:tc>
              <w:tc>
                <w:tcPr>
                  <w:tcW w:w="974" w:type="dxa"/>
                  <w:shd w:val="clear" w:color="auto" w:fill="auto"/>
                  <w:vAlign w:val="center"/>
                </w:tcPr>
                <w:p w14:paraId="52577D64">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排水</w:t>
                  </w:r>
                </w:p>
              </w:tc>
              <w:tc>
                <w:tcPr>
                  <w:tcW w:w="5107" w:type="dxa"/>
                  <w:gridSpan w:val="7"/>
                  <w:shd w:val="clear" w:color="auto" w:fill="auto"/>
                  <w:vAlign w:val="center"/>
                </w:tcPr>
                <w:p w14:paraId="4CC1C453">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生活污水经园区化粪池处理后，接管排入</w:t>
                  </w:r>
                  <w:r>
                    <w:rPr>
                      <w:rFonts w:hint="eastAsia"/>
                      <w:color w:val="auto"/>
                      <w:kern w:val="0"/>
                      <w:szCs w:val="21"/>
                      <w:lang w:eastAsia="zh-CN" w:bidi="ar"/>
                    </w:rPr>
                    <w:t>内蒙古天河水务有限公司</w:t>
                  </w:r>
                  <w:r>
                    <w:rPr>
                      <w:rFonts w:hint="eastAsia"/>
                      <w:color w:val="auto"/>
                      <w:kern w:val="0"/>
                      <w:szCs w:val="21"/>
                      <w:lang w:bidi="ar"/>
                    </w:rPr>
                    <w:t>进一步处理。</w:t>
                  </w:r>
                </w:p>
              </w:tc>
              <w:tc>
                <w:tcPr>
                  <w:tcW w:w="718" w:type="dxa"/>
                  <w:shd w:val="clear" w:color="auto" w:fill="auto"/>
                  <w:vAlign w:val="center"/>
                </w:tcPr>
                <w:p w14:paraId="10F0E5E3">
                  <w:pPr>
                    <w:widowControl/>
                    <w:jc w:val="center"/>
                    <w:rPr>
                      <w:rFonts w:hint="eastAsia" w:ascii="宋体" w:hAnsi="宋体" w:eastAsia="宋体" w:cs="宋体"/>
                      <w:color w:val="auto"/>
                      <w:kern w:val="0"/>
                      <w:sz w:val="21"/>
                      <w:szCs w:val="21"/>
                      <w:lang w:val="en-US" w:eastAsia="zh-CN" w:bidi="ar"/>
                    </w:rPr>
                  </w:pPr>
                  <w:r>
                    <w:rPr>
                      <w:rFonts w:hint="eastAsia" w:ascii="宋体" w:hAnsi="宋体" w:cs="宋体"/>
                      <w:color w:val="auto"/>
                      <w:kern w:val="0"/>
                      <w:szCs w:val="21"/>
                      <w:lang w:val="en-US" w:eastAsia="zh-CN" w:bidi="ar"/>
                    </w:rPr>
                    <w:t>依托</w:t>
                  </w:r>
                </w:p>
              </w:tc>
            </w:tr>
            <w:tr w14:paraId="27DA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57114E64">
                  <w:pPr>
                    <w:widowControl/>
                    <w:jc w:val="center"/>
                    <w:textAlignment w:val="center"/>
                    <w:rPr>
                      <w:color w:val="auto"/>
                      <w:kern w:val="0"/>
                      <w:szCs w:val="21"/>
                      <w:lang w:bidi="ar"/>
                    </w:rPr>
                  </w:pPr>
                </w:p>
              </w:tc>
              <w:tc>
                <w:tcPr>
                  <w:tcW w:w="599" w:type="dxa"/>
                  <w:vMerge w:val="continue"/>
                  <w:vAlign w:val="center"/>
                </w:tcPr>
                <w:p w14:paraId="1BD45D4A">
                  <w:pPr>
                    <w:widowControl/>
                    <w:jc w:val="center"/>
                    <w:textAlignment w:val="center"/>
                    <w:rPr>
                      <w:color w:val="auto"/>
                      <w:kern w:val="0"/>
                      <w:szCs w:val="21"/>
                      <w:lang w:bidi="ar"/>
                    </w:rPr>
                  </w:pPr>
                </w:p>
              </w:tc>
              <w:tc>
                <w:tcPr>
                  <w:tcW w:w="974" w:type="dxa"/>
                  <w:shd w:val="clear" w:color="auto" w:fill="auto"/>
                  <w:vAlign w:val="center"/>
                </w:tcPr>
                <w:p w14:paraId="64E33543">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供电</w:t>
                  </w:r>
                </w:p>
              </w:tc>
              <w:tc>
                <w:tcPr>
                  <w:tcW w:w="5107" w:type="dxa"/>
                  <w:gridSpan w:val="7"/>
                  <w:shd w:val="clear" w:color="auto" w:fill="auto"/>
                  <w:vAlign w:val="center"/>
                </w:tcPr>
                <w:p w14:paraId="4A00EEDF">
                  <w:pPr>
                    <w:widowControl/>
                    <w:jc w:val="center"/>
                    <w:textAlignment w:val="center"/>
                    <w:rPr>
                      <w:rFonts w:hint="eastAsia" w:ascii="Times New Roman" w:hAnsi="Times New Roman" w:eastAsia="宋体" w:cs="Times New Roman"/>
                      <w:color w:val="auto"/>
                      <w:spacing w:val="1"/>
                      <w:kern w:val="2"/>
                      <w:sz w:val="21"/>
                      <w:szCs w:val="21"/>
                      <w:lang w:val="en-US" w:eastAsia="zh-CN" w:bidi="ar-SA"/>
                    </w:rPr>
                  </w:pPr>
                  <w:r>
                    <w:rPr>
                      <w:color w:val="auto"/>
                      <w:spacing w:val="6"/>
                      <w:sz w:val="21"/>
                      <w:szCs w:val="21"/>
                    </w:rPr>
                    <w:t>由市政供电站提供，厂区内自建变配电</w:t>
                  </w:r>
                  <w:r>
                    <w:rPr>
                      <w:rFonts w:hint="eastAsia"/>
                      <w:color w:val="auto"/>
                      <w:spacing w:val="6"/>
                      <w:sz w:val="21"/>
                      <w:szCs w:val="21"/>
                      <w:lang w:val="en-US" w:eastAsia="zh-CN"/>
                    </w:rPr>
                    <w:t>箱</w:t>
                  </w:r>
                  <w:r>
                    <w:rPr>
                      <w:color w:val="auto"/>
                      <w:spacing w:val="6"/>
                      <w:sz w:val="21"/>
                      <w:szCs w:val="21"/>
                    </w:rPr>
                    <w:t>，生产车间用电由新建配电</w:t>
                  </w:r>
                  <w:r>
                    <w:rPr>
                      <w:rFonts w:hint="eastAsia"/>
                      <w:color w:val="auto"/>
                      <w:spacing w:val="6"/>
                      <w:sz w:val="21"/>
                      <w:szCs w:val="21"/>
                      <w:lang w:val="en-US" w:eastAsia="zh-CN"/>
                    </w:rPr>
                    <w:t>箱</w:t>
                  </w:r>
                  <w:r>
                    <w:rPr>
                      <w:color w:val="auto"/>
                      <w:spacing w:val="6"/>
                      <w:sz w:val="21"/>
                      <w:szCs w:val="21"/>
                    </w:rPr>
                    <w:t>引</w:t>
                  </w:r>
                  <w:r>
                    <w:rPr>
                      <w:color w:val="auto"/>
                      <w:spacing w:val="1"/>
                      <w:sz w:val="21"/>
                      <w:szCs w:val="21"/>
                    </w:rPr>
                    <w:t>入</w:t>
                  </w:r>
                  <w:r>
                    <w:rPr>
                      <w:rFonts w:hint="eastAsia"/>
                      <w:color w:val="auto"/>
                      <w:spacing w:val="1"/>
                      <w:sz w:val="21"/>
                      <w:szCs w:val="21"/>
                      <w:lang w:eastAsia="zh-CN"/>
                    </w:rPr>
                    <w:t>。</w:t>
                  </w:r>
                </w:p>
              </w:tc>
              <w:tc>
                <w:tcPr>
                  <w:tcW w:w="718" w:type="dxa"/>
                  <w:shd w:val="clear" w:color="auto" w:fill="auto"/>
                  <w:vAlign w:val="center"/>
                </w:tcPr>
                <w:p w14:paraId="1D6B54DA">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依托一期</w:t>
                  </w:r>
                </w:p>
              </w:tc>
            </w:tr>
            <w:tr w14:paraId="34C1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99" w:type="dxa"/>
                  <w:vMerge w:val="continue"/>
                  <w:vAlign w:val="center"/>
                </w:tcPr>
                <w:p w14:paraId="6FBF4104">
                  <w:pPr>
                    <w:widowControl/>
                    <w:jc w:val="center"/>
                    <w:textAlignment w:val="center"/>
                    <w:rPr>
                      <w:color w:val="auto"/>
                      <w:kern w:val="0"/>
                      <w:szCs w:val="21"/>
                      <w:lang w:bidi="ar"/>
                    </w:rPr>
                  </w:pPr>
                </w:p>
              </w:tc>
              <w:tc>
                <w:tcPr>
                  <w:tcW w:w="599" w:type="dxa"/>
                  <w:vMerge w:val="continue"/>
                  <w:vAlign w:val="center"/>
                </w:tcPr>
                <w:p w14:paraId="100CC6BC">
                  <w:pPr>
                    <w:widowControl/>
                    <w:jc w:val="center"/>
                    <w:textAlignment w:val="center"/>
                    <w:rPr>
                      <w:color w:val="auto"/>
                      <w:kern w:val="0"/>
                      <w:szCs w:val="21"/>
                      <w:lang w:bidi="ar"/>
                    </w:rPr>
                  </w:pPr>
                </w:p>
              </w:tc>
              <w:tc>
                <w:tcPr>
                  <w:tcW w:w="974" w:type="dxa"/>
                  <w:shd w:val="clear" w:color="auto" w:fill="auto"/>
                  <w:vAlign w:val="center"/>
                </w:tcPr>
                <w:p w14:paraId="712EBAD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供热</w:t>
                  </w:r>
                </w:p>
              </w:tc>
              <w:tc>
                <w:tcPr>
                  <w:tcW w:w="5107" w:type="dxa"/>
                  <w:gridSpan w:val="7"/>
                  <w:shd w:val="clear" w:color="auto" w:fill="auto"/>
                  <w:vAlign w:val="center"/>
                </w:tcPr>
                <w:p w14:paraId="17AEB18A">
                  <w:pPr>
                    <w:widowControl/>
                    <w:jc w:val="center"/>
                    <w:textAlignment w:val="center"/>
                    <w:rPr>
                      <w:rFonts w:hint="eastAsia"/>
                      <w:color w:val="auto"/>
                      <w:spacing w:val="6"/>
                      <w:sz w:val="21"/>
                      <w:szCs w:val="21"/>
                    </w:rPr>
                  </w:pPr>
                  <w:r>
                    <w:rPr>
                      <w:rFonts w:hint="eastAsia"/>
                      <w:color w:val="auto"/>
                      <w:spacing w:val="6"/>
                      <w:sz w:val="21"/>
                      <w:szCs w:val="21"/>
                    </w:rPr>
                    <w:t>生产车间供热为</w:t>
                  </w:r>
                  <w:r>
                    <w:rPr>
                      <w:rFonts w:hint="eastAsia"/>
                      <w:color w:val="auto"/>
                      <w:spacing w:val="6"/>
                      <w:sz w:val="21"/>
                      <w:szCs w:val="21"/>
                      <w:lang w:val="en-US" w:eastAsia="zh-CN"/>
                    </w:rPr>
                    <w:t>园区统一供热</w:t>
                  </w:r>
                  <w:r>
                    <w:rPr>
                      <w:rFonts w:hint="eastAsia"/>
                      <w:color w:val="auto"/>
                      <w:spacing w:val="6"/>
                      <w:sz w:val="21"/>
                      <w:szCs w:val="21"/>
                    </w:rPr>
                    <w:t>。</w:t>
                  </w:r>
                </w:p>
                <w:p w14:paraId="24C07E06">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spacing w:val="6"/>
                      <w:sz w:val="21"/>
                      <w:szCs w:val="21"/>
                      <w:lang w:val="en-US" w:eastAsia="zh-CN"/>
                    </w:rPr>
                    <w:t>本项目生产工艺所需热能全部来源于电力。</w:t>
                  </w:r>
                </w:p>
              </w:tc>
              <w:tc>
                <w:tcPr>
                  <w:tcW w:w="718" w:type="dxa"/>
                  <w:shd w:val="clear" w:color="auto" w:fill="auto"/>
                  <w:vAlign w:val="center"/>
                </w:tcPr>
                <w:p w14:paraId="69945D20">
                  <w:pPr>
                    <w:widowControl/>
                    <w:jc w:val="center"/>
                    <w:textAlignment w:val="center"/>
                    <w:rPr>
                      <w:rFonts w:hint="eastAsia" w:ascii="Times New Roman" w:hAnsi="Times New Roman" w:eastAsia="宋体" w:cs="Times New Roman"/>
                      <w:color w:val="auto"/>
                      <w:spacing w:val="6"/>
                      <w:kern w:val="2"/>
                      <w:sz w:val="20"/>
                      <w:szCs w:val="20"/>
                      <w:lang w:val="en-US" w:eastAsia="zh-CN" w:bidi="ar-SA"/>
                    </w:rPr>
                  </w:pPr>
                  <w:r>
                    <w:rPr>
                      <w:rFonts w:hint="eastAsia"/>
                      <w:color w:val="auto"/>
                      <w:lang w:val="en-US" w:eastAsia="zh-CN"/>
                    </w:rPr>
                    <w:t>依托</w:t>
                  </w:r>
                </w:p>
              </w:tc>
            </w:tr>
            <w:tr w14:paraId="3F9F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1FC48935">
                  <w:pPr>
                    <w:widowControl/>
                    <w:jc w:val="center"/>
                    <w:textAlignment w:val="center"/>
                    <w:rPr>
                      <w:color w:val="auto"/>
                      <w:kern w:val="0"/>
                      <w:szCs w:val="21"/>
                      <w:lang w:bidi="ar"/>
                    </w:rPr>
                  </w:pPr>
                </w:p>
              </w:tc>
              <w:tc>
                <w:tcPr>
                  <w:tcW w:w="599" w:type="dxa"/>
                  <w:vMerge w:val="restart"/>
                  <w:vAlign w:val="center"/>
                </w:tcPr>
                <w:p w14:paraId="5F197225">
                  <w:pPr>
                    <w:widowControl/>
                    <w:jc w:val="center"/>
                    <w:textAlignment w:val="center"/>
                    <w:rPr>
                      <w:color w:val="auto"/>
                      <w:kern w:val="0"/>
                      <w:szCs w:val="21"/>
                      <w:lang w:bidi="ar"/>
                    </w:rPr>
                  </w:pPr>
                  <w:r>
                    <w:rPr>
                      <w:rFonts w:hint="eastAsia"/>
                      <w:color w:val="auto"/>
                      <w:kern w:val="0"/>
                      <w:szCs w:val="21"/>
                      <w:lang w:val="en-US" w:eastAsia="zh-CN" w:bidi="ar"/>
                    </w:rPr>
                    <w:t>环保工程</w:t>
                  </w:r>
                </w:p>
              </w:tc>
              <w:tc>
                <w:tcPr>
                  <w:tcW w:w="974" w:type="dxa"/>
                  <w:vMerge w:val="restart"/>
                  <w:shd w:val="clear" w:color="auto" w:fill="auto"/>
                  <w:vAlign w:val="center"/>
                </w:tcPr>
                <w:p w14:paraId="560DF700">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废气</w:t>
                  </w:r>
                </w:p>
              </w:tc>
              <w:tc>
                <w:tcPr>
                  <w:tcW w:w="889" w:type="dxa"/>
                  <w:gridSpan w:val="3"/>
                  <w:shd w:val="clear" w:color="auto" w:fill="auto"/>
                  <w:vAlign w:val="center"/>
                </w:tcPr>
                <w:p w14:paraId="472C3810">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搅拌</w:t>
                  </w:r>
                </w:p>
                <w:p w14:paraId="31824B07">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废气（G1）</w:t>
                  </w:r>
                </w:p>
              </w:tc>
              <w:tc>
                <w:tcPr>
                  <w:tcW w:w="4218" w:type="dxa"/>
                  <w:gridSpan w:val="4"/>
                  <w:shd w:val="clear" w:color="auto" w:fill="auto"/>
                  <w:vAlign w:val="center"/>
                </w:tcPr>
                <w:p w14:paraId="3FED7FEC">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搅拌设备上方设置集气罩，经集气罩收集后</w:t>
                  </w:r>
                  <w:r>
                    <w:rPr>
                      <w:bCs/>
                      <w:color w:val="auto"/>
                      <w:szCs w:val="21"/>
                    </w:rPr>
                    <w:t>经密闭抽尘管道引至</w:t>
                  </w:r>
                  <w:r>
                    <w:rPr>
                      <w:rFonts w:hint="eastAsia"/>
                      <w:bCs/>
                      <w:color w:val="auto"/>
                      <w:szCs w:val="21"/>
                      <w:lang w:eastAsia="zh-CN"/>
                    </w:rPr>
                    <w:t>“二级活性炭吸附”装置处理后经</w:t>
                  </w:r>
                  <w:r>
                    <w:rPr>
                      <w:rFonts w:hint="eastAsia"/>
                      <w:bCs/>
                      <w:color w:val="auto"/>
                      <w:szCs w:val="21"/>
                      <w:lang w:val="en-US" w:eastAsia="zh-CN"/>
                    </w:rPr>
                    <w:t>20.5m</w:t>
                  </w:r>
                  <w:r>
                    <w:rPr>
                      <w:rFonts w:hint="eastAsia"/>
                      <w:bCs/>
                      <w:color w:val="auto"/>
                      <w:szCs w:val="21"/>
                      <w:lang w:eastAsia="zh-CN"/>
                    </w:rPr>
                    <w:t>高排气筒（</w:t>
                  </w:r>
                  <w:r>
                    <w:rPr>
                      <w:rFonts w:hint="eastAsia"/>
                      <w:bCs/>
                      <w:color w:val="auto"/>
                      <w:szCs w:val="21"/>
                      <w:lang w:val="en-US" w:eastAsia="zh-CN"/>
                    </w:rPr>
                    <w:t>DA001</w:t>
                  </w:r>
                  <w:r>
                    <w:rPr>
                      <w:rFonts w:hint="eastAsia"/>
                      <w:bCs/>
                      <w:color w:val="auto"/>
                      <w:szCs w:val="21"/>
                      <w:lang w:eastAsia="zh-CN"/>
                    </w:rPr>
                    <w:t>）排放。</w:t>
                  </w:r>
                </w:p>
              </w:tc>
              <w:tc>
                <w:tcPr>
                  <w:tcW w:w="718" w:type="dxa"/>
                  <w:shd w:val="clear" w:color="auto" w:fill="auto"/>
                  <w:vAlign w:val="center"/>
                </w:tcPr>
                <w:p w14:paraId="05BDB712">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新建/依托一期</w:t>
                  </w:r>
                </w:p>
              </w:tc>
            </w:tr>
            <w:tr w14:paraId="4970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01D00D8D">
                  <w:pPr>
                    <w:widowControl/>
                    <w:jc w:val="center"/>
                    <w:textAlignment w:val="center"/>
                    <w:rPr>
                      <w:color w:val="auto"/>
                      <w:kern w:val="0"/>
                      <w:szCs w:val="21"/>
                      <w:lang w:bidi="ar"/>
                    </w:rPr>
                  </w:pPr>
                </w:p>
              </w:tc>
              <w:tc>
                <w:tcPr>
                  <w:tcW w:w="599" w:type="dxa"/>
                  <w:vMerge w:val="continue"/>
                  <w:vAlign w:val="center"/>
                </w:tcPr>
                <w:p w14:paraId="16368432">
                  <w:pPr>
                    <w:widowControl/>
                    <w:jc w:val="center"/>
                    <w:textAlignment w:val="center"/>
                    <w:rPr>
                      <w:rFonts w:hint="eastAsia"/>
                      <w:color w:val="auto"/>
                      <w:kern w:val="0"/>
                      <w:szCs w:val="21"/>
                      <w:lang w:val="en-US" w:eastAsia="zh-CN" w:bidi="ar"/>
                    </w:rPr>
                  </w:pPr>
                </w:p>
              </w:tc>
              <w:tc>
                <w:tcPr>
                  <w:tcW w:w="974" w:type="dxa"/>
                  <w:vMerge w:val="continue"/>
                  <w:vAlign w:val="center"/>
                </w:tcPr>
                <w:p w14:paraId="367092F2">
                  <w:pPr>
                    <w:widowControl/>
                    <w:jc w:val="center"/>
                    <w:textAlignment w:val="center"/>
                    <w:rPr>
                      <w:rFonts w:hint="eastAsia"/>
                      <w:color w:val="auto"/>
                      <w:kern w:val="0"/>
                      <w:sz w:val="21"/>
                      <w:szCs w:val="21"/>
                      <w:lang w:bidi="ar"/>
                    </w:rPr>
                  </w:pPr>
                </w:p>
              </w:tc>
              <w:tc>
                <w:tcPr>
                  <w:tcW w:w="889" w:type="dxa"/>
                  <w:gridSpan w:val="3"/>
                  <w:shd w:val="clear" w:color="auto" w:fill="auto"/>
                  <w:vAlign w:val="center"/>
                </w:tcPr>
                <w:p w14:paraId="3B80C24F">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缠绕、固化废气（G2）</w:t>
                  </w:r>
                </w:p>
              </w:tc>
              <w:tc>
                <w:tcPr>
                  <w:tcW w:w="4218" w:type="dxa"/>
                  <w:gridSpan w:val="4"/>
                  <w:shd w:val="clear" w:color="auto" w:fill="auto"/>
                  <w:vAlign w:val="center"/>
                </w:tcPr>
                <w:p w14:paraId="1F637AB2">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缠绕和固化工序上方设一套集气罩，经集气罩收集后</w:t>
                  </w:r>
                  <w:r>
                    <w:rPr>
                      <w:bCs/>
                      <w:color w:val="auto"/>
                      <w:sz w:val="21"/>
                      <w:szCs w:val="21"/>
                    </w:rPr>
                    <w:t>经密闭抽尘管道引至</w:t>
                  </w:r>
                  <w:r>
                    <w:rPr>
                      <w:rFonts w:hint="eastAsia"/>
                      <w:bCs/>
                      <w:color w:val="auto"/>
                      <w:sz w:val="21"/>
                      <w:szCs w:val="21"/>
                      <w:lang w:eastAsia="zh-CN"/>
                    </w:rPr>
                    <w:t>“二级活性炭吸附”装置处理后经20.5m高排气筒（</w:t>
                  </w:r>
                  <w:r>
                    <w:rPr>
                      <w:rFonts w:hint="eastAsia"/>
                      <w:bCs/>
                      <w:color w:val="auto"/>
                      <w:sz w:val="21"/>
                      <w:szCs w:val="21"/>
                      <w:lang w:val="en-US" w:eastAsia="zh-CN"/>
                    </w:rPr>
                    <w:t>DA001</w:t>
                  </w:r>
                  <w:r>
                    <w:rPr>
                      <w:rFonts w:hint="eastAsia"/>
                      <w:bCs/>
                      <w:color w:val="auto"/>
                      <w:sz w:val="21"/>
                      <w:szCs w:val="21"/>
                      <w:lang w:eastAsia="zh-CN"/>
                    </w:rPr>
                    <w:t>）排放。（</w:t>
                  </w:r>
                  <w:r>
                    <w:rPr>
                      <w:rFonts w:hint="eastAsia"/>
                      <w:bCs/>
                      <w:color w:val="auto"/>
                      <w:sz w:val="21"/>
                      <w:szCs w:val="21"/>
                      <w:lang w:val="en-US" w:eastAsia="zh-CN"/>
                    </w:rPr>
                    <w:t>与搅拌废气使用同一套设备</w:t>
                  </w:r>
                  <w:r>
                    <w:rPr>
                      <w:rFonts w:hint="eastAsia"/>
                      <w:bCs/>
                      <w:color w:val="auto"/>
                      <w:sz w:val="21"/>
                      <w:szCs w:val="21"/>
                      <w:lang w:eastAsia="zh-CN"/>
                    </w:rPr>
                    <w:t>）</w:t>
                  </w:r>
                </w:p>
              </w:tc>
              <w:tc>
                <w:tcPr>
                  <w:tcW w:w="718" w:type="dxa"/>
                  <w:shd w:val="clear" w:color="auto" w:fill="auto"/>
                  <w:vAlign w:val="center"/>
                </w:tcPr>
                <w:p w14:paraId="5E7D3A2D">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新建/依托一期</w:t>
                  </w:r>
                </w:p>
              </w:tc>
            </w:tr>
            <w:tr w14:paraId="45FA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516DE693">
                  <w:pPr>
                    <w:widowControl/>
                    <w:jc w:val="center"/>
                    <w:textAlignment w:val="center"/>
                    <w:rPr>
                      <w:color w:val="auto"/>
                      <w:kern w:val="0"/>
                      <w:szCs w:val="21"/>
                      <w:lang w:bidi="ar"/>
                    </w:rPr>
                  </w:pPr>
                </w:p>
              </w:tc>
              <w:tc>
                <w:tcPr>
                  <w:tcW w:w="599" w:type="dxa"/>
                  <w:vMerge w:val="continue"/>
                  <w:vAlign w:val="center"/>
                </w:tcPr>
                <w:p w14:paraId="71BFE87A">
                  <w:pPr>
                    <w:widowControl/>
                    <w:jc w:val="center"/>
                    <w:textAlignment w:val="center"/>
                    <w:rPr>
                      <w:rFonts w:hint="eastAsia"/>
                      <w:color w:val="auto"/>
                      <w:kern w:val="0"/>
                      <w:szCs w:val="21"/>
                      <w:lang w:val="en-US" w:eastAsia="zh-CN" w:bidi="ar"/>
                    </w:rPr>
                  </w:pPr>
                </w:p>
              </w:tc>
              <w:tc>
                <w:tcPr>
                  <w:tcW w:w="974" w:type="dxa"/>
                  <w:vMerge w:val="continue"/>
                  <w:vAlign w:val="center"/>
                </w:tcPr>
                <w:p w14:paraId="0643DD66">
                  <w:pPr>
                    <w:widowControl/>
                    <w:jc w:val="center"/>
                    <w:textAlignment w:val="center"/>
                    <w:rPr>
                      <w:rFonts w:hint="eastAsia"/>
                      <w:color w:val="auto"/>
                      <w:kern w:val="0"/>
                      <w:sz w:val="21"/>
                      <w:szCs w:val="21"/>
                      <w:lang w:bidi="ar"/>
                    </w:rPr>
                  </w:pPr>
                </w:p>
              </w:tc>
              <w:tc>
                <w:tcPr>
                  <w:tcW w:w="889" w:type="dxa"/>
                  <w:gridSpan w:val="3"/>
                  <w:shd w:val="clear" w:color="auto" w:fill="auto"/>
                  <w:vAlign w:val="center"/>
                </w:tcPr>
                <w:p w14:paraId="068AAFFE">
                  <w:pPr>
                    <w:widowControl/>
                    <w:jc w:val="center"/>
                    <w:textAlignment w:val="center"/>
                    <w:rPr>
                      <w:rFonts w:hint="eastAsia"/>
                      <w:color w:val="auto"/>
                      <w:kern w:val="0"/>
                      <w:sz w:val="21"/>
                      <w:szCs w:val="21"/>
                      <w:lang w:val="en-US" w:eastAsia="zh-CN" w:bidi="ar"/>
                    </w:rPr>
                  </w:pPr>
                  <w:r>
                    <w:rPr>
                      <w:rFonts w:hint="eastAsia"/>
                      <w:color w:val="auto"/>
                      <w:kern w:val="0"/>
                      <w:sz w:val="21"/>
                      <w:szCs w:val="21"/>
                      <w:lang w:val="en-US" w:eastAsia="zh-CN" w:bidi="ar"/>
                    </w:rPr>
                    <w:t>切割</w:t>
                  </w:r>
                </w:p>
                <w:p w14:paraId="67B72FF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废气（G3）</w:t>
                  </w:r>
                </w:p>
              </w:tc>
              <w:tc>
                <w:tcPr>
                  <w:tcW w:w="4218" w:type="dxa"/>
                  <w:gridSpan w:val="4"/>
                  <w:vMerge w:val="restart"/>
                  <w:shd w:val="clear" w:color="auto" w:fill="auto"/>
                  <w:vAlign w:val="center"/>
                </w:tcPr>
                <w:p w14:paraId="6487CBEF">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切割、打磨工序在密闭环境中完成，产生的</w:t>
                  </w:r>
                  <w:r>
                    <w:rPr>
                      <w:rFonts w:hint="eastAsia" w:cs="Times New Roman"/>
                      <w:bCs/>
                      <w:color w:val="auto"/>
                      <w:sz w:val="21"/>
                      <w:szCs w:val="21"/>
                      <w:lang w:val="en-US" w:eastAsia="zh-CN"/>
                    </w:rPr>
                    <w:t>粉尘</w:t>
                  </w:r>
                  <w:r>
                    <w:rPr>
                      <w:rFonts w:hint="eastAsia" w:ascii="Times New Roman" w:hAnsi="Times New Roman" w:eastAsia="宋体" w:cs="Times New Roman"/>
                      <w:bCs/>
                      <w:color w:val="auto"/>
                      <w:sz w:val="21"/>
                      <w:szCs w:val="21"/>
                      <w:lang w:val="en-US" w:eastAsia="zh-CN"/>
                    </w:rPr>
                    <w:t>由自带的吸尘管道收集，管道链接外置吸尘器由收集容器收集，不外排。</w:t>
                  </w:r>
                </w:p>
              </w:tc>
              <w:tc>
                <w:tcPr>
                  <w:tcW w:w="718" w:type="dxa"/>
                  <w:shd w:val="clear" w:color="auto" w:fill="auto"/>
                  <w:vAlign w:val="center"/>
                </w:tcPr>
                <w:p w14:paraId="217E654A">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4FDF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4EADAA3F">
                  <w:pPr>
                    <w:widowControl/>
                    <w:jc w:val="center"/>
                    <w:textAlignment w:val="center"/>
                    <w:rPr>
                      <w:color w:val="auto"/>
                      <w:kern w:val="0"/>
                      <w:szCs w:val="21"/>
                      <w:lang w:bidi="ar"/>
                    </w:rPr>
                  </w:pPr>
                </w:p>
              </w:tc>
              <w:tc>
                <w:tcPr>
                  <w:tcW w:w="599" w:type="dxa"/>
                  <w:vMerge w:val="continue"/>
                  <w:vAlign w:val="center"/>
                </w:tcPr>
                <w:p w14:paraId="6BFA8E26">
                  <w:pPr>
                    <w:widowControl/>
                    <w:jc w:val="center"/>
                    <w:textAlignment w:val="center"/>
                    <w:rPr>
                      <w:rFonts w:hint="eastAsia"/>
                      <w:color w:val="auto"/>
                      <w:kern w:val="0"/>
                      <w:szCs w:val="21"/>
                      <w:lang w:val="en-US" w:eastAsia="zh-CN" w:bidi="ar"/>
                    </w:rPr>
                  </w:pPr>
                </w:p>
              </w:tc>
              <w:tc>
                <w:tcPr>
                  <w:tcW w:w="974" w:type="dxa"/>
                  <w:vMerge w:val="continue"/>
                  <w:vAlign w:val="center"/>
                </w:tcPr>
                <w:p w14:paraId="35246A2A">
                  <w:pPr>
                    <w:widowControl/>
                    <w:jc w:val="center"/>
                    <w:textAlignment w:val="center"/>
                    <w:rPr>
                      <w:rFonts w:hint="eastAsia"/>
                      <w:color w:val="auto"/>
                      <w:kern w:val="0"/>
                      <w:sz w:val="21"/>
                      <w:szCs w:val="21"/>
                      <w:lang w:bidi="ar"/>
                    </w:rPr>
                  </w:pPr>
                </w:p>
              </w:tc>
              <w:tc>
                <w:tcPr>
                  <w:tcW w:w="889" w:type="dxa"/>
                  <w:gridSpan w:val="3"/>
                  <w:shd w:val="clear" w:color="auto" w:fill="auto"/>
                  <w:vAlign w:val="center"/>
                </w:tcPr>
                <w:p w14:paraId="6826BF76">
                  <w:pPr>
                    <w:widowControl/>
                    <w:jc w:val="center"/>
                    <w:textAlignment w:val="center"/>
                    <w:rPr>
                      <w:rFonts w:hint="eastAsia"/>
                      <w:color w:val="auto"/>
                      <w:kern w:val="0"/>
                      <w:sz w:val="21"/>
                      <w:szCs w:val="21"/>
                      <w:lang w:val="en-US" w:eastAsia="zh-CN" w:bidi="ar"/>
                    </w:rPr>
                  </w:pPr>
                  <w:r>
                    <w:rPr>
                      <w:rFonts w:hint="eastAsia"/>
                      <w:color w:val="auto"/>
                      <w:kern w:val="0"/>
                      <w:sz w:val="21"/>
                      <w:szCs w:val="21"/>
                      <w:lang w:val="en-US" w:eastAsia="zh-CN" w:bidi="ar"/>
                    </w:rPr>
                    <w:t>打磨</w:t>
                  </w:r>
                </w:p>
                <w:p w14:paraId="0B770AE5">
                  <w:pPr>
                    <w:widowControl/>
                    <w:jc w:val="center"/>
                    <w:textAlignment w:val="center"/>
                    <w:rPr>
                      <w:rFonts w:hint="eastAsia"/>
                      <w:color w:val="auto"/>
                      <w:kern w:val="0"/>
                      <w:sz w:val="21"/>
                      <w:szCs w:val="21"/>
                      <w:lang w:val="en-US" w:eastAsia="zh-CN" w:bidi="ar"/>
                    </w:rPr>
                  </w:pPr>
                  <w:r>
                    <w:rPr>
                      <w:rFonts w:hint="eastAsia"/>
                      <w:color w:val="auto"/>
                      <w:kern w:val="0"/>
                      <w:sz w:val="21"/>
                      <w:szCs w:val="21"/>
                      <w:lang w:val="en-US" w:eastAsia="zh-CN" w:bidi="ar"/>
                    </w:rPr>
                    <w:t>废气</w:t>
                  </w:r>
                </w:p>
                <w:p w14:paraId="63083729">
                  <w:pPr>
                    <w:widowControl/>
                    <w:jc w:val="center"/>
                    <w:textAlignment w:val="center"/>
                    <w:rPr>
                      <w:rFonts w:hint="eastAsia"/>
                      <w:color w:val="auto"/>
                      <w:kern w:val="0"/>
                      <w:sz w:val="21"/>
                      <w:szCs w:val="21"/>
                      <w:lang w:val="en-US" w:eastAsia="zh-CN" w:bidi="ar"/>
                    </w:rPr>
                  </w:pPr>
                  <w:r>
                    <w:rPr>
                      <w:rFonts w:hint="eastAsia"/>
                      <w:color w:val="auto"/>
                      <w:kern w:val="0"/>
                      <w:sz w:val="21"/>
                      <w:szCs w:val="21"/>
                      <w:lang w:val="en-US" w:eastAsia="zh-CN" w:bidi="ar"/>
                    </w:rPr>
                    <w:t>（G4）</w:t>
                  </w:r>
                </w:p>
              </w:tc>
              <w:tc>
                <w:tcPr>
                  <w:tcW w:w="4218" w:type="dxa"/>
                  <w:gridSpan w:val="4"/>
                  <w:vMerge w:val="continue"/>
                  <w:shd w:val="clear" w:color="auto" w:fill="auto"/>
                  <w:vAlign w:val="center"/>
                </w:tcPr>
                <w:p w14:paraId="7ECE4E4E">
                  <w:pPr>
                    <w:widowControl/>
                    <w:jc w:val="both"/>
                    <w:textAlignment w:val="center"/>
                    <w:rPr>
                      <w:rFonts w:hint="eastAsia" w:ascii="Times New Roman" w:hAnsi="Times New Roman" w:eastAsia="宋体" w:cs="Times New Roman"/>
                      <w:bCs/>
                      <w:color w:val="auto"/>
                      <w:kern w:val="2"/>
                      <w:sz w:val="21"/>
                      <w:szCs w:val="21"/>
                      <w:lang w:val="en-US" w:eastAsia="zh-CN" w:bidi="ar-SA"/>
                    </w:rPr>
                  </w:pPr>
                </w:p>
              </w:tc>
              <w:tc>
                <w:tcPr>
                  <w:tcW w:w="718" w:type="dxa"/>
                  <w:shd w:val="clear" w:color="auto" w:fill="auto"/>
                  <w:vAlign w:val="center"/>
                </w:tcPr>
                <w:p w14:paraId="1A81A569">
                  <w:pPr>
                    <w:widowControl/>
                    <w:jc w:val="center"/>
                    <w:textAlignment w:val="center"/>
                    <w:rPr>
                      <w:rFonts w:hint="default" w:cs="Times New Roman"/>
                      <w:color w:val="auto"/>
                      <w:kern w:val="0"/>
                      <w:sz w:val="21"/>
                      <w:szCs w:val="21"/>
                      <w:lang w:val="en-US" w:eastAsia="zh-CN" w:bidi="ar"/>
                    </w:rPr>
                  </w:pPr>
                  <w:r>
                    <w:rPr>
                      <w:rFonts w:hint="eastAsia"/>
                      <w:color w:val="auto"/>
                      <w:kern w:val="0"/>
                      <w:szCs w:val="21"/>
                      <w:lang w:val="en-US" w:eastAsia="zh-CN" w:bidi="ar"/>
                    </w:rPr>
                    <w:t>新建</w:t>
                  </w:r>
                </w:p>
              </w:tc>
            </w:tr>
            <w:tr w14:paraId="3BF4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189DB5BA">
                  <w:pPr>
                    <w:widowControl/>
                    <w:jc w:val="center"/>
                    <w:textAlignment w:val="center"/>
                    <w:rPr>
                      <w:color w:val="auto"/>
                      <w:kern w:val="0"/>
                      <w:szCs w:val="21"/>
                      <w:lang w:bidi="ar"/>
                    </w:rPr>
                  </w:pPr>
                </w:p>
              </w:tc>
              <w:tc>
                <w:tcPr>
                  <w:tcW w:w="599" w:type="dxa"/>
                  <w:vMerge w:val="continue"/>
                  <w:vAlign w:val="center"/>
                </w:tcPr>
                <w:p w14:paraId="44635C95">
                  <w:pPr>
                    <w:widowControl/>
                    <w:jc w:val="center"/>
                    <w:textAlignment w:val="center"/>
                    <w:rPr>
                      <w:rFonts w:hint="eastAsia"/>
                      <w:color w:val="auto"/>
                      <w:kern w:val="0"/>
                      <w:szCs w:val="21"/>
                      <w:lang w:val="en-US" w:eastAsia="zh-CN" w:bidi="ar"/>
                    </w:rPr>
                  </w:pPr>
                </w:p>
              </w:tc>
              <w:tc>
                <w:tcPr>
                  <w:tcW w:w="974" w:type="dxa"/>
                  <w:vMerge w:val="continue"/>
                  <w:vAlign w:val="center"/>
                </w:tcPr>
                <w:p w14:paraId="688A1478">
                  <w:pPr>
                    <w:widowControl/>
                    <w:jc w:val="center"/>
                    <w:textAlignment w:val="center"/>
                    <w:rPr>
                      <w:rFonts w:hint="eastAsia"/>
                      <w:color w:val="auto"/>
                      <w:kern w:val="0"/>
                      <w:sz w:val="21"/>
                      <w:szCs w:val="21"/>
                      <w:lang w:bidi="ar"/>
                    </w:rPr>
                  </w:pPr>
                </w:p>
              </w:tc>
              <w:tc>
                <w:tcPr>
                  <w:tcW w:w="889" w:type="dxa"/>
                  <w:gridSpan w:val="3"/>
                  <w:shd w:val="clear" w:color="auto" w:fill="auto"/>
                  <w:vAlign w:val="center"/>
                </w:tcPr>
                <w:p w14:paraId="10811192">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静电喷涂喷涂废气（G5）</w:t>
                  </w:r>
                </w:p>
              </w:tc>
              <w:tc>
                <w:tcPr>
                  <w:tcW w:w="4218" w:type="dxa"/>
                  <w:gridSpan w:val="4"/>
                  <w:shd w:val="clear" w:color="auto" w:fill="auto"/>
                  <w:vAlign w:val="center"/>
                </w:tcPr>
                <w:p w14:paraId="2A8BE4B7">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喷涂过程产生的粉末、粉尘先通过大旋风分离器粉末回收系统收集，粉末通过自动回收系统送回粉桶循环使用，粉尘进入转翼式滤芯过滤器二级回收系统处置，经20.5m高排气筒（DA001）排放。</w:t>
                  </w:r>
                </w:p>
              </w:tc>
              <w:tc>
                <w:tcPr>
                  <w:tcW w:w="718" w:type="dxa"/>
                  <w:shd w:val="clear" w:color="auto" w:fill="auto"/>
                  <w:vAlign w:val="center"/>
                </w:tcPr>
                <w:p w14:paraId="5C4E146F">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6F3C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69937773">
                  <w:pPr>
                    <w:widowControl/>
                    <w:jc w:val="center"/>
                    <w:textAlignment w:val="center"/>
                    <w:rPr>
                      <w:color w:val="auto"/>
                      <w:kern w:val="0"/>
                      <w:szCs w:val="21"/>
                      <w:lang w:bidi="ar"/>
                    </w:rPr>
                  </w:pPr>
                </w:p>
              </w:tc>
              <w:tc>
                <w:tcPr>
                  <w:tcW w:w="599" w:type="dxa"/>
                  <w:vMerge w:val="continue"/>
                  <w:vAlign w:val="center"/>
                </w:tcPr>
                <w:p w14:paraId="442C68E9">
                  <w:pPr>
                    <w:widowControl/>
                    <w:jc w:val="center"/>
                    <w:textAlignment w:val="center"/>
                    <w:rPr>
                      <w:rFonts w:hint="eastAsia"/>
                      <w:color w:val="auto"/>
                      <w:kern w:val="0"/>
                      <w:szCs w:val="21"/>
                      <w:lang w:val="en-US" w:eastAsia="zh-CN" w:bidi="ar"/>
                    </w:rPr>
                  </w:pPr>
                </w:p>
              </w:tc>
              <w:tc>
                <w:tcPr>
                  <w:tcW w:w="974" w:type="dxa"/>
                  <w:vMerge w:val="continue"/>
                  <w:vAlign w:val="center"/>
                </w:tcPr>
                <w:p w14:paraId="67A189E9">
                  <w:pPr>
                    <w:widowControl/>
                    <w:jc w:val="center"/>
                    <w:textAlignment w:val="center"/>
                    <w:rPr>
                      <w:rFonts w:hint="eastAsia"/>
                      <w:color w:val="auto"/>
                      <w:kern w:val="0"/>
                      <w:sz w:val="21"/>
                      <w:szCs w:val="21"/>
                      <w:lang w:bidi="ar"/>
                    </w:rPr>
                  </w:pPr>
                </w:p>
              </w:tc>
              <w:tc>
                <w:tcPr>
                  <w:tcW w:w="889" w:type="dxa"/>
                  <w:gridSpan w:val="3"/>
                  <w:shd w:val="clear" w:color="auto" w:fill="auto"/>
                  <w:vAlign w:val="center"/>
                </w:tcPr>
                <w:p w14:paraId="7AEA43FB">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静电喷涂固化烘干废气（G6）</w:t>
                  </w:r>
                </w:p>
              </w:tc>
              <w:tc>
                <w:tcPr>
                  <w:tcW w:w="4218" w:type="dxa"/>
                  <w:gridSpan w:val="4"/>
                  <w:shd w:val="clear" w:color="auto" w:fill="auto"/>
                  <w:vAlign w:val="center"/>
                </w:tcPr>
                <w:p w14:paraId="0812F1CA">
                  <w:pPr>
                    <w:widowControl/>
                    <w:jc w:val="center"/>
                    <w:textAlignment w:val="center"/>
                    <w:rPr>
                      <w:rFonts w:hint="eastAsia"/>
                      <w:color w:val="auto"/>
                      <w:spacing w:val="15"/>
                      <w:sz w:val="21"/>
                      <w:szCs w:val="21"/>
                      <w:lang w:val="en-US" w:eastAsia="zh-CN"/>
                    </w:rPr>
                  </w:pPr>
                  <w:r>
                    <w:rPr>
                      <w:rFonts w:hint="eastAsia"/>
                      <w:color w:val="auto"/>
                      <w:kern w:val="0"/>
                      <w:sz w:val="21"/>
                      <w:szCs w:val="21"/>
                      <w:lang w:val="en-US" w:eastAsia="zh-CN" w:bidi="ar"/>
                    </w:rPr>
                    <w:t>静电喷涂装置自带负压吸收装置和</w:t>
                  </w:r>
                  <w:r>
                    <w:rPr>
                      <w:rFonts w:hint="eastAsia"/>
                      <w:color w:val="auto"/>
                      <w:spacing w:val="7"/>
                      <w:sz w:val="21"/>
                      <w:szCs w:val="21"/>
                      <w:lang w:val="en-US" w:eastAsia="zh-CN"/>
                    </w:rPr>
                    <w:t>“</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w:t>
                  </w:r>
                </w:p>
                <w:p w14:paraId="04F8E02C">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color w:val="auto"/>
                      <w:kern w:val="0"/>
                      <w:sz w:val="21"/>
                      <w:szCs w:val="21"/>
                      <w:lang w:val="en-US" w:eastAsia="zh-CN" w:bidi="ar"/>
                    </w:rPr>
                    <w:t>废气</w:t>
                  </w:r>
                  <w:r>
                    <w:rPr>
                      <w:rFonts w:hint="eastAsia"/>
                      <w:color w:val="auto"/>
                      <w:spacing w:val="7"/>
                      <w:sz w:val="21"/>
                      <w:szCs w:val="21"/>
                      <w:lang w:val="en-US" w:eastAsia="zh-CN"/>
                    </w:rPr>
                    <w:t>经设备自带负压装置吸收后由“</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装置处</w:t>
                  </w:r>
                  <w:r>
                    <w:rPr>
                      <w:rFonts w:hint="eastAsia"/>
                      <w:bCs/>
                      <w:color w:val="auto"/>
                      <w:sz w:val="21"/>
                      <w:szCs w:val="21"/>
                      <w:lang w:eastAsia="zh-CN"/>
                    </w:rPr>
                    <w:t>理后经20.5m高排气筒（</w:t>
                  </w:r>
                  <w:r>
                    <w:rPr>
                      <w:rFonts w:hint="eastAsia"/>
                      <w:bCs/>
                      <w:color w:val="auto"/>
                      <w:sz w:val="21"/>
                      <w:szCs w:val="21"/>
                      <w:lang w:val="en-US" w:eastAsia="zh-CN"/>
                    </w:rPr>
                    <w:t>DA001</w:t>
                  </w:r>
                  <w:r>
                    <w:rPr>
                      <w:rFonts w:hint="eastAsia"/>
                      <w:bCs/>
                      <w:color w:val="auto"/>
                      <w:sz w:val="21"/>
                      <w:szCs w:val="21"/>
                      <w:lang w:eastAsia="zh-CN"/>
                    </w:rPr>
                    <w:t>）排放。</w:t>
                  </w:r>
                </w:p>
              </w:tc>
              <w:tc>
                <w:tcPr>
                  <w:tcW w:w="718" w:type="dxa"/>
                  <w:shd w:val="clear" w:color="auto" w:fill="auto"/>
                  <w:vAlign w:val="center"/>
                </w:tcPr>
                <w:p w14:paraId="1C2D4599">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依托一期</w:t>
                  </w:r>
                </w:p>
              </w:tc>
            </w:tr>
            <w:tr w14:paraId="2378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599" w:type="dxa"/>
                  <w:vMerge w:val="continue"/>
                  <w:vAlign w:val="center"/>
                </w:tcPr>
                <w:p w14:paraId="035FD3F3">
                  <w:pPr>
                    <w:widowControl/>
                    <w:jc w:val="center"/>
                    <w:textAlignment w:val="center"/>
                    <w:rPr>
                      <w:color w:val="auto"/>
                      <w:kern w:val="0"/>
                      <w:szCs w:val="21"/>
                      <w:lang w:bidi="ar"/>
                    </w:rPr>
                  </w:pPr>
                </w:p>
              </w:tc>
              <w:tc>
                <w:tcPr>
                  <w:tcW w:w="599" w:type="dxa"/>
                  <w:vMerge w:val="continue"/>
                  <w:vAlign w:val="center"/>
                </w:tcPr>
                <w:p w14:paraId="1BBE6079">
                  <w:pPr>
                    <w:widowControl/>
                    <w:jc w:val="center"/>
                    <w:textAlignment w:val="center"/>
                    <w:rPr>
                      <w:color w:val="auto"/>
                      <w:kern w:val="0"/>
                      <w:szCs w:val="21"/>
                      <w:lang w:bidi="ar"/>
                    </w:rPr>
                  </w:pPr>
                </w:p>
              </w:tc>
              <w:tc>
                <w:tcPr>
                  <w:tcW w:w="974" w:type="dxa"/>
                  <w:shd w:val="clear" w:color="auto" w:fill="auto"/>
                  <w:vAlign w:val="center"/>
                </w:tcPr>
                <w:p w14:paraId="368B7D9F">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bidi="ar"/>
                    </w:rPr>
                    <w:t>废水</w:t>
                  </w:r>
                </w:p>
              </w:tc>
              <w:tc>
                <w:tcPr>
                  <w:tcW w:w="5107" w:type="dxa"/>
                  <w:gridSpan w:val="7"/>
                  <w:shd w:val="clear" w:color="auto" w:fill="auto"/>
                  <w:vAlign w:val="center"/>
                </w:tcPr>
                <w:p w14:paraId="2B076600">
                  <w:pPr>
                    <w:widowControl/>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生活污水</w:t>
                  </w:r>
                  <w:r>
                    <w:rPr>
                      <w:rFonts w:hint="eastAsia"/>
                      <w:color w:val="auto"/>
                      <w:szCs w:val="21"/>
                      <w:highlight w:val="none"/>
                      <w:lang w:val="en-US" w:eastAsia="zh-CN"/>
                    </w:rPr>
                    <w:t>共需要178.2</w:t>
                  </w:r>
                  <w:r>
                    <w:rPr>
                      <w:rFonts w:ascii="Times New Roman" w:hAnsi="Times New Roman"/>
                      <w:bCs/>
                      <w:color w:val="auto"/>
                      <w:sz w:val="21"/>
                      <w:szCs w:val="21"/>
                      <w:highlight w:val="none"/>
                    </w:rPr>
                    <w:t>m</w:t>
                  </w:r>
                  <w:r>
                    <w:rPr>
                      <w:rFonts w:ascii="Times New Roman" w:hAnsi="Times New Roman"/>
                      <w:bCs/>
                      <w:color w:val="auto"/>
                      <w:sz w:val="21"/>
                      <w:szCs w:val="21"/>
                      <w:highlight w:val="none"/>
                      <w:vertAlign w:val="superscript"/>
                    </w:rPr>
                    <w:t>3</w:t>
                  </w:r>
                  <w:r>
                    <w:rPr>
                      <w:rFonts w:ascii="Times New Roman" w:hAnsi="Times New Roman"/>
                      <w:bCs/>
                      <w:color w:val="auto"/>
                      <w:sz w:val="21"/>
                      <w:szCs w:val="21"/>
                      <w:highlight w:val="none"/>
                    </w:rPr>
                    <w:t>/a</w:t>
                  </w:r>
                  <w:r>
                    <w:rPr>
                      <w:rFonts w:hint="eastAsia"/>
                      <w:bCs/>
                      <w:color w:val="auto"/>
                      <w:sz w:val="21"/>
                      <w:szCs w:val="21"/>
                      <w:highlight w:val="none"/>
                      <w:lang w:eastAsia="zh-CN"/>
                    </w:rPr>
                    <w:t>，</w:t>
                  </w:r>
                  <w:r>
                    <w:rPr>
                      <w:rFonts w:hint="eastAsia"/>
                      <w:bCs/>
                      <w:color w:val="auto"/>
                      <w:sz w:val="21"/>
                      <w:szCs w:val="21"/>
                      <w:highlight w:val="none"/>
                      <w:lang w:val="en-US" w:eastAsia="zh-CN"/>
                    </w:rPr>
                    <w:t>生活污水经园区化粪池处理后，接管排入内蒙古天河水务有限公司进一步处理</w:t>
                  </w:r>
                  <w:r>
                    <w:rPr>
                      <w:rFonts w:hint="eastAsia"/>
                      <w:color w:val="auto"/>
                      <w:szCs w:val="21"/>
                      <w:highlight w:val="none"/>
                    </w:rPr>
                    <w:t>。</w:t>
                  </w:r>
                </w:p>
              </w:tc>
              <w:tc>
                <w:tcPr>
                  <w:tcW w:w="718" w:type="dxa"/>
                  <w:shd w:val="clear" w:color="auto" w:fill="auto"/>
                  <w:vAlign w:val="center"/>
                </w:tcPr>
                <w:p w14:paraId="6FCAB304">
                  <w:pPr>
                    <w:widowControl/>
                    <w:jc w:val="both"/>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依托</w:t>
                  </w:r>
                </w:p>
              </w:tc>
            </w:tr>
            <w:tr w14:paraId="4990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599" w:type="dxa"/>
                  <w:vMerge w:val="continue"/>
                  <w:vAlign w:val="center"/>
                </w:tcPr>
                <w:p w14:paraId="7DD2FB69">
                  <w:pPr>
                    <w:widowControl/>
                    <w:jc w:val="center"/>
                    <w:textAlignment w:val="center"/>
                    <w:rPr>
                      <w:color w:val="auto"/>
                      <w:kern w:val="0"/>
                      <w:szCs w:val="21"/>
                      <w:lang w:bidi="ar"/>
                    </w:rPr>
                  </w:pPr>
                </w:p>
              </w:tc>
              <w:tc>
                <w:tcPr>
                  <w:tcW w:w="599" w:type="dxa"/>
                  <w:vMerge w:val="continue"/>
                  <w:vAlign w:val="center"/>
                </w:tcPr>
                <w:p w14:paraId="6F519F45">
                  <w:pPr>
                    <w:widowControl/>
                    <w:jc w:val="center"/>
                    <w:textAlignment w:val="center"/>
                    <w:rPr>
                      <w:color w:val="auto"/>
                      <w:kern w:val="0"/>
                      <w:szCs w:val="21"/>
                      <w:lang w:bidi="ar"/>
                    </w:rPr>
                  </w:pPr>
                </w:p>
              </w:tc>
              <w:tc>
                <w:tcPr>
                  <w:tcW w:w="974" w:type="dxa"/>
                  <w:shd w:val="clear" w:color="auto" w:fill="auto"/>
                  <w:vAlign w:val="center"/>
                </w:tcPr>
                <w:p w14:paraId="5A0AAFC3">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噪声</w:t>
                  </w:r>
                </w:p>
              </w:tc>
              <w:tc>
                <w:tcPr>
                  <w:tcW w:w="5107" w:type="dxa"/>
                  <w:gridSpan w:val="7"/>
                  <w:shd w:val="clear" w:color="auto" w:fill="auto"/>
                  <w:vAlign w:val="center"/>
                </w:tcPr>
                <w:p w14:paraId="0610674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合理布局，选用低噪声设备，机械设备安装减振基础。</w:t>
                  </w:r>
                </w:p>
              </w:tc>
              <w:tc>
                <w:tcPr>
                  <w:tcW w:w="718" w:type="dxa"/>
                  <w:shd w:val="clear" w:color="auto" w:fill="auto"/>
                  <w:vAlign w:val="center"/>
                </w:tcPr>
                <w:p w14:paraId="3E5A5C6C">
                  <w:pPr>
                    <w:widowControl/>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color w:val="auto"/>
                      <w:kern w:val="0"/>
                      <w:szCs w:val="21"/>
                      <w:lang w:bidi="ar"/>
                    </w:rPr>
                    <w:t>新建</w:t>
                  </w:r>
                </w:p>
              </w:tc>
            </w:tr>
            <w:tr w14:paraId="10E0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11677EDA">
                  <w:pPr>
                    <w:widowControl/>
                    <w:jc w:val="center"/>
                    <w:textAlignment w:val="center"/>
                    <w:rPr>
                      <w:color w:val="auto"/>
                      <w:kern w:val="0"/>
                      <w:szCs w:val="21"/>
                      <w:lang w:bidi="ar"/>
                    </w:rPr>
                  </w:pPr>
                </w:p>
              </w:tc>
              <w:tc>
                <w:tcPr>
                  <w:tcW w:w="599" w:type="dxa"/>
                  <w:vMerge w:val="continue"/>
                  <w:vAlign w:val="center"/>
                </w:tcPr>
                <w:p w14:paraId="49465A21">
                  <w:pPr>
                    <w:widowControl/>
                    <w:jc w:val="center"/>
                    <w:textAlignment w:val="center"/>
                    <w:rPr>
                      <w:color w:val="auto"/>
                      <w:kern w:val="0"/>
                      <w:szCs w:val="21"/>
                      <w:lang w:bidi="ar"/>
                    </w:rPr>
                  </w:pPr>
                </w:p>
              </w:tc>
              <w:tc>
                <w:tcPr>
                  <w:tcW w:w="974" w:type="dxa"/>
                  <w:vMerge w:val="restart"/>
                  <w:vAlign w:val="center"/>
                </w:tcPr>
                <w:p w14:paraId="00C16DDE">
                  <w:pPr>
                    <w:widowControl/>
                    <w:jc w:val="center"/>
                    <w:textAlignment w:val="center"/>
                    <w:rPr>
                      <w:rFonts w:hint="eastAsia" w:eastAsia="宋体"/>
                      <w:color w:val="auto"/>
                      <w:kern w:val="0"/>
                      <w:sz w:val="21"/>
                      <w:szCs w:val="21"/>
                      <w:lang w:val="en-US" w:eastAsia="zh-CN" w:bidi="ar"/>
                    </w:rPr>
                  </w:pPr>
                  <w:r>
                    <w:rPr>
                      <w:rFonts w:hint="eastAsia"/>
                      <w:color w:val="auto"/>
                      <w:kern w:val="0"/>
                      <w:sz w:val="21"/>
                      <w:szCs w:val="21"/>
                      <w:lang w:val="en-US" w:eastAsia="zh-CN" w:bidi="ar"/>
                    </w:rPr>
                    <w:t>固废</w:t>
                  </w:r>
                </w:p>
              </w:tc>
              <w:tc>
                <w:tcPr>
                  <w:tcW w:w="518" w:type="dxa"/>
                  <w:gridSpan w:val="2"/>
                  <w:vMerge w:val="restart"/>
                  <w:shd w:val="clear" w:color="auto" w:fill="auto"/>
                  <w:vAlign w:val="center"/>
                </w:tcPr>
                <w:p w14:paraId="4EF2C027">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一般固废</w:t>
                  </w:r>
                </w:p>
              </w:tc>
              <w:tc>
                <w:tcPr>
                  <w:tcW w:w="1082" w:type="dxa"/>
                  <w:gridSpan w:val="4"/>
                  <w:shd w:val="clear" w:color="auto" w:fill="auto"/>
                  <w:vAlign w:val="center"/>
                </w:tcPr>
                <w:p w14:paraId="320F7A98">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切割粉尘</w:t>
                  </w:r>
                  <w:r>
                    <w:rPr>
                      <w:rFonts w:hint="eastAsia" w:ascii="Times New Roman" w:hAnsi="Times New Roman" w:eastAsia="宋体" w:cs="Times New Roman"/>
                      <w:bCs/>
                      <w:color w:val="auto"/>
                      <w:szCs w:val="21"/>
                      <w:lang w:val="en-US" w:eastAsia="zh-CN"/>
                    </w:rPr>
                    <w:t>（S</w:t>
                  </w:r>
                  <w:r>
                    <w:rPr>
                      <w:rFonts w:hint="eastAsia" w:cs="Times New Roman"/>
                      <w:bCs/>
                      <w:color w:val="auto"/>
                      <w:szCs w:val="21"/>
                      <w:lang w:val="en-US" w:eastAsia="zh-CN"/>
                    </w:rPr>
                    <w:t>4</w:t>
                  </w:r>
                  <w:r>
                    <w:rPr>
                      <w:rFonts w:hint="eastAsia" w:ascii="Times New Roman" w:hAnsi="Times New Roman" w:eastAsia="宋体" w:cs="Times New Roman"/>
                      <w:bCs/>
                      <w:color w:val="auto"/>
                      <w:szCs w:val="21"/>
                      <w:lang w:val="en-US" w:eastAsia="zh-CN"/>
                    </w:rPr>
                    <w:t>）</w:t>
                  </w:r>
                </w:p>
              </w:tc>
              <w:tc>
                <w:tcPr>
                  <w:tcW w:w="3507" w:type="dxa"/>
                  <w:shd w:val="clear" w:color="auto" w:fill="auto"/>
                  <w:vAlign w:val="center"/>
                </w:tcPr>
                <w:p w14:paraId="05DC8103">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切割工序产生的切割粉尘，收集后</w:t>
                  </w:r>
                  <w:r>
                    <w:rPr>
                      <w:rFonts w:hint="eastAsia"/>
                      <w:bCs/>
                      <w:color w:val="auto"/>
                      <w:szCs w:val="21"/>
                    </w:rPr>
                    <w:t>暂存一般固体废物暂存间，交由一般固废处置单位处置。</w:t>
                  </w:r>
                </w:p>
              </w:tc>
              <w:tc>
                <w:tcPr>
                  <w:tcW w:w="718" w:type="dxa"/>
                  <w:shd w:val="clear" w:color="auto" w:fill="auto"/>
                  <w:vAlign w:val="center"/>
                </w:tcPr>
                <w:p w14:paraId="3F0D6D6B">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4F3B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0405CEC0">
                  <w:pPr>
                    <w:widowControl/>
                    <w:jc w:val="center"/>
                    <w:textAlignment w:val="center"/>
                    <w:rPr>
                      <w:color w:val="auto"/>
                      <w:kern w:val="0"/>
                      <w:szCs w:val="21"/>
                      <w:lang w:bidi="ar"/>
                    </w:rPr>
                  </w:pPr>
                </w:p>
              </w:tc>
              <w:tc>
                <w:tcPr>
                  <w:tcW w:w="599" w:type="dxa"/>
                  <w:vMerge w:val="continue"/>
                  <w:vAlign w:val="center"/>
                </w:tcPr>
                <w:p w14:paraId="36B69269">
                  <w:pPr>
                    <w:widowControl/>
                    <w:jc w:val="center"/>
                    <w:textAlignment w:val="center"/>
                    <w:rPr>
                      <w:color w:val="auto"/>
                      <w:kern w:val="0"/>
                      <w:szCs w:val="21"/>
                      <w:lang w:bidi="ar"/>
                    </w:rPr>
                  </w:pPr>
                </w:p>
              </w:tc>
              <w:tc>
                <w:tcPr>
                  <w:tcW w:w="974" w:type="dxa"/>
                  <w:vMerge w:val="continue"/>
                  <w:vAlign w:val="center"/>
                </w:tcPr>
                <w:p w14:paraId="048F5380">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6772D63D">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017E5CCA">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打磨粉尘</w:t>
                  </w:r>
                  <w:r>
                    <w:rPr>
                      <w:rFonts w:hint="eastAsia" w:ascii="Times New Roman" w:hAnsi="Times New Roman" w:eastAsia="宋体" w:cs="Times New Roman"/>
                      <w:bCs/>
                      <w:color w:val="auto"/>
                      <w:szCs w:val="21"/>
                      <w:lang w:val="en-US" w:eastAsia="zh-CN"/>
                    </w:rPr>
                    <w:t>（S</w:t>
                  </w:r>
                  <w:r>
                    <w:rPr>
                      <w:rFonts w:hint="eastAsia" w:cs="Times New Roman"/>
                      <w:bCs/>
                      <w:color w:val="auto"/>
                      <w:szCs w:val="21"/>
                      <w:lang w:val="en-US" w:eastAsia="zh-CN"/>
                    </w:rPr>
                    <w:t>5</w:t>
                  </w:r>
                  <w:r>
                    <w:rPr>
                      <w:rFonts w:hint="eastAsia" w:ascii="Times New Roman" w:hAnsi="Times New Roman" w:eastAsia="宋体" w:cs="Times New Roman"/>
                      <w:bCs/>
                      <w:color w:val="auto"/>
                      <w:szCs w:val="21"/>
                      <w:lang w:val="en-US" w:eastAsia="zh-CN"/>
                    </w:rPr>
                    <w:t>）</w:t>
                  </w:r>
                </w:p>
              </w:tc>
              <w:tc>
                <w:tcPr>
                  <w:tcW w:w="3507" w:type="dxa"/>
                  <w:shd w:val="clear" w:color="auto" w:fill="auto"/>
                  <w:vAlign w:val="center"/>
                </w:tcPr>
                <w:p w14:paraId="0C41C03A">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打磨工序产生的打磨粉尘，收集后</w:t>
                  </w:r>
                  <w:r>
                    <w:rPr>
                      <w:rFonts w:hint="eastAsia"/>
                      <w:bCs/>
                      <w:color w:val="auto"/>
                      <w:szCs w:val="21"/>
                    </w:rPr>
                    <w:t>暂存一般固体废物暂存间，交由一般固废处置单位处置。</w:t>
                  </w:r>
                </w:p>
              </w:tc>
              <w:tc>
                <w:tcPr>
                  <w:tcW w:w="718" w:type="dxa"/>
                  <w:shd w:val="clear" w:color="auto" w:fill="auto"/>
                  <w:vAlign w:val="center"/>
                </w:tcPr>
                <w:p w14:paraId="7DFA8C4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06E1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6444D21A">
                  <w:pPr>
                    <w:widowControl/>
                    <w:jc w:val="center"/>
                    <w:textAlignment w:val="center"/>
                    <w:rPr>
                      <w:color w:val="auto"/>
                      <w:kern w:val="0"/>
                      <w:szCs w:val="21"/>
                      <w:lang w:bidi="ar"/>
                    </w:rPr>
                  </w:pPr>
                </w:p>
              </w:tc>
              <w:tc>
                <w:tcPr>
                  <w:tcW w:w="599" w:type="dxa"/>
                  <w:vMerge w:val="continue"/>
                  <w:vAlign w:val="center"/>
                </w:tcPr>
                <w:p w14:paraId="165FADC6">
                  <w:pPr>
                    <w:widowControl/>
                    <w:jc w:val="center"/>
                    <w:textAlignment w:val="center"/>
                    <w:rPr>
                      <w:color w:val="auto"/>
                      <w:kern w:val="0"/>
                      <w:szCs w:val="21"/>
                      <w:lang w:bidi="ar"/>
                    </w:rPr>
                  </w:pPr>
                </w:p>
              </w:tc>
              <w:tc>
                <w:tcPr>
                  <w:tcW w:w="974" w:type="dxa"/>
                  <w:vMerge w:val="continue"/>
                  <w:vAlign w:val="center"/>
                </w:tcPr>
                <w:p w14:paraId="60A47DCF">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33A8A540">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036B07FB">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静电喷涂粉末（S6）</w:t>
                  </w:r>
                </w:p>
              </w:tc>
              <w:tc>
                <w:tcPr>
                  <w:tcW w:w="3507" w:type="dxa"/>
                  <w:shd w:val="clear" w:color="auto" w:fill="auto"/>
                  <w:vAlign w:val="center"/>
                </w:tcPr>
                <w:p w14:paraId="6753A918">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除尘器及滤芯过滤器收集的粉尘回用于生产工序。</w:t>
                  </w:r>
                </w:p>
              </w:tc>
              <w:tc>
                <w:tcPr>
                  <w:tcW w:w="718" w:type="dxa"/>
                  <w:shd w:val="clear" w:color="auto" w:fill="auto"/>
                  <w:vAlign w:val="center"/>
                </w:tcPr>
                <w:p w14:paraId="6008F1BB">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4B664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4DDE66E3">
                  <w:pPr>
                    <w:widowControl/>
                    <w:jc w:val="center"/>
                    <w:textAlignment w:val="center"/>
                    <w:rPr>
                      <w:color w:val="auto"/>
                      <w:kern w:val="0"/>
                      <w:szCs w:val="21"/>
                      <w:lang w:bidi="ar"/>
                    </w:rPr>
                  </w:pPr>
                </w:p>
              </w:tc>
              <w:tc>
                <w:tcPr>
                  <w:tcW w:w="599" w:type="dxa"/>
                  <w:vMerge w:val="continue"/>
                  <w:vAlign w:val="center"/>
                </w:tcPr>
                <w:p w14:paraId="386F4F5C">
                  <w:pPr>
                    <w:widowControl/>
                    <w:jc w:val="center"/>
                    <w:textAlignment w:val="center"/>
                    <w:rPr>
                      <w:color w:val="auto"/>
                      <w:kern w:val="0"/>
                      <w:szCs w:val="21"/>
                      <w:lang w:bidi="ar"/>
                    </w:rPr>
                  </w:pPr>
                </w:p>
              </w:tc>
              <w:tc>
                <w:tcPr>
                  <w:tcW w:w="974" w:type="dxa"/>
                  <w:vMerge w:val="continue"/>
                  <w:vAlign w:val="center"/>
                </w:tcPr>
                <w:p w14:paraId="3D331C85">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3AB44E17">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38C1FA3E">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不合格产品（S</w:t>
                  </w:r>
                  <w:r>
                    <w:rPr>
                      <w:rFonts w:hint="eastAsia" w:cs="Times New Roman"/>
                      <w:bCs/>
                      <w:color w:val="auto"/>
                      <w:szCs w:val="21"/>
                      <w:lang w:val="en-US" w:eastAsia="zh-CN"/>
                    </w:rPr>
                    <w:t>8</w:t>
                  </w:r>
                  <w:r>
                    <w:rPr>
                      <w:rFonts w:hint="eastAsia" w:ascii="Times New Roman" w:hAnsi="Times New Roman" w:eastAsia="宋体" w:cs="Times New Roman"/>
                      <w:bCs/>
                      <w:color w:val="auto"/>
                      <w:szCs w:val="21"/>
                      <w:lang w:val="en-US" w:eastAsia="zh-CN"/>
                    </w:rPr>
                    <w:t>）</w:t>
                  </w:r>
                </w:p>
              </w:tc>
              <w:tc>
                <w:tcPr>
                  <w:tcW w:w="3507" w:type="dxa"/>
                  <w:shd w:val="clear" w:color="auto" w:fill="auto"/>
                  <w:vAlign w:val="center"/>
                </w:tcPr>
                <w:p w14:paraId="77890B51">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检验不合格的产品，收集后</w:t>
                  </w:r>
                  <w:r>
                    <w:rPr>
                      <w:rFonts w:hint="eastAsia"/>
                      <w:bCs/>
                      <w:color w:val="auto"/>
                      <w:szCs w:val="21"/>
                    </w:rPr>
                    <w:t>暂存一般固体废物暂存间，交由一般固废处置单位处置。</w:t>
                  </w:r>
                </w:p>
              </w:tc>
              <w:tc>
                <w:tcPr>
                  <w:tcW w:w="718" w:type="dxa"/>
                  <w:shd w:val="clear" w:color="auto" w:fill="auto"/>
                  <w:vAlign w:val="center"/>
                </w:tcPr>
                <w:p w14:paraId="3602E9C1">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Cs w:val="21"/>
                      <w:lang w:val="en-US" w:eastAsia="zh-CN" w:bidi="ar"/>
                    </w:rPr>
                    <w:t>新建</w:t>
                  </w:r>
                </w:p>
              </w:tc>
            </w:tr>
            <w:tr w14:paraId="3E67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0B800847">
                  <w:pPr>
                    <w:widowControl/>
                    <w:jc w:val="center"/>
                    <w:textAlignment w:val="center"/>
                    <w:rPr>
                      <w:color w:val="auto"/>
                      <w:kern w:val="0"/>
                      <w:szCs w:val="21"/>
                      <w:lang w:bidi="ar"/>
                    </w:rPr>
                  </w:pPr>
                </w:p>
              </w:tc>
              <w:tc>
                <w:tcPr>
                  <w:tcW w:w="599" w:type="dxa"/>
                  <w:vMerge w:val="continue"/>
                  <w:vAlign w:val="center"/>
                </w:tcPr>
                <w:p w14:paraId="41BE4039">
                  <w:pPr>
                    <w:widowControl/>
                    <w:jc w:val="center"/>
                    <w:textAlignment w:val="center"/>
                    <w:rPr>
                      <w:color w:val="auto"/>
                      <w:kern w:val="0"/>
                      <w:szCs w:val="21"/>
                      <w:lang w:bidi="ar"/>
                    </w:rPr>
                  </w:pPr>
                </w:p>
              </w:tc>
              <w:tc>
                <w:tcPr>
                  <w:tcW w:w="974" w:type="dxa"/>
                  <w:vMerge w:val="continue"/>
                  <w:vAlign w:val="center"/>
                </w:tcPr>
                <w:p w14:paraId="7C89E5E0">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49C41891">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42402472">
                  <w:pPr>
                    <w:widowControl/>
                    <w:jc w:val="center"/>
                    <w:textAlignment w:val="center"/>
                    <w:rPr>
                      <w:rFonts w:hint="eastAsia"/>
                      <w:color w:val="auto"/>
                      <w:kern w:val="0"/>
                      <w:szCs w:val="21"/>
                      <w:lang w:bidi="ar"/>
                    </w:rPr>
                  </w:pPr>
                  <w:r>
                    <w:rPr>
                      <w:rFonts w:hint="eastAsia"/>
                      <w:color w:val="auto"/>
                      <w:kern w:val="0"/>
                      <w:szCs w:val="21"/>
                      <w:lang w:bidi="ar"/>
                    </w:rPr>
                    <w:t>生活</w:t>
                  </w:r>
                </w:p>
                <w:p w14:paraId="24E98664">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垃圾</w:t>
                  </w:r>
                  <w:r>
                    <w:rPr>
                      <w:rFonts w:hint="eastAsia"/>
                      <w:color w:val="auto"/>
                      <w:kern w:val="0"/>
                      <w:szCs w:val="21"/>
                      <w:lang w:eastAsia="zh-CN" w:bidi="ar"/>
                    </w:rPr>
                    <w:t>（</w:t>
                  </w:r>
                  <w:r>
                    <w:rPr>
                      <w:rFonts w:hint="eastAsia"/>
                      <w:color w:val="auto"/>
                      <w:kern w:val="0"/>
                      <w:szCs w:val="21"/>
                      <w:lang w:val="en-US" w:eastAsia="zh-CN" w:bidi="ar"/>
                    </w:rPr>
                    <w:t>S10</w:t>
                  </w:r>
                  <w:r>
                    <w:rPr>
                      <w:rFonts w:hint="eastAsia"/>
                      <w:color w:val="auto"/>
                      <w:kern w:val="0"/>
                      <w:szCs w:val="21"/>
                      <w:lang w:eastAsia="zh-CN" w:bidi="ar"/>
                    </w:rPr>
                    <w:t>）</w:t>
                  </w:r>
                </w:p>
              </w:tc>
              <w:tc>
                <w:tcPr>
                  <w:tcW w:w="3507" w:type="dxa"/>
                  <w:shd w:val="clear" w:color="auto" w:fill="auto"/>
                  <w:vAlign w:val="center"/>
                </w:tcPr>
                <w:p w14:paraId="42E9F1DB">
                  <w:pPr>
                    <w:widowControl/>
                    <w:jc w:val="center"/>
                    <w:textAlignment w:val="center"/>
                    <w:rPr>
                      <w:rFonts w:hint="eastAsia" w:ascii="Times New Roman" w:hAnsi="Times New Roman" w:eastAsia="宋体" w:cs="Times New Roman"/>
                      <w:color w:val="auto"/>
                      <w:kern w:val="0"/>
                      <w:sz w:val="21"/>
                      <w:szCs w:val="21"/>
                      <w:lang w:val="en-US" w:eastAsia="zh-CN" w:bidi="ar"/>
                    </w:rPr>
                  </w:pPr>
                  <w:r>
                    <w:rPr>
                      <w:bCs/>
                      <w:color w:val="auto"/>
                      <w:szCs w:val="21"/>
                    </w:rPr>
                    <w:t>办公区收集设施集中收集，生活垃圾由园区环卫部门统一处理。</w:t>
                  </w:r>
                </w:p>
              </w:tc>
              <w:tc>
                <w:tcPr>
                  <w:tcW w:w="718" w:type="dxa"/>
                  <w:shd w:val="clear" w:color="auto" w:fill="auto"/>
                  <w:vAlign w:val="center"/>
                </w:tcPr>
                <w:p w14:paraId="7727482A">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Cs w:val="21"/>
                      <w:lang w:val="en-US" w:eastAsia="zh-CN" w:bidi="ar"/>
                    </w:rPr>
                    <w:t>新建</w:t>
                  </w:r>
                </w:p>
              </w:tc>
            </w:tr>
            <w:tr w14:paraId="3C84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53071981">
                  <w:pPr>
                    <w:widowControl/>
                    <w:jc w:val="center"/>
                    <w:textAlignment w:val="center"/>
                    <w:rPr>
                      <w:color w:val="auto"/>
                      <w:kern w:val="0"/>
                      <w:szCs w:val="21"/>
                      <w:lang w:bidi="ar"/>
                    </w:rPr>
                  </w:pPr>
                </w:p>
              </w:tc>
              <w:tc>
                <w:tcPr>
                  <w:tcW w:w="599" w:type="dxa"/>
                  <w:vMerge w:val="continue"/>
                  <w:vAlign w:val="center"/>
                </w:tcPr>
                <w:p w14:paraId="6295BD12">
                  <w:pPr>
                    <w:widowControl/>
                    <w:jc w:val="center"/>
                    <w:textAlignment w:val="center"/>
                    <w:rPr>
                      <w:color w:val="auto"/>
                      <w:kern w:val="0"/>
                      <w:szCs w:val="21"/>
                      <w:lang w:bidi="ar"/>
                    </w:rPr>
                  </w:pPr>
                </w:p>
              </w:tc>
              <w:tc>
                <w:tcPr>
                  <w:tcW w:w="974" w:type="dxa"/>
                  <w:vMerge w:val="continue"/>
                  <w:vAlign w:val="center"/>
                </w:tcPr>
                <w:p w14:paraId="4ACE7BD8">
                  <w:pPr>
                    <w:widowControl/>
                    <w:jc w:val="center"/>
                    <w:textAlignment w:val="center"/>
                    <w:rPr>
                      <w:rFonts w:hint="eastAsia"/>
                      <w:color w:val="auto"/>
                      <w:kern w:val="0"/>
                      <w:sz w:val="21"/>
                      <w:szCs w:val="21"/>
                      <w:lang w:val="en-US" w:eastAsia="zh-CN" w:bidi="ar"/>
                    </w:rPr>
                  </w:pPr>
                </w:p>
              </w:tc>
              <w:tc>
                <w:tcPr>
                  <w:tcW w:w="518" w:type="dxa"/>
                  <w:gridSpan w:val="2"/>
                  <w:vMerge w:val="restart"/>
                  <w:shd w:val="clear" w:color="auto" w:fill="auto"/>
                  <w:vAlign w:val="center"/>
                </w:tcPr>
                <w:p w14:paraId="374B6C80">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危险废物</w:t>
                  </w:r>
                </w:p>
              </w:tc>
              <w:tc>
                <w:tcPr>
                  <w:tcW w:w="1082" w:type="dxa"/>
                  <w:gridSpan w:val="4"/>
                  <w:shd w:val="clear" w:color="auto" w:fill="auto"/>
                  <w:vAlign w:val="center"/>
                </w:tcPr>
                <w:p w14:paraId="6972B2B9">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废包装桶（S1）</w:t>
                  </w:r>
                </w:p>
              </w:tc>
              <w:tc>
                <w:tcPr>
                  <w:tcW w:w="3507" w:type="dxa"/>
                  <w:shd w:val="clear" w:color="auto" w:fill="auto"/>
                  <w:vAlign w:val="center"/>
                </w:tcPr>
                <w:p w14:paraId="3023C79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无溶剂改性环氧树脂、改性液体酸酐固化剂、环氧粉末包装桶，暂存危废暂存间，定期委托有资质单位处理。</w:t>
                  </w:r>
                </w:p>
              </w:tc>
              <w:tc>
                <w:tcPr>
                  <w:tcW w:w="718" w:type="dxa"/>
                  <w:shd w:val="clear" w:color="auto" w:fill="auto"/>
                  <w:vAlign w:val="center"/>
                </w:tcPr>
                <w:p w14:paraId="489A29D6">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02AB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19356C53">
                  <w:pPr>
                    <w:widowControl/>
                    <w:jc w:val="center"/>
                    <w:textAlignment w:val="center"/>
                    <w:rPr>
                      <w:color w:val="auto"/>
                      <w:kern w:val="0"/>
                      <w:szCs w:val="21"/>
                      <w:lang w:bidi="ar"/>
                    </w:rPr>
                  </w:pPr>
                </w:p>
              </w:tc>
              <w:tc>
                <w:tcPr>
                  <w:tcW w:w="599" w:type="dxa"/>
                  <w:vMerge w:val="continue"/>
                  <w:vAlign w:val="center"/>
                </w:tcPr>
                <w:p w14:paraId="720A4E7E">
                  <w:pPr>
                    <w:widowControl/>
                    <w:jc w:val="center"/>
                    <w:textAlignment w:val="center"/>
                    <w:rPr>
                      <w:color w:val="auto"/>
                      <w:kern w:val="0"/>
                      <w:szCs w:val="21"/>
                      <w:lang w:bidi="ar"/>
                    </w:rPr>
                  </w:pPr>
                </w:p>
              </w:tc>
              <w:tc>
                <w:tcPr>
                  <w:tcW w:w="974" w:type="dxa"/>
                  <w:vMerge w:val="continue"/>
                  <w:vAlign w:val="center"/>
                </w:tcPr>
                <w:p w14:paraId="693B6168">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4D93C3A2">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14477E6E">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废活性炭（S</w:t>
                  </w:r>
                  <w:r>
                    <w:rPr>
                      <w:rFonts w:hint="eastAsia" w:cs="Times New Roman"/>
                      <w:bCs/>
                      <w:color w:val="auto"/>
                      <w:szCs w:val="21"/>
                      <w:lang w:val="en-US" w:eastAsia="zh-CN"/>
                    </w:rPr>
                    <w:t>2</w:t>
                  </w:r>
                  <w:r>
                    <w:rPr>
                      <w:rFonts w:hint="eastAsia" w:ascii="Times New Roman" w:hAnsi="Times New Roman" w:eastAsia="宋体" w:cs="Times New Roman"/>
                      <w:bCs/>
                      <w:color w:val="auto"/>
                      <w:szCs w:val="21"/>
                      <w:lang w:val="en-US" w:eastAsia="zh-CN"/>
                    </w:rPr>
                    <w:t>）</w:t>
                  </w:r>
                </w:p>
              </w:tc>
              <w:tc>
                <w:tcPr>
                  <w:tcW w:w="3507" w:type="dxa"/>
                  <w:shd w:val="clear" w:color="auto" w:fill="auto"/>
                  <w:vAlign w:val="center"/>
                </w:tcPr>
                <w:p w14:paraId="282795BC">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玻璃纤维缠绕，成型后管道固化工序的活性炭，暂存危废暂存间，</w:t>
                  </w:r>
                  <w:r>
                    <w:rPr>
                      <w:rFonts w:hint="eastAsia"/>
                      <w:bCs/>
                      <w:color w:val="auto"/>
                      <w:szCs w:val="21"/>
                      <w:lang w:eastAsia="zh-CN"/>
                    </w:rPr>
                    <w:t>定期委托有资质单位处理</w:t>
                  </w:r>
                  <w:r>
                    <w:rPr>
                      <w:bCs/>
                      <w:color w:val="auto"/>
                      <w:szCs w:val="21"/>
                    </w:rPr>
                    <w:t>。</w:t>
                  </w:r>
                </w:p>
              </w:tc>
              <w:tc>
                <w:tcPr>
                  <w:tcW w:w="718" w:type="dxa"/>
                  <w:shd w:val="clear" w:color="auto" w:fill="auto"/>
                  <w:vAlign w:val="center"/>
                </w:tcPr>
                <w:p w14:paraId="040E2353">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6D66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591D1931">
                  <w:pPr>
                    <w:widowControl/>
                    <w:jc w:val="center"/>
                    <w:textAlignment w:val="center"/>
                    <w:rPr>
                      <w:color w:val="auto"/>
                      <w:kern w:val="0"/>
                      <w:szCs w:val="21"/>
                      <w:lang w:bidi="ar"/>
                    </w:rPr>
                  </w:pPr>
                </w:p>
              </w:tc>
              <w:tc>
                <w:tcPr>
                  <w:tcW w:w="599" w:type="dxa"/>
                  <w:vMerge w:val="continue"/>
                  <w:vAlign w:val="center"/>
                </w:tcPr>
                <w:p w14:paraId="450A4B4B">
                  <w:pPr>
                    <w:widowControl/>
                    <w:jc w:val="center"/>
                    <w:textAlignment w:val="center"/>
                    <w:rPr>
                      <w:color w:val="auto"/>
                      <w:kern w:val="0"/>
                      <w:szCs w:val="21"/>
                      <w:lang w:bidi="ar"/>
                    </w:rPr>
                  </w:pPr>
                </w:p>
              </w:tc>
              <w:tc>
                <w:tcPr>
                  <w:tcW w:w="974" w:type="dxa"/>
                  <w:vMerge w:val="continue"/>
                  <w:vAlign w:val="center"/>
                </w:tcPr>
                <w:p w14:paraId="2A088C0E">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44EF24CF">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5A9D09B4">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eastAsia="宋体" w:cs="Times New Roman"/>
                      <w:bCs/>
                      <w:color w:val="auto"/>
                      <w:szCs w:val="21"/>
                      <w:lang w:eastAsia="zh-CN"/>
                    </w:rPr>
                    <w:t>（</w:t>
                  </w:r>
                  <w:r>
                    <w:rPr>
                      <w:rFonts w:ascii="Times New Roman" w:hAnsi="Times New Roman" w:eastAsia="宋体" w:cs="Times New Roman"/>
                      <w:bCs/>
                      <w:color w:val="auto"/>
                      <w:szCs w:val="21"/>
                    </w:rPr>
                    <w:t>S</w:t>
                  </w:r>
                  <w:r>
                    <w:rPr>
                      <w:rFonts w:hint="eastAsia" w:ascii="Times New Roman" w:hAnsi="Times New Roman" w:eastAsia="宋体" w:cs="Times New Roman"/>
                      <w:bCs/>
                      <w:color w:val="auto"/>
                      <w:szCs w:val="21"/>
                      <w:lang w:val="en-US" w:eastAsia="zh-CN"/>
                    </w:rPr>
                    <w:t>3</w:t>
                  </w:r>
                  <w:r>
                    <w:rPr>
                      <w:rFonts w:hint="eastAsia" w:ascii="Times New Roman" w:hAnsi="Times New Roman" w:eastAsia="宋体" w:cs="Times New Roman"/>
                      <w:bCs/>
                      <w:color w:val="auto"/>
                      <w:szCs w:val="21"/>
                      <w:lang w:eastAsia="zh-CN"/>
                    </w:rPr>
                    <w:t>）</w:t>
                  </w:r>
                </w:p>
              </w:tc>
              <w:tc>
                <w:tcPr>
                  <w:tcW w:w="3507" w:type="dxa"/>
                  <w:shd w:val="clear" w:color="auto" w:fill="auto"/>
                  <w:vAlign w:val="center"/>
                </w:tcPr>
                <w:p w14:paraId="5BCAD4AA">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缠绕编织工序产生的</w:t>
                  </w: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eastAsia="宋体" w:cs="Times New Roman"/>
                      <w:bCs/>
                      <w:color w:val="auto"/>
                      <w:szCs w:val="21"/>
                      <w:lang w:eastAsia="zh-CN"/>
                    </w:rPr>
                    <w:t>，</w:t>
                  </w:r>
                  <w:r>
                    <w:rPr>
                      <w:rFonts w:hint="eastAsia"/>
                      <w:bCs/>
                      <w:color w:val="auto"/>
                      <w:szCs w:val="21"/>
                      <w:lang w:val="en-US" w:eastAsia="zh-CN"/>
                    </w:rPr>
                    <w:t>暂存危废暂存间，</w:t>
                  </w:r>
                  <w:r>
                    <w:rPr>
                      <w:rFonts w:hint="eastAsia"/>
                      <w:bCs/>
                      <w:color w:val="auto"/>
                      <w:szCs w:val="21"/>
                      <w:lang w:eastAsia="zh-CN"/>
                    </w:rPr>
                    <w:t>定期委托有资质单位处理。</w:t>
                  </w:r>
                </w:p>
              </w:tc>
              <w:tc>
                <w:tcPr>
                  <w:tcW w:w="718" w:type="dxa"/>
                  <w:shd w:val="clear" w:color="auto" w:fill="auto"/>
                  <w:vAlign w:val="center"/>
                </w:tcPr>
                <w:p w14:paraId="277AD990">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0E27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59F8C5D3">
                  <w:pPr>
                    <w:widowControl/>
                    <w:jc w:val="center"/>
                    <w:textAlignment w:val="center"/>
                    <w:rPr>
                      <w:color w:val="auto"/>
                      <w:kern w:val="0"/>
                      <w:szCs w:val="21"/>
                      <w:lang w:bidi="ar"/>
                    </w:rPr>
                  </w:pPr>
                </w:p>
              </w:tc>
              <w:tc>
                <w:tcPr>
                  <w:tcW w:w="599" w:type="dxa"/>
                  <w:vMerge w:val="continue"/>
                  <w:vAlign w:val="center"/>
                </w:tcPr>
                <w:p w14:paraId="2C5191FC">
                  <w:pPr>
                    <w:widowControl/>
                    <w:jc w:val="center"/>
                    <w:textAlignment w:val="center"/>
                    <w:rPr>
                      <w:color w:val="auto"/>
                      <w:kern w:val="0"/>
                      <w:szCs w:val="21"/>
                      <w:lang w:bidi="ar"/>
                    </w:rPr>
                  </w:pPr>
                </w:p>
              </w:tc>
              <w:tc>
                <w:tcPr>
                  <w:tcW w:w="974" w:type="dxa"/>
                  <w:vMerge w:val="continue"/>
                  <w:vAlign w:val="center"/>
                </w:tcPr>
                <w:p w14:paraId="1FE8892E">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7DD67C34">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18AF952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废活性炭（S</w:t>
                  </w:r>
                  <w:r>
                    <w:rPr>
                      <w:rFonts w:hint="eastAsia" w:cs="Times New Roman"/>
                      <w:bCs/>
                      <w:color w:val="auto"/>
                      <w:szCs w:val="21"/>
                      <w:lang w:val="en-US" w:eastAsia="zh-CN"/>
                    </w:rPr>
                    <w:t>7</w:t>
                  </w:r>
                  <w:r>
                    <w:rPr>
                      <w:rFonts w:hint="eastAsia" w:ascii="Times New Roman" w:hAnsi="Times New Roman" w:eastAsia="宋体" w:cs="Times New Roman"/>
                      <w:bCs/>
                      <w:color w:val="auto"/>
                      <w:szCs w:val="21"/>
                      <w:lang w:val="en-US" w:eastAsia="zh-CN"/>
                    </w:rPr>
                    <w:t>）</w:t>
                  </w:r>
                </w:p>
              </w:tc>
              <w:tc>
                <w:tcPr>
                  <w:tcW w:w="3507" w:type="dxa"/>
                  <w:shd w:val="clear" w:color="auto" w:fill="auto"/>
                  <w:vAlign w:val="center"/>
                </w:tcPr>
                <w:p w14:paraId="3347769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静电喷涂设备内自带的废气处理装置产生的废活性炭，暂存危废暂存间，定期委托有资质单位处理。</w:t>
                  </w:r>
                </w:p>
              </w:tc>
              <w:tc>
                <w:tcPr>
                  <w:tcW w:w="718" w:type="dxa"/>
                  <w:shd w:val="clear" w:color="auto" w:fill="auto"/>
                  <w:vAlign w:val="center"/>
                </w:tcPr>
                <w:p w14:paraId="07DBE01C">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5D17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45801FF1">
                  <w:pPr>
                    <w:widowControl/>
                    <w:jc w:val="center"/>
                    <w:textAlignment w:val="center"/>
                    <w:rPr>
                      <w:color w:val="auto"/>
                      <w:kern w:val="0"/>
                      <w:szCs w:val="21"/>
                      <w:lang w:bidi="ar"/>
                    </w:rPr>
                  </w:pPr>
                </w:p>
              </w:tc>
              <w:tc>
                <w:tcPr>
                  <w:tcW w:w="599" w:type="dxa"/>
                  <w:vMerge w:val="continue"/>
                  <w:vAlign w:val="center"/>
                </w:tcPr>
                <w:p w14:paraId="0EB259A9">
                  <w:pPr>
                    <w:widowControl/>
                    <w:jc w:val="center"/>
                    <w:textAlignment w:val="center"/>
                    <w:rPr>
                      <w:color w:val="auto"/>
                      <w:kern w:val="0"/>
                      <w:szCs w:val="21"/>
                      <w:lang w:bidi="ar"/>
                    </w:rPr>
                  </w:pPr>
                </w:p>
              </w:tc>
              <w:tc>
                <w:tcPr>
                  <w:tcW w:w="974" w:type="dxa"/>
                  <w:vMerge w:val="continue"/>
                  <w:vAlign w:val="center"/>
                </w:tcPr>
                <w:p w14:paraId="1642F0FA">
                  <w:pPr>
                    <w:widowControl/>
                    <w:jc w:val="center"/>
                    <w:textAlignment w:val="center"/>
                    <w:rPr>
                      <w:rFonts w:hint="eastAsia"/>
                      <w:color w:val="auto"/>
                      <w:kern w:val="0"/>
                      <w:sz w:val="21"/>
                      <w:szCs w:val="21"/>
                      <w:lang w:val="en-US" w:eastAsia="zh-CN" w:bidi="ar"/>
                    </w:rPr>
                  </w:pPr>
                </w:p>
              </w:tc>
              <w:tc>
                <w:tcPr>
                  <w:tcW w:w="518" w:type="dxa"/>
                  <w:gridSpan w:val="2"/>
                  <w:vMerge w:val="continue"/>
                  <w:vAlign w:val="center"/>
                </w:tcPr>
                <w:p w14:paraId="15BF6508">
                  <w:pPr>
                    <w:keepNext w:val="0"/>
                    <w:keepLines w:val="0"/>
                    <w:widowControl/>
                    <w:suppressLineNumbers w:val="0"/>
                    <w:jc w:val="left"/>
                    <w:rPr>
                      <w:rFonts w:hint="eastAsia"/>
                      <w:color w:val="auto"/>
                      <w:kern w:val="0"/>
                      <w:sz w:val="21"/>
                      <w:szCs w:val="21"/>
                      <w:lang w:val="en-US" w:eastAsia="zh-CN" w:bidi="ar"/>
                    </w:rPr>
                  </w:pPr>
                </w:p>
              </w:tc>
              <w:tc>
                <w:tcPr>
                  <w:tcW w:w="1082" w:type="dxa"/>
                  <w:gridSpan w:val="4"/>
                  <w:shd w:val="clear" w:color="auto" w:fill="auto"/>
                  <w:vAlign w:val="center"/>
                </w:tcPr>
                <w:p w14:paraId="6B595546">
                  <w:pPr>
                    <w:widowControl/>
                    <w:jc w:val="center"/>
                    <w:textAlignment w:val="center"/>
                    <w:rPr>
                      <w:rFonts w:hint="eastAsia"/>
                      <w:color w:val="auto"/>
                      <w:kern w:val="0"/>
                      <w:szCs w:val="21"/>
                      <w:lang w:bidi="ar"/>
                    </w:rPr>
                  </w:pPr>
                  <w:r>
                    <w:rPr>
                      <w:rFonts w:hint="eastAsia"/>
                      <w:color w:val="auto"/>
                      <w:kern w:val="0"/>
                      <w:szCs w:val="21"/>
                      <w:lang w:bidi="ar"/>
                    </w:rPr>
                    <w:t>废润</w:t>
                  </w:r>
                </w:p>
                <w:p w14:paraId="0ABFA2C0">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滑油</w:t>
                  </w:r>
                  <w:r>
                    <w:rPr>
                      <w:rFonts w:hint="eastAsia"/>
                      <w:color w:val="auto"/>
                      <w:kern w:val="0"/>
                      <w:szCs w:val="21"/>
                      <w:lang w:eastAsia="zh-CN" w:bidi="ar"/>
                    </w:rPr>
                    <w:t>（</w:t>
                  </w:r>
                  <w:r>
                    <w:rPr>
                      <w:rFonts w:hint="eastAsia"/>
                      <w:color w:val="auto"/>
                      <w:kern w:val="0"/>
                      <w:szCs w:val="21"/>
                      <w:lang w:val="en-US" w:eastAsia="zh-CN" w:bidi="ar"/>
                    </w:rPr>
                    <w:t>S9</w:t>
                  </w:r>
                  <w:r>
                    <w:rPr>
                      <w:rFonts w:hint="eastAsia"/>
                      <w:color w:val="auto"/>
                      <w:kern w:val="0"/>
                      <w:szCs w:val="21"/>
                      <w:lang w:eastAsia="zh-CN" w:bidi="ar"/>
                    </w:rPr>
                    <w:t>）</w:t>
                  </w:r>
                </w:p>
              </w:tc>
              <w:tc>
                <w:tcPr>
                  <w:tcW w:w="3507" w:type="dxa"/>
                  <w:shd w:val="clear" w:color="auto" w:fill="auto"/>
                  <w:vAlign w:val="center"/>
                </w:tcPr>
                <w:p w14:paraId="4DAFB47B">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暂存危废暂存间，</w:t>
                  </w:r>
                  <w:r>
                    <w:rPr>
                      <w:rFonts w:hint="eastAsia"/>
                      <w:bCs/>
                      <w:color w:val="auto"/>
                      <w:szCs w:val="21"/>
                      <w:lang w:eastAsia="zh-CN"/>
                    </w:rPr>
                    <w:t>定期委托有资质单位处理</w:t>
                  </w:r>
                  <w:r>
                    <w:rPr>
                      <w:bCs/>
                      <w:color w:val="auto"/>
                      <w:szCs w:val="21"/>
                    </w:rPr>
                    <w:t>。</w:t>
                  </w:r>
                </w:p>
              </w:tc>
              <w:tc>
                <w:tcPr>
                  <w:tcW w:w="718" w:type="dxa"/>
                  <w:shd w:val="clear" w:color="auto" w:fill="auto"/>
                  <w:vAlign w:val="center"/>
                </w:tcPr>
                <w:p w14:paraId="7B949F6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新建</w:t>
                  </w:r>
                </w:p>
              </w:tc>
            </w:tr>
            <w:tr w14:paraId="5109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3ED00F34">
                  <w:pPr>
                    <w:widowControl/>
                    <w:jc w:val="center"/>
                    <w:textAlignment w:val="center"/>
                    <w:rPr>
                      <w:color w:val="auto"/>
                      <w:kern w:val="0"/>
                      <w:szCs w:val="21"/>
                      <w:lang w:bidi="ar"/>
                    </w:rPr>
                  </w:pPr>
                </w:p>
              </w:tc>
              <w:tc>
                <w:tcPr>
                  <w:tcW w:w="599" w:type="dxa"/>
                  <w:vMerge w:val="continue"/>
                  <w:vAlign w:val="center"/>
                </w:tcPr>
                <w:p w14:paraId="153E8125">
                  <w:pPr>
                    <w:widowControl/>
                    <w:jc w:val="center"/>
                    <w:textAlignment w:val="center"/>
                    <w:rPr>
                      <w:color w:val="auto"/>
                      <w:kern w:val="0"/>
                      <w:szCs w:val="21"/>
                      <w:lang w:bidi="ar"/>
                    </w:rPr>
                  </w:pPr>
                </w:p>
              </w:tc>
              <w:tc>
                <w:tcPr>
                  <w:tcW w:w="974" w:type="dxa"/>
                  <w:shd w:val="clear" w:color="auto" w:fill="auto"/>
                  <w:vAlign w:val="center"/>
                </w:tcPr>
                <w:p w14:paraId="57E934B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一般固废暂存间</w:t>
                  </w:r>
                </w:p>
              </w:tc>
              <w:tc>
                <w:tcPr>
                  <w:tcW w:w="5107" w:type="dxa"/>
                  <w:gridSpan w:val="7"/>
                  <w:shd w:val="clear" w:color="auto" w:fill="auto"/>
                  <w:vAlign w:val="center"/>
                </w:tcPr>
                <w:p w14:paraId="2B74C234">
                  <w:pPr>
                    <w:keepNext w:val="0"/>
                    <w:keepLines w:val="0"/>
                    <w:widowControl/>
                    <w:suppressLineNumbers w:val="0"/>
                    <w:jc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位于生产车间内西北侧，面积25</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w:t>
                  </w:r>
                  <w:r>
                    <w:rPr>
                      <w:rFonts w:hint="eastAsia"/>
                      <w:color w:val="auto"/>
                      <w:spacing w:val="6"/>
                      <w:sz w:val="21"/>
                      <w:szCs w:val="21"/>
                      <w:lang w:val="en-US" w:eastAsia="zh-CN"/>
                    </w:rPr>
                    <w:t>一般固体废物</w:t>
                  </w:r>
                  <w:r>
                    <w:rPr>
                      <w:color w:val="auto"/>
                      <w:spacing w:val="6"/>
                      <w:sz w:val="21"/>
                      <w:szCs w:val="21"/>
                    </w:rPr>
                    <w:t>的存放</w:t>
                  </w:r>
                  <w:r>
                    <w:rPr>
                      <w:rFonts w:hint="eastAsia"/>
                      <w:color w:val="auto"/>
                      <w:spacing w:val="6"/>
                      <w:sz w:val="21"/>
                      <w:szCs w:val="21"/>
                      <w:lang w:eastAsia="zh-CN"/>
                    </w:rPr>
                    <w:t>，</w:t>
                  </w:r>
                  <w:r>
                    <w:rPr>
                      <w:rFonts w:hint="eastAsia"/>
                      <w:color w:val="auto"/>
                      <w:sz w:val="21"/>
                      <w:szCs w:val="21"/>
                      <w:lang w:val="en-US" w:eastAsia="zh-CN"/>
                    </w:rPr>
                    <w:t>防渗要求：</w:t>
                  </w:r>
                  <w:r>
                    <w:rPr>
                      <w:rFonts w:hint="eastAsia"/>
                      <w:color w:val="auto"/>
                      <w:sz w:val="21"/>
                      <w:szCs w:val="21"/>
                      <w:highlight w:val="none"/>
                      <w:lang w:val="en-US" w:eastAsia="zh-CN"/>
                    </w:rPr>
                    <w:t>一般防渗区，等效黏土防渗层Mb≥1.5m，K≤1.0×10</w:t>
                  </w:r>
                  <w:r>
                    <w:rPr>
                      <w:rFonts w:hint="eastAsia"/>
                      <w:color w:val="auto"/>
                      <w:sz w:val="21"/>
                      <w:szCs w:val="21"/>
                      <w:highlight w:val="none"/>
                      <w:vertAlign w:val="superscript"/>
                      <w:lang w:val="en-US" w:eastAsia="zh-CN"/>
                    </w:rPr>
                    <w:t>-7</w:t>
                  </w:r>
                  <w:r>
                    <w:rPr>
                      <w:rFonts w:hint="eastAsia"/>
                      <w:color w:val="auto"/>
                      <w:sz w:val="21"/>
                      <w:szCs w:val="21"/>
                      <w:highlight w:val="none"/>
                      <w:lang w:val="en-US" w:eastAsia="zh-CN"/>
                    </w:rPr>
                    <w:t>cm/s。</w:t>
                  </w:r>
                </w:p>
              </w:tc>
              <w:tc>
                <w:tcPr>
                  <w:tcW w:w="718" w:type="dxa"/>
                  <w:vAlign w:val="center"/>
                </w:tcPr>
                <w:p w14:paraId="61097B76">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依托一期</w:t>
                  </w:r>
                </w:p>
              </w:tc>
            </w:tr>
            <w:tr w14:paraId="063C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599" w:type="dxa"/>
                  <w:vMerge w:val="continue"/>
                  <w:vAlign w:val="center"/>
                </w:tcPr>
                <w:p w14:paraId="4B03D79C">
                  <w:pPr>
                    <w:widowControl/>
                    <w:jc w:val="center"/>
                    <w:textAlignment w:val="center"/>
                    <w:rPr>
                      <w:color w:val="auto"/>
                      <w:kern w:val="0"/>
                      <w:szCs w:val="21"/>
                      <w:lang w:bidi="ar"/>
                    </w:rPr>
                  </w:pPr>
                </w:p>
              </w:tc>
              <w:tc>
                <w:tcPr>
                  <w:tcW w:w="599" w:type="dxa"/>
                  <w:vMerge w:val="continue"/>
                  <w:vAlign w:val="center"/>
                </w:tcPr>
                <w:p w14:paraId="7B37FC96">
                  <w:pPr>
                    <w:widowControl/>
                    <w:jc w:val="center"/>
                    <w:textAlignment w:val="center"/>
                    <w:rPr>
                      <w:color w:val="auto"/>
                      <w:kern w:val="0"/>
                      <w:szCs w:val="21"/>
                      <w:lang w:bidi="ar"/>
                    </w:rPr>
                  </w:pPr>
                </w:p>
              </w:tc>
              <w:tc>
                <w:tcPr>
                  <w:tcW w:w="974" w:type="dxa"/>
                  <w:shd w:val="clear" w:color="auto" w:fill="auto"/>
                  <w:vAlign w:val="center"/>
                </w:tcPr>
                <w:p w14:paraId="79E64B44">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bidi="ar"/>
                    </w:rPr>
                    <w:t>危废暂存间</w:t>
                  </w:r>
                </w:p>
              </w:tc>
              <w:tc>
                <w:tcPr>
                  <w:tcW w:w="5107" w:type="dxa"/>
                  <w:gridSpan w:val="7"/>
                  <w:shd w:val="clear" w:color="auto" w:fill="auto"/>
                  <w:vAlign w:val="center"/>
                </w:tcPr>
                <w:p w14:paraId="51804E01">
                  <w:pPr>
                    <w:keepNext w:val="0"/>
                    <w:keepLines w:val="0"/>
                    <w:widowControl/>
                    <w:suppressLineNumbers w:val="0"/>
                    <w:jc w:val="center"/>
                    <w:rPr>
                      <w:rFonts w:hint="eastAsia" w:ascii="Times New Roman" w:hAnsi="Times New Roman" w:eastAsia="宋体" w:cs="Times New Roman"/>
                      <w:color w:val="auto"/>
                      <w:kern w:val="2"/>
                      <w:sz w:val="21"/>
                      <w:szCs w:val="21"/>
                      <w:lang w:val="en-US" w:eastAsia="zh-CN" w:bidi="ar-SA"/>
                    </w:rPr>
                  </w:pPr>
                  <w:r>
                    <w:rPr>
                      <w:rFonts w:hint="eastAsia"/>
                      <w:color w:val="auto"/>
                      <w:kern w:val="0"/>
                      <w:sz w:val="21"/>
                      <w:szCs w:val="21"/>
                      <w:lang w:val="en-US" w:eastAsia="zh-CN" w:bidi="ar"/>
                    </w:rPr>
                    <w:t>位于生产车间内西北侧，面积70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color w:val="auto"/>
                      <w:kern w:val="0"/>
                      <w:sz w:val="21"/>
                      <w:szCs w:val="21"/>
                      <w:lang w:eastAsia="zh-CN" w:bidi="ar"/>
                    </w:rPr>
                    <w:t>，</w:t>
                  </w:r>
                  <w:r>
                    <w:rPr>
                      <w:color w:val="auto"/>
                      <w:spacing w:val="6"/>
                      <w:sz w:val="21"/>
                      <w:szCs w:val="21"/>
                    </w:rPr>
                    <w:t>主要用于危险废物的存放</w:t>
                  </w:r>
                  <w:r>
                    <w:rPr>
                      <w:rFonts w:hint="eastAsia"/>
                      <w:color w:val="auto"/>
                      <w:spacing w:val="6"/>
                      <w:sz w:val="21"/>
                      <w:szCs w:val="21"/>
                      <w:lang w:eastAsia="zh-CN"/>
                    </w:rPr>
                    <w:t>，</w:t>
                  </w:r>
                  <w:r>
                    <w:rPr>
                      <w:rFonts w:hint="eastAsia"/>
                      <w:color w:val="auto"/>
                      <w:spacing w:val="6"/>
                      <w:sz w:val="21"/>
                      <w:szCs w:val="21"/>
                      <w:lang w:val="en-US" w:eastAsia="zh-CN"/>
                    </w:rPr>
                    <w:t>防渗要求：</w:t>
                  </w:r>
                  <w:r>
                    <w:rPr>
                      <w:rFonts w:hint="eastAsia"/>
                      <w:color w:val="auto"/>
                      <w:spacing w:val="6"/>
                      <w:sz w:val="21"/>
                      <w:szCs w:val="21"/>
                      <w:lang w:eastAsia="zh-CN"/>
                    </w:rPr>
                    <w:t>至少2mm厚高密度聚乙烯膜等人工防渗材料（</w:t>
                  </w:r>
                  <w:r>
                    <w:rPr>
                      <w:rFonts w:hint="eastAsia"/>
                      <w:color w:val="auto"/>
                      <w:sz w:val="21"/>
                      <w:szCs w:val="21"/>
                    </w:rPr>
                    <w:t>渗透系数≤1</w:t>
                  </w:r>
                  <w:r>
                    <w:rPr>
                      <w:rFonts w:hint="eastAsia"/>
                      <w:color w:val="auto"/>
                      <w:sz w:val="21"/>
                      <w:szCs w:val="21"/>
                      <w:lang w:val="en-US" w:eastAsia="zh-CN"/>
                    </w:rPr>
                    <w:t>0</w:t>
                  </w:r>
                  <w:r>
                    <w:rPr>
                      <w:rFonts w:hint="eastAsia"/>
                      <w:color w:val="auto"/>
                      <w:sz w:val="21"/>
                      <w:szCs w:val="21"/>
                      <w:vertAlign w:val="superscript"/>
                    </w:rPr>
                    <w:t>-</w:t>
                  </w:r>
                  <w:r>
                    <w:rPr>
                      <w:rFonts w:hint="eastAsia"/>
                      <w:color w:val="auto"/>
                      <w:sz w:val="21"/>
                      <w:szCs w:val="21"/>
                      <w:vertAlign w:val="superscript"/>
                      <w:lang w:val="en-US" w:eastAsia="zh-CN"/>
                    </w:rPr>
                    <w:t>10</w:t>
                  </w:r>
                  <w:r>
                    <w:rPr>
                      <w:rFonts w:hint="eastAsia"/>
                      <w:color w:val="auto"/>
                      <w:sz w:val="21"/>
                      <w:szCs w:val="21"/>
                    </w:rPr>
                    <w:t>cm/s</w:t>
                  </w:r>
                  <w:r>
                    <w:rPr>
                      <w:rFonts w:hint="eastAsia"/>
                      <w:color w:val="auto"/>
                      <w:spacing w:val="6"/>
                      <w:sz w:val="21"/>
                      <w:szCs w:val="21"/>
                      <w:lang w:eastAsia="zh-CN"/>
                    </w:rPr>
                    <w:t>），或其他防渗性能等效的材料</w:t>
                  </w:r>
                  <w:r>
                    <w:rPr>
                      <w:rFonts w:hint="eastAsia" w:ascii="宋体" w:hAnsi="宋体" w:eastAsia="宋体" w:cs="宋体"/>
                      <w:color w:val="auto"/>
                      <w:kern w:val="0"/>
                      <w:sz w:val="21"/>
                      <w:szCs w:val="21"/>
                      <w:lang w:val="en-US" w:eastAsia="zh-CN" w:bidi="ar"/>
                    </w:rPr>
                    <w:t>。</w:t>
                  </w:r>
                </w:p>
              </w:tc>
              <w:tc>
                <w:tcPr>
                  <w:tcW w:w="718" w:type="dxa"/>
                  <w:vAlign w:val="center"/>
                </w:tcPr>
                <w:p w14:paraId="006B2BAD">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依托一期</w:t>
                  </w:r>
                </w:p>
              </w:tc>
            </w:tr>
            <w:tr w14:paraId="7890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2172" w:type="dxa"/>
                  <w:gridSpan w:val="3"/>
                  <w:vMerge w:val="restart"/>
                  <w:vAlign w:val="center"/>
                </w:tcPr>
                <w:p w14:paraId="4ED070D8">
                  <w:pPr>
                    <w:widowControl/>
                    <w:jc w:val="center"/>
                    <w:textAlignment w:val="center"/>
                    <w:rPr>
                      <w:rFonts w:hint="default" w:eastAsia="宋体"/>
                      <w:color w:val="auto"/>
                      <w:kern w:val="0"/>
                      <w:sz w:val="21"/>
                      <w:szCs w:val="21"/>
                      <w:lang w:val="en-US" w:eastAsia="zh-CN" w:bidi="ar"/>
                    </w:rPr>
                  </w:pPr>
                  <w:r>
                    <w:rPr>
                      <w:rFonts w:hint="eastAsia"/>
                      <w:color w:val="auto"/>
                      <w:kern w:val="0"/>
                      <w:sz w:val="21"/>
                      <w:szCs w:val="21"/>
                      <w:lang w:val="en-US" w:eastAsia="zh-CN" w:bidi="ar"/>
                    </w:rPr>
                    <w:t>依托工程：</w:t>
                  </w:r>
                </w:p>
              </w:tc>
              <w:tc>
                <w:tcPr>
                  <w:tcW w:w="1014" w:type="dxa"/>
                  <w:gridSpan w:val="4"/>
                  <w:vAlign w:val="center"/>
                </w:tcPr>
                <w:p w14:paraId="5557DA1F">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准格尔</w:t>
                  </w:r>
                  <w:r>
                    <w:rPr>
                      <w:rFonts w:hint="eastAsia" w:cs="Times New Roman"/>
                      <w:color w:val="auto"/>
                      <w:kern w:val="0"/>
                      <w:sz w:val="21"/>
                      <w:szCs w:val="21"/>
                      <w:lang w:val="en-US" w:eastAsia="zh-CN" w:bidi="ar"/>
                    </w:rPr>
                    <w:t>内蒙古天河水务有限公司</w:t>
                  </w:r>
                </w:p>
              </w:tc>
              <w:tc>
                <w:tcPr>
                  <w:tcW w:w="4811" w:type="dxa"/>
                  <w:gridSpan w:val="4"/>
                  <w:vAlign w:val="center"/>
                </w:tcPr>
                <w:p w14:paraId="65AA348A">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准格尔</w:t>
                  </w:r>
                  <w:r>
                    <w:rPr>
                      <w:rFonts w:hint="eastAsia" w:cs="Times New Roman"/>
                      <w:color w:val="auto"/>
                      <w:kern w:val="0"/>
                      <w:sz w:val="21"/>
                      <w:szCs w:val="21"/>
                      <w:lang w:val="en-US" w:eastAsia="zh-CN" w:bidi="ar"/>
                    </w:rPr>
                    <w:t>内蒙古天河水务有限公司</w:t>
                  </w:r>
                  <w:r>
                    <w:rPr>
                      <w:rFonts w:hint="eastAsia" w:ascii="Times New Roman" w:hAnsi="Times New Roman" w:eastAsia="宋体" w:cs="Times New Roman"/>
                      <w:color w:val="auto"/>
                      <w:kern w:val="0"/>
                      <w:sz w:val="21"/>
                      <w:szCs w:val="21"/>
                      <w:lang w:val="en-US" w:eastAsia="zh-CN" w:bidi="ar"/>
                    </w:rPr>
                    <w:t>集中处理市政区和工业区生产废水、生活污水以及浓盐水的综合性污水处理厂，</w:t>
                  </w:r>
                  <w:r>
                    <w:rPr>
                      <w:rFonts w:hint="eastAsia" w:cs="Times New Roman"/>
                      <w:color w:val="auto"/>
                      <w:kern w:val="0"/>
                      <w:sz w:val="21"/>
                      <w:szCs w:val="21"/>
                      <w:lang w:val="en-US" w:eastAsia="zh-CN" w:bidi="ar"/>
                    </w:rPr>
                    <w:t>内蒙古天河水务有限公司</w:t>
                  </w:r>
                  <w:r>
                    <w:rPr>
                      <w:rFonts w:hint="eastAsia" w:ascii="Times New Roman" w:hAnsi="Times New Roman" w:eastAsia="宋体" w:cs="Times New Roman"/>
                      <w:color w:val="auto"/>
                      <w:kern w:val="0"/>
                      <w:sz w:val="21"/>
                      <w:szCs w:val="21"/>
                      <w:lang w:val="en-US" w:eastAsia="zh-CN" w:bidi="ar"/>
                    </w:rPr>
                    <w:t>处理污水的规模为2.5万m3/d，两条1.25万m3/d 的污水处理线，污水处理采用“预处理+水解酸化+A2O二级生物处理工艺”。</w:t>
                  </w:r>
                </w:p>
              </w:tc>
            </w:tr>
            <w:tr w14:paraId="053BF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72" w:type="dxa"/>
                  <w:gridSpan w:val="3"/>
                  <w:vMerge w:val="continue"/>
                  <w:vAlign w:val="center"/>
                </w:tcPr>
                <w:p w14:paraId="1D893BA2">
                  <w:pPr>
                    <w:widowControl/>
                    <w:jc w:val="center"/>
                    <w:textAlignment w:val="center"/>
                    <w:rPr>
                      <w:color w:val="auto"/>
                    </w:rPr>
                  </w:pPr>
                </w:p>
              </w:tc>
              <w:tc>
                <w:tcPr>
                  <w:tcW w:w="1014" w:type="dxa"/>
                  <w:gridSpan w:val="4"/>
                  <w:vAlign w:val="center"/>
                </w:tcPr>
                <w:p w14:paraId="6EC21D56">
                  <w:pPr>
                    <w:widowControl/>
                    <w:jc w:val="center"/>
                    <w:textAlignment w:val="center"/>
                    <w:rPr>
                      <w:rFonts w:hint="eastAsia" w:eastAsia="宋体"/>
                      <w:color w:val="auto"/>
                      <w:lang w:val="en-US" w:eastAsia="zh-CN"/>
                    </w:rPr>
                  </w:pPr>
                  <w:r>
                    <w:rPr>
                      <w:rFonts w:hint="eastAsia"/>
                      <w:color w:val="auto"/>
                      <w:lang w:val="en-US" w:eastAsia="zh-CN"/>
                    </w:rPr>
                    <w:t>化粪池</w:t>
                  </w:r>
                </w:p>
              </w:tc>
              <w:tc>
                <w:tcPr>
                  <w:tcW w:w="4811" w:type="dxa"/>
                  <w:gridSpan w:val="4"/>
                  <w:vAlign w:val="center"/>
                </w:tcPr>
                <w:p w14:paraId="398F07A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园区内部已建化粪池，化粪池可满足园区内部厂区使用。</w:t>
                  </w:r>
                </w:p>
              </w:tc>
            </w:tr>
          </w:tbl>
          <w:p w14:paraId="0BEA15CF">
            <w:pPr>
              <w:keepNext w:val="0"/>
              <w:keepLines w:val="0"/>
              <w:pageBreakBefore w:val="0"/>
              <w:widowControl/>
              <w:kinsoku/>
              <w:wordWrap/>
              <w:overflowPunct/>
              <w:topLinePunct w:val="0"/>
              <w:autoSpaceDE/>
              <w:autoSpaceDN/>
              <w:bidi w:val="0"/>
              <w:adjustRightInd/>
              <w:snapToGrid/>
              <w:spacing w:before="157" w:beforeLines="50" w:line="360" w:lineRule="auto"/>
              <w:ind w:firstLine="482" w:firstLineChars="200"/>
              <w:jc w:val="left"/>
              <w:textAlignment w:val="auto"/>
              <w:rPr>
                <w:rFonts w:hint="default" w:eastAsia="宋体"/>
                <w:b/>
                <w:bCs/>
                <w:color w:val="auto"/>
                <w:sz w:val="24"/>
                <w:lang w:val="en-US" w:eastAsia="zh-CN"/>
              </w:rPr>
            </w:pPr>
            <w:r>
              <w:rPr>
                <w:rFonts w:hint="eastAsia"/>
                <w:b/>
                <w:bCs/>
                <w:color w:val="auto"/>
                <w:sz w:val="24"/>
                <w:lang w:val="en-US" w:eastAsia="zh-CN"/>
              </w:rPr>
              <w:t>三</w:t>
            </w:r>
            <w:r>
              <w:rPr>
                <w:rFonts w:hint="eastAsia"/>
                <w:b/>
                <w:bCs/>
                <w:color w:val="auto"/>
                <w:sz w:val="24"/>
              </w:rPr>
              <w:t>、产品方案</w:t>
            </w:r>
            <w:r>
              <w:rPr>
                <w:rFonts w:hint="eastAsia"/>
                <w:b/>
                <w:bCs/>
                <w:color w:val="auto"/>
                <w:sz w:val="24"/>
                <w:lang w:val="en-US" w:eastAsia="zh-CN"/>
              </w:rPr>
              <w:t>、规格及标准</w:t>
            </w:r>
          </w:p>
          <w:p w14:paraId="793D283C">
            <w:pPr>
              <w:widowControl/>
              <w:spacing w:line="360" w:lineRule="auto"/>
              <w:ind w:firstLine="480" w:firstLineChars="200"/>
              <w:jc w:val="left"/>
              <w:rPr>
                <w:rFonts w:hint="default" w:eastAsia="宋体"/>
                <w:color w:val="auto"/>
                <w:sz w:val="24"/>
                <w:lang w:val="en-US" w:eastAsia="zh-CN"/>
              </w:rPr>
            </w:pPr>
            <w:r>
              <w:rPr>
                <w:rFonts w:hint="eastAsia"/>
                <w:color w:val="auto"/>
                <w:sz w:val="24"/>
                <w:lang w:eastAsia="zh-CN"/>
              </w:rPr>
              <w:t>（</w:t>
            </w:r>
            <w:r>
              <w:rPr>
                <w:rFonts w:hint="eastAsia"/>
                <w:color w:val="auto"/>
                <w:sz w:val="24"/>
                <w:lang w:val="en-US" w:eastAsia="zh-CN"/>
              </w:rPr>
              <w:t>1</w:t>
            </w:r>
            <w:r>
              <w:rPr>
                <w:rFonts w:hint="eastAsia"/>
                <w:color w:val="auto"/>
                <w:sz w:val="24"/>
                <w:lang w:eastAsia="zh-CN"/>
              </w:rPr>
              <w:t>）</w:t>
            </w:r>
            <w:r>
              <w:rPr>
                <w:rFonts w:hint="eastAsia"/>
                <w:color w:val="auto"/>
                <w:sz w:val="24"/>
                <w:lang w:val="en-US" w:eastAsia="zh-CN"/>
              </w:rPr>
              <w:t>产品方案</w:t>
            </w:r>
          </w:p>
          <w:p w14:paraId="4D6E178C">
            <w:pPr>
              <w:widowControl/>
              <w:spacing w:line="360" w:lineRule="auto"/>
              <w:ind w:firstLine="480" w:firstLineChars="200"/>
              <w:jc w:val="left"/>
              <w:rPr>
                <w:color w:val="auto"/>
                <w:sz w:val="24"/>
              </w:rPr>
            </w:pPr>
            <w:r>
              <w:rPr>
                <w:rFonts w:hint="eastAsia"/>
                <w:color w:val="auto"/>
                <w:sz w:val="24"/>
              </w:rPr>
              <w:t>本项目产品方案见下表：</w:t>
            </w:r>
          </w:p>
          <w:p w14:paraId="70C9BD8F">
            <w:pPr>
              <w:widowControl/>
              <w:ind w:firstLine="2650" w:firstLineChars="1100"/>
              <w:jc w:val="left"/>
              <w:rPr>
                <w:b/>
                <w:bCs/>
                <w:color w:val="auto"/>
                <w:kern w:val="0"/>
                <w:sz w:val="24"/>
              </w:rPr>
            </w:pPr>
            <w:r>
              <w:rPr>
                <w:rFonts w:hint="eastAsia"/>
                <w:b/>
                <w:bCs/>
                <w:color w:val="auto"/>
                <w:kern w:val="0"/>
                <w:sz w:val="24"/>
              </w:rPr>
              <w:t>表2-</w:t>
            </w:r>
            <w:r>
              <w:rPr>
                <w:rFonts w:hint="eastAsia"/>
                <w:b/>
                <w:bCs/>
                <w:color w:val="auto"/>
                <w:kern w:val="0"/>
                <w:sz w:val="24"/>
                <w:lang w:val="en-US" w:eastAsia="zh-CN"/>
              </w:rPr>
              <w:t>2</w:t>
            </w:r>
            <w:r>
              <w:rPr>
                <w:rFonts w:hint="eastAsia"/>
                <w:b/>
                <w:bCs/>
                <w:color w:val="auto"/>
                <w:kern w:val="0"/>
                <w:sz w:val="24"/>
              </w:rPr>
              <w:t xml:space="preserve">    产品方案表</w:t>
            </w:r>
          </w:p>
          <w:tbl>
            <w:tblPr>
              <w:tblStyle w:val="23"/>
              <w:tblW w:w="7618" w:type="dxa"/>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gridCol w:w="1586"/>
              <w:gridCol w:w="1593"/>
              <w:gridCol w:w="1304"/>
              <w:gridCol w:w="1549"/>
            </w:tblGrid>
            <w:tr w14:paraId="04A2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86" w:type="dxa"/>
                  <w:vAlign w:val="center"/>
                </w:tcPr>
                <w:p w14:paraId="56C1D34B">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工程</w:t>
                  </w:r>
                </w:p>
              </w:tc>
              <w:tc>
                <w:tcPr>
                  <w:tcW w:w="1586" w:type="dxa"/>
                  <w:vAlign w:val="center"/>
                </w:tcPr>
                <w:p w14:paraId="368BE306">
                  <w:pPr>
                    <w:widowControl/>
                    <w:jc w:val="center"/>
                    <w:textAlignment w:val="center"/>
                    <w:rPr>
                      <w:color w:val="auto"/>
                      <w:kern w:val="0"/>
                      <w:szCs w:val="21"/>
                      <w:lang w:bidi="ar"/>
                    </w:rPr>
                  </w:pPr>
                  <w:r>
                    <w:rPr>
                      <w:rFonts w:hint="eastAsia"/>
                      <w:color w:val="auto"/>
                      <w:kern w:val="0"/>
                      <w:szCs w:val="21"/>
                      <w:lang w:bidi="ar"/>
                    </w:rPr>
                    <w:t>名称</w:t>
                  </w:r>
                </w:p>
              </w:tc>
              <w:tc>
                <w:tcPr>
                  <w:tcW w:w="1593" w:type="dxa"/>
                  <w:vAlign w:val="center"/>
                </w:tcPr>
                <w:p w14:paraId="3064CA54">
                  <w:pPr>
                    <w:widowControl/>
                    <w:jc w:val="center"/>
                    <w:textAlignment w:val="center"/>
                    <w:rPr>
                      <w:color w:val="auto"/>
                      <w:kern w:val="0"/>
                      <w:szCs w:val="21"/>
                      <w:lang w:bidi="ar"/>
                    </w:rPr>
                  </w:pPr>
                  <w:r>
                    <w:rPr>
                      <w:rFonts w:hint="eastAsia"/>
                      <w:color w:val="auto"/>
                      <w:kern w:val="0"/>
                      <w:szCs w:val="21"/>
                      <w:lang w:bidi="ar"/>
                    </w:rPr>
                    <w:t>单位</w:t>
                  </w:r>
                </w:p>
              </w:tc>
              <w:tc>
                <w:tcPr>
                  <w:tcW w:w="1304" w:type="dxa"/>
                  <w:vAlign w:val="center"/>
                </w:tcPr>
                <w:p w14:paraId="7ADFA5F1">
                  <w:pPr>
                    <w:widowControl/>
                    <w:jc w:val="center"/>
                    <w:textAlignment w:val="center"/>
                    <w:rPr>
                      <w:color w:val="auto"/>
                      <w:kern w:val="0"/>
                      <w:szCs w:val="21"/>
                      <w:lang w:bidi="ar"/>
                    </w:rPr>
                  </w:pPr>
                  <w:r>
                    <w:rPr>
                      <w:rFonts w:hint="eastAsia"/>
                      <w:color w:val="auto"/>
                      <w:kern w:val="0"/>
                      <w:szCs w:val="21"/>
                      <w:lang w:bidi="ar"/>
                    </w:rPr>
                    <w:t>数量</w:t>
                  </w:r>
                </w:p>
              </w:tc>
              <w:tc>
                <w:tcPr>
                  <w:tcW w:w="1549" w:type="dxa"/>
                  <w:vAlign w:val="center"/>
                </w:tcPr>
                <w:p w14:paraId="09DE5FF6">
                  <w:pPr>
                    <w:widowControl/>
                    <w:ind w:firstLine="210" w:firstLineChars="100"/>
                    <w:jc w:val="both"/>
                    <w:textAlignment w:val="center"/>
                    <w:rPr>
                      <w:rFonts w:hint="default" w:eastAsia="宋体"/>
                      <w:color w:val="auto"/>
                      <w:kern w:val="0"/>
                      <w:szCs w:val="21"/>
                      <w:lang w:val="en-US" w:eastAsia="zh-CN" w:bidi="ar"/>
                    </w:rPr>
                  </w:pPr>
                  <w:r>
                    <w:rPr>
                      <w:rFonts w:hint="eastAsia"/>
                      <w:color w:val="auto"/>
                      <w:kern w:val="0"/>
                      <w:szCs w:val="21"/>
                      <w:lang w:val="en-US" w:eastAsia="zh-CN" w:bidi="ar"/>
                    </w:rPr>
                    <w:t>主要用途</w:t>
                  </w:r>
                </w:p>
              </w:tc>
            </w:tr>
            <w:tr w14:paraId="6301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86" w:type="dxa"/>
                  <w:vAlign w:val="center"/>
                </w:tcPr>
                <w:p w14:paraId="7A3F1C4D">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一期工程</w:t>
                  </w:r>
                </w:p>
              </w:tc>
              <w:tc>
                <w:tcPr>
                  <w:tcW w:w="1586" w:type="dxa"/>
                  <w:vMerge w:val="restart"/>
                  <w:vAlign w:val="center"/>
                </w:tcPr>
                <w:p w14:paraId="0A8A57D4">
                  <w:pPr>
                    <w:widowControl/>
                    <w:jc w:val="center"/>
                    <w:textAlignment w:val="center"/>
                    <w:rPr>
                      <w:color w:val="auto"/>
                      <w:kern w:val="0"/>
                      <w:szCs w:val="21"/>
                      <w:lang w:bidi="ar"/>
                    </w:rPr>
                  </w:pPr>
                  <w:r>
                    <w:rPr>
                      <w:rFonts w:hint="eastAsia"/>
                      <w:color w:val="auto"/>
                      <w:kern w:val="0"/>
                      <w:szCs w:val="21"/>
                      <w:lang w:bidi="ar"/>
                    </w:rPr>
                    <w:t>环氧</w:t>
                  </w:r>
                  <w:r>
                    <w:rPr>
                      <w:rFonts w:hint="eastAsia"/>
                      <w:color w:val="auto"/>
                      <w:kern w:val="0"/>
                      <w:szCs w:val="21"/>
                      <w:lang w:val="en-US" w:eastAsia="zh-CN" w:bidi="ar"/>
                    </w:rPr>
                    <w:t>玻璃纤维</w:t>
                  </w:r>
                  <w:r>
                    <w:rPr>
                      <w:rFonts w:hint="eastAsia"/>
                      <w:color w:val="auto"/>
                      <w:kern w:val="0"/>
                      <w:szCs w:val="21"/>
                      <w:lang w:bidi="ar"/>
                    </w:rPr>
                    <w:t>高压管道</w:t>
                  </w:r>
                </w:p>
              </w:tc>
              <w:tc>
                <w:tcPr>
                  <w:tcW w:w="1593" w:type="dxa"/>
                  <w:vAlign w:val="center"/>
                </w:tcPr>
                <w:p w14:paraId="460157D1">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万米</w:t>
                  </w:r>
                </w:p>
              </w:tc>
              <w:tc>
                <w:tcPr>
                  <w:tcW w:w="1304" w:type="dxa"/>
                  <w:vAlign w:val="center"/>
                </w:tcPr>
                <w:p w14:paraId="25FE676B">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60</w:t>
                  </w:r>
                </w:p>
              </w:tc>
              <w:tc>
                <w:tcPr>
                  <w:tcW w:w="1549" w:type="dxa"/>
                  <w:vMerge w:val="restart"/>
                  <w:vAlign w:val="center"/>
                </w:tcPr>
                <w:p w14:paraId="24023BD7">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进入市场销售</w:t>
                  </w:r>
                </w:p>
              </w:tc>
            </w:tr>
            <w:tr w14:paraId="24C2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86" w:type="dxa"/>
                  <w:vAlign w:val="center"/>
                </w:tcPr>
                <w:p w14:paraId="4F16A697">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二期工程</w:t>
                  </w:r>
                </w:p>
              </w:tc>
              <w:tc>
                <w:tcPr>
                  <w:tcW w:w="1586" w:type="dxa"/>
                  <w:vMerge w:val="continue"/>
                  <w:vAlign w:val="center"/>
                </w:tcPr>
                <w:p w14:paraId="27191A5F">
                  <w:pPr>
                    <w:widowControl/>
                    <w:jc w:val="center"/>
                    <w:textAlignment w:val="center"/>
                    <w:rPr>
                      <w:rFonts w:hint="eastAsia"/>
                      <w:color w:val="auto"/>
                      <w:kern w:val="0"/>
                      <w:szCs w:val="21"/>
                      <w:lang w:bidi="ar"/>
                    </w:rPr>
                  </w:pPr>
                </w:p>
              </w:tc>
              <w:tc>
                <w:tcPr>
                  <w:tcW w:w="1593" w:type="dxa"/>
                  <w:vAlign w:val="center"/>
                </w:tcPr>
                <w:p w14:paraId="461B40C8">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万米</w:t>
                  </w:r>
                </w:p>
              </w:tc>
              <w:tc>
                <w:tcPr>
                  <w:tcW w:w="1304" w:type="dxa"/>
                  <w:vAlign w:val="center"/>
                </w:tcPr>
                <w:p w14:paraId="373AE52B">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60</w:t>
                  </w:r>
                </w:p>
              </w:tc>
              <w:tc>
                <w:tcPr>
                  <w:tcW w:w="1549" w:type="dxa"/>
                  <w:vMerge w:val="continue"/>
                  <w:vAlign w:val="center"/>
                </w:tcPr>
                <w:p w14:paraId="7DA5D8E3">
                  <w:pPr>
                    <w:widowControl/>
                    <w:jc w:val="center"/>
                    <w:textAlignment w:val="center"/>
                    <w:rPr>
                      <w:rFonts w:hint="eastAsia"/>
                      <w:color w:val="auto"/>
                      <w:kern w:val="0"/>
                      <w:szCs w:val="21"/>
                      <w:lang w:val="en-US" w:eastAsia="zh-CN" w:bidi="ar"/>
                    </w:rPr>
                  </w:pPr>
                </w:p>
              </w:tc>
            </w:tr>
            <w:tr w14:paraId="1FD4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586" w:type="dxa"/>
                  <w:vAlign w:val="center"/>
                </w:tcPr>
                <w:p w14:paraId="034BD2E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总体工程</w:t>
                  </w:r>
                </w:p>
              </w:tc>
              <w:tc>
                <w:tcPr>
                  <w:tcW w:w="1586" w:type="dxa"/>
                  <w:vMerge w:val="continue"/>
                  <w:vAlign w:val="center"/>
                </w:tcPr>
                <w:p w14:paraId="78491204">
                  <w:pPr>
                    <w:widowControl/>
                    <w:jc w:val="center"/>
                    <w:textAlignment w:val="center"/>
                    <w:rPr>
                      <w:rFonts w:hint="eastAsia"/>
                      <w:color w:val="auto"/>
                      <w:kern w:val="0"/>
                      <w:szCs w:val="21"/>
                      <w:lang w:bidi="ar"/>
                    </w:rPr>
                  </w:pPr>
                </w:p>
              </w:tc>
              <w:tc>
                <w:tcPr>
                  <w:tcW w:w="1593" w:type="dxa"/>
                  <w:vAlign w:val="center"/>
                </w:tcPr>
                <w:p w14:paraId="0F1028B8">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万米</w:t>
                  </w:r>
                </w:p>
              </w:tc>
              <w:tc>
                <w:tcPr>
                  <w:tcW w:w="1304" w:type="dxa"/>
                  <w:vAlign w:val="center"/>
                </w:tcPr>
                <w:p w14:paraId="5A13FA40">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120</w:t>
                  </w:r>
                </w:p>
              </w:tc>
              <w:tc>
                <w:tcPr>
                  <w:tcW w:w="1549" w:type="dxa"/>
                  <w:vMerge w:val="continue"/>
                  <w:vAlign w:val="center"/>
                </w:tcPr>
                <w:p w14:paraId="33840159">
                  <w:pPr>
                    <w:widowControl/>
                    <w:jc w:val="center"/>
                    <w:textAlignment w:val="center"/>
                    <w:rPr>
                      <w:rFonts w:hint="eastAsia"/>
                      <w:color w:val="auto"/>
                      <w:kern w:val="0"/>
                      <w:szCs w:val="21"/>
                      <w:lang w:val="en-US" w:eastAsia="zh-CN" w:bidi="ar"/>
                    </w:rPr>
                  </w:pPr>
                </w:p>
              </w:tc>
            </w:tr>
          </w:tbl>
          <w:p w14:paraId="1FDE94AE">
            <w:pPr>
              <w:widowControl/>
              <w:numPr>
                <w:ilvl w:val="0"/>
                <w:numId w:val="2"/>
              </w:numPr>
              <w:spacing w:line="360" w:lineRule="auto"/>
              <w:ind w:left="0" w:leftChars="0" w:firstLine="480" w:firstLineChars="200"/>
              <w:jc w:val="left"/>
              <w:rPr>
                <w:rFonts w:hint="eastAsia"/>
                <w:color w:val="auto"/>
                <w:sz w:val="24"/>
                <w:lang w:val="en-US" w:eastAsia="zh-CN"/>
              </w:rPr>
            </w:pPr>
            <w:r>
              <w:rPr>
                <w:rFonts w:hint="eastAsia"/>
                <w:color w:val="auto"/>
                <w:sz w:val="24"/>
                <w:lang w:val="en-US" w:eastAsia="zh-CN"/>
              </w:rPr>
              <w:t>产品规格参数</w:t>
            </w:r>
          </w:p>
          <w:p w14:paraId="70FE3589">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center"/>
              <w:textAlignment w:val="auto"/>
              <w:rPr>
                <w:rFonts w:hint="default" w:eastAsia="宋体"/>
                <w:b/>
                <w:bCs/>
                <w:color w:val="auto"/>
                <w:kern w:val="0"/>
                <w:sz w:val="24"/>
                <w:lang w:val="en-US" w:eastAsia="zh-CN"/>
              </w:rPr>
            </w:pPr>
            <w:r>
              <w:rPr>
                <w:rFonts w:hint="eastAsia"/>
                <w:b/>
                <w:bCs/>
                <w:color w:val="auto"/>
                <w:kern w:val="0"/>
                <w:sz w:val="24"/>
              </w:rPr>
              <w:t>表2-</w:t>
            </w:r>
            <w:r>
              <w:rPr>
                <w:rFonts w:hint="eastAsia"/>
                <w:b/>
                <w:bCs/>
                <w:color w:val="auto"/>
                <w:kern w:val="0"/>
                <w:sz w:val="24"/>
                <w:lang w:val="en-US" w:eastAsia="zh-CN"/>
              </w:rPr>
              <w:t>3</w:t>
            </w:r>
            <w:r>
              <w:rPr>
                <w:rFonts w:hint="eastAsia"/>
                <w:b/>
                <w:bCs/>
                <w:color w:val="auto"/>
                <w:kern w:val="0"/>
                <w:sz w:val="24"/>
              </w:rPr>
              <w:t xml:space="preserve">    产品</w:t>
            </w:r>
            <w:r>
              <w:rPr>
                <w:rFonts w:hint="eastAsia"/>
                <w:b/>
                <w:bCs/>
                <w:color w:val="auto"/>
                <w:kern w:val="0"/>
                <w:sz w:val="24"/>
                <w:lang w:val="en-US" w:eastAsia="zh-CN"/>
              </w:rPr>
              <w:t>规格参数</w:t>
            </w:r>
          </w:p>
          <w:tbl>
            <w:tblPr>
              <w:tblStyle w:val="23"/>
              <w:tblW w:w="8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407"/>
              <w:gridCol w:w="1345"/>
              <w:gridCol w:w="1376"/>
              <w:gridCol w:w="1516"/>
              <w:gridCol w:w="1426"/>
            </w:tblGrid>
            <w:tr w14:paraId="396F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2A8C285C">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序号</w:t>
                  </w:r>
                </w:p>
              </w:tc>
              <w:tc>
                <w:tcPr>
                  <w:tcW w:w="1407" w:type="dxa"/>
                  <w:vAlign w:val="center"/>
                </w:tcPr>
                <w:p w14:paraId="4B848EE6">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内径（mm）</w:t>
                  </w:r>
                </w:p>
              </w:tc>
              <w:tc>
                <w:tcPr>
                  <w:tcW w:w="1345" w:type="dxa"/>
                  <w:vAlign w:val="center"/>
                </w:tcPr>
                <w:p w14:paraId="7D04081E">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外径（mm）</w:t>
                  </w:r>
                </w:p>
              </w:tc>
              <w:tc>
                <w:tcPr>
                  <w:tcW w:w="1376" w:type="dxa"/>
                  <w:vAlign w:val="center"/>
                </w:tcPr>
                <w:p w14:paraId="67B073BB">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壁厚（mm）</w:t>
                  </w:r>
                </w:p>
              </w:tc>
              <w:tc>
                <w:tcPr>
                  <w:tcW w:w="1516" w:type="dxa"/>
                  <w:vAlign w:val="center"/>
                </w:tcPr>
                <w:p w14:paraId="336043F6">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米重（kg/m）</w:t>
                  </w:r>
                </w:p>
              </w:tc>
              <w:tc>
                <w:tcPr>
                  <w:tcW w:w="1426" w:type="dxa"/>
                  <w:vAlign w:val="center"/>
                </w:tcPr>
                <w:p w14:paraId="74F0842C">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备注</w:t>
                  </w:r>
                </w:p>
              </w:tc>
            </w:tr>
            <w:tr w14:paraId="5F4B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210F9AA7">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w:t>
                  </w:r>
                </w:p>
              </w:tc>
              <w:tc>
                <w:tcPr>
                  <w:tcW w:w="1407" w:type="dxa"/>
                  <w:vAlign w:val="center"/>
                </w:tcPr>
                <w:p w14:paraId="495E5EAD">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80</w:t>
                  </w:r>
                </w:p>
              </w:tc>
              <w:tc>
                <w:tcPr>
                  <w:tcW w:w="1345" w:type="dxa"/>
                  <w:vAlign w:val="center"/>
                </w:tcPr>
                <w:p w14:paraId="5A7B43F4">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89</w:t>
                  </w:r>
                </w:p>
              </w:tc>
              <w:tc>
                <w:tcPr>
                  <w:tcW w:w="1376" w:type="dxa"/>
                  <w:vAlign w:val="center"/>
                </w:tcPr>
                <w:p w14:paraId="30ECFA4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4.5</w:t>
                  </w:r>
                </w:p>
              </w:tc>
              <w:tc>
                <w:tcPr>
                  <w:tcW w:w="1516" w:type="dxa"/>
                  <w:vAlign w:val="center"/>
                </w:tcPr>
                <w:p w14:paraId="77EFF39D">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2.44</w:t>
                  </w:r>
                </w:p>
              </w:tc>
              <w:tc>
                <w:tcPr>
                  <w:tcW w:w="1426" w:type="dxa"/>
                  <w:vAlign w:val="center"/>
                </w:tcPr>
                <w:p w14:paraId="713C9478">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w:t>
                  </w:r>
                </w:p>
              </w:tc>
            </w:tr>
            <w:tr w14:paraId="172E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12BF496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w:t>
                  </w:r>
                </w:p>
              </w:tc>
              <w:tc>
                <w:tcPr>
                  <w:tcW w:w="1407" w:type="dxa"/>
                  <w:vAlign w:val="center"/>
                </w:tcPr>
                <w:p w14:paraId="64134659">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94</w:t>
                  </w:r>
                </w:p>
              </w:tc>
              <w:tc>
                <w:tcPr>
                  <w:tcW w:w="1345" w:type="dxa"/>
                  <w:vAlign w:val="center"/>
                </w:tcPr>
                <w:p w14:paraId="79B02307">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108</w:t>
                  </w:r>
                </w:p>
              </w:tc>
              <w:tc>
                <w:tcPr>
                  <w:tcW w:w="1376" w:type="dxa"/>
                  <w:vAlign w:val="center"/>
                </w:tcPr>
                <w:p w14:paraId="575F6E46">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7.0</w:t>
                  </w:r>
                </w:p>
              </w:tc>
              <w:tc>
                <w:tcPr>
                  <w:tcW w:w="1516" w:type="dxa"/>
                  <w:vAlign w:val="center"/>
                </w:tcPr>
                <w:p w14:paraId="32F391A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4.43</w:t>
                  </w:r>
                </w:p>
              </w:tc>
              <w:tc>
                <w:tcPr>
                  <w:tcW w:w="1426" w:type="dxa"/>
                  <w:vAlign w:val="center"/>
                </w:tcPr>
                <w:p w14:paraId="731CA1F9">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w:t>
                  </w:r>
                </w:p>
              </w:tc>
            </w:tr>
            <w:tr w14:paraId="1BC8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3ACDE19B">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3</w:t>
                  </w:r>
                </w:p>
              </w:tc>
              <w:tc>
                <w:tcPr>
                  <w:tcW w:w="1407" w:type="dxa"/>
                  <w:vAlign w:val="center"/>
                </w:tcPr>
                <w:p w14:paraId="027560B9">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118</w:t>
                  </w:r>
                </w:p>
              </w:tc>
              <w:tc>
                <w:tcPr>
                  <w:tcW w:w="1345" w:type="dxa"/>
                  <w:vAlign w:val="center"/>
                </w:tcPr>
                <w:p w14:paraId="30DD677E">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133</w:t>
                  </w:r>
                </w:p>
              </w:tc>
              <w:tc>
                <w:tcPr>
                  <w:tcW w:w="1376" w:type="dxa"/>
                  <w:vAlign w:val="center"/>
                </w:tcPr>
                <w:p w14:paraId="4395554F">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7.5</w:t>
                  </w:r>
                </w:p>
              </w:tc>
              <w:tc>
                <w:tcPr>
                  <w:tcW w:w="1516" w:type="dxa"/>
                  <w:vAlign w:val="center"/>
                </w:tcPr>
                <w:p w14:paraId="545944D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5.90</w:t>
                  </w:r>
                </w:p>
              </w:tc>
              <w:tc>
                <w:tcPr>
                  <w:tcW w:w="1426" w:type="dxa"/>
                  <w:vAlign w:val="center"/>
                </w:tcPr>
                <w:p w14:paraId="1959222D">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w:t>
                  </w:r>
                </w:p>
              </w:tc>
            </w:tr>
            <w:tr w14:paraId="2BC0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3C2C24A9">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4</w:t>
                  </w:r>
                </w:p>
              </w:tc>
              <w:tc>
                <w:tcPr>
                  <w:tcW w:w="1407" w:type="dxa"/>
                  <w:vAlign w:val="center"/>
                </w:tcPr>
                <w:p w14:paraId="4FF56E4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133</w:t>
                  </w:r>
                </w:p>
              </w:tc>
              <w:tc>
                <w:tcPr>
                  <w:tcW w:w="1345" w:type="dxa"/>
                  <w:vAlign w:val="center"/>
                </w:tcPr>
                <w:p w14:paraId="58DCE20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143</w:t>
                  </w:r>
                </w:p>
              </w:tc>
              <w:tc>
                <w:tcPr>
                  <w:tcW w:w="1376" w:type="dxa"/>
                  <w:vAlign w:val="center"/>
                </w:tcPr>
                <w:p w14:paraId="58A39989">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8.0</w:t>
                  </w:r>
                </w:p>
              </w:tc>
              <w:tc>
                <w:tcPr>
                  <w:tcW w:w="1516" w:type="dxa"/>
                  <w:vAlign w:val="center"/>
                </w:tcPr>
                <w:p w14:paraId="2A10AC60">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8.07</w:t>
                  </w:r>
                </w:p>
              </w:tc>
              <w:tc>
                <w:tcPr>
                  <w:tcW w:w="1426" w:type="dxa"/>
                  <w:vAlign w:val="center"/>
                </w:tcPr>
                <w:p w14:paraId="68D6A62B">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w:t>
                  </w:r>
                </w:p>
              </w:tc>
            </w:tr>
            <w:tr w14:paraId="2328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0F524568">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5</w:t>
                  </w:r>
                </w:p>
              </w:tc>
              <w:tc>
                <w:tcPr>
                  <w:tcW w:w="1407" w:type="dxa"/>
                  <w:vAlign w:val="center"/>
                </w:tcPr>
                <w:p w14:paraId="066165E8">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150</w:t>
                  </w:r>
                </w:p>
              </w:tc>
              <w:tc>
                <w:tcPr>
                  <w:tcW w:w="1345" w:type="dxa"/>
                  <w:vAlign w:val="center"/>
                </w:tcPr>
                <w:p w14:paraId="431EBDFF">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159</w:t>
                  </w:r>
                </w:p>
              </w:tc>
              <w:tc>
                <w:tcPr>
                  <w:tcW w:w="1376" w:type="dxa"/>
                  <w:vAlign w:val="center"/>
                </w:tcPr>
                <w:p w14:paraId="6E1EE701">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8.0</w:t>
                  </w:r>
                </w:p>
              </w:tc>
              <w:tc>
                <w:tcPr>
                  <w:tcW w:w="1516" w:type="dxa"/>
                  <w:vAlign w:val="center"/>
                </w:tcPr>
                <w:p w14:paraId="74203B0B">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9.14</w:t>
                  </w:r>
                </w:p>
              </w:tc>
              <w:tc>
                <w:tcPr>
                  <w:tcW w:w="1426" w:type="dxa"/>
                  <w:vAlign w:val="center"/>
                </w:tcPr>
                <w:p w14:paraId="66A8F473">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工作压力4.0MPa</w:t>
                  </w:r>
                </w:p>
              </w:tc>
            </w:tr>
            <w:tr w14:paraId="3075C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638EAB76">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6</w:t>
                  </w:r>
                </w:p>
              </w:tc>
              <w:tc>
                <w:tcPr>
                  <w:tcW w:w="1407" w:type="dxa"/>
                  <w:vAlign w:val="center"/>
                </w:tcPr>
                <w:p w14:paraId="2D45C80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203</w:t>
                  </w:r>
                </w:p>
              </w:tc>
              <w:tc>
                <w:tcPr>
                  <w:tcW w:w="1345" w:type="dxa"/>
                  <w:vAlign w:val="center"/>
                </w:tcPr>
                <w:p w14:paraId="789C2FEA">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219</w:t>
                  </w:r>
                </w:p>
              </w:tc>
              <w:tc>
                <w:tcPr>
                  <w:tcW w:w="1376" w:type="dxa"/>
                  <w:vAlign w:val="center"/>
                </w:tcPr>
                <w:p w14:paraId="76B85F9D">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8.0</w:t>
                  </w:r>
                </w:p>
              </w:tc>
              <w:tc>
                <w:tcPr>
                  <w:tcW w:w="1516" w:type="dxa"/>
                  <w:vAlign w:val="center"/>
                </w:tcPr>
                <w:p w14:paraId="18F16CD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14.58</w:t>
                  </w:r>
                </w:p>
              </w:tc>
              <w:tc>
                <w:tcPr>
                  <w:tcW w:w="1426" w:type="dxa"/>
                  <w:vAlign w:val="center"/>
                </w:tcPr>
                <w:p w14:paraId="36BDB187">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爆破压力24.0MPa</w:t>
                  </w:r>
                </w:p>
              </w:tc>
            </w:tr>
            <w:tr w14:paraId="637C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2" w:type="dxa"/>
                  <w:vAlign w:val="center"/>
                </w:tcPr>
                <w:p w14:paraId="2EF4BA7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7</w:t>
                  </w:r>
                </w:p>
              </w:tc>
              <w:tc>
                <w:tcPr>
                  <w:tcW w:w="1407" w:type="dxa"/>
                  <w:vAlign w:val="center"/>
                </w:tcPr>
                <w:p w14:paraId="6148347F">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250</w:t>
                  </w:r>
                </w:p>
              </w:tc>
              <w:tc>
                <w:tcPr>
                  <w:tcW w:w="1345" w:type="dxa"/>
                  <w:vAlign w:val="center"/>
                </w:tcPr>
                <w:p w14:paraId="5A062FAD">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273</w:t>
                  </w:r>
                </w:p>
              </w:tc>
              <w:tc>
                <w:tcPr>
                  <w:tcW w:w="1376" w:type="dxa"/>
                  <w:vAlign w:val="center"/>
                </w:tcPr>
                <w:p w14:paraId="4A49B7A7">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11.5</w:t>
                  </w:r>
                </w:p>
              </w:tc>
              <w:tc>
                <w:tcPr>
                  <w:tcW w:w="1516" w:type="dxa"/>
                  <w:vAlign w:val="center"/>
                </w:tcPr>
                <w:p w14:paraId="5BB4BED7">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18.84</w:t>
                  </w:r>
                </w:p>
              </w:tc>
              <w:tc>
                <w:tcPr>
                  <w:tcW w:w="1426" w:type="dxa"/>
                  <w:vAlign w:val="center"/>
                </w:tcPr>
                <w:p w14:paraId="01663E12">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w:t>
                  </w:r>
                </w:p>
              </w:tc>
            </w:tr>
          </w:tbl>
          <w:p w14:paraId="38C39DD3">
            <w:pPr>
              <w:widowControl/>
              <w:numPr>
                <w:ilvl w:val="0"/>
                <w:numId w:val="2"/>
              </w:numPr>
              <w:spacing w:line="360" w:lineRule="auto"/>
              <w:ind w:left="0" w:leftChars="0" w:firstLine="480" w:firstLineChars="200"/>
              <w:jc w:val="left"/>
              <w:rPr>
                <w:rFonts w:hint="default"/>
                <w:color w:val="auto"/>
                <w:sz w:val="24"/>
                <w:lang w:val="en-US" w:eastAsia="zh-CN"/>
              </w:rPr>
            </w:pPr>
            <w:r>
              <w:rPr>
                <w:rFonts w:hint="eastAsia"/>
                <w:color w:val="auto"/>
                <w:sz w:val="24"/>
                <w:lang w:val="en-US" w:eastAsia="zh-CN"/>
              </w:rPr>
              <w:t>产品执行标准</w:t>
            </w:r>
          </w:p>
          <w:p w14:paraId="4A31884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kern w:val="0"/>
                <w:sz w:val="24"/>
                <w:lang w:val="en-US" w:eastAsia="zh-CN" w:bidi="ar"/>
              </w:rPr>
            </w:pPr>
            <w:r>
              <w:rPr>
                <w:rFonts w:hint="default" w:ascii="Times New Roman" w:hAnsi="Times New Roman" w:cs="Times New Roman"/>
                <w:color w:val="auto"/>
                <w:kern w:val="0"/>
                <w:sz w:val="24"/>
                <w:lang w:val="en-US" w:eastAsia="zh-CN" w:bidi="ar"/>
              </w:rPr>
              <w:t>《煤矿井下用塑料管材 第3部分:玻璃钢管材》（MT/T 558.3-2005）</w:t>
            </w:r>
          </w:p>
          <w:p w14:paraId="7AD6F8B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color w:val="auto"/>
                <w:kern w:val="0"/>
                <w:sz w:val="24"/>
                <w:lang w:val="en-US" w:eastAsia="zh-CN" w:bidi="ar"/>
              </w:rPr>
            </w:pPr>
            <w:r>
              <w:rPr>
                <w:rFonts w:hint="eastAsia" w:ascii="Times New Roman" w:hAnsi="Times New Roman" w:cs="Times New Roman"/>
                <w:color w:val="auto"/>
                <w:kern w:val="0"/>
                <w:sz w:val="24"/>
                <w:lang w:val="en-US" w:eastAsia="zh-CN" w:bidi="ar"/>
              </w:rPr>
              <w:t>《煤矿用钢骨架纤维增强树脂管》（Q/HHM101-2025）</w:t>
            </w:r>
          </w:p>
          <w:p w14:paraId="66784254">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eastAsia"/>
                <w:b/>
                <w:bCs/>
                <w:color w:val="auto"/>
                <w:sz w:val="24"/>
                <w:lang w:val="en-US" w:eastAsia="zh-CN"/>
              </w:rPr>
            </w:pPr>
            <w:r>
              <w:rPr>
                <w:rFonts w:hint="eastAsia"/>
                <w:b/>
                <w:bCs/>
                <w:color w:val="auto"/>
                <w:sz w:val="24"/>
                <w:lang w:val="en-US" w:eastAsia="zh-CN"/>
              </w:rPr>
              <w:t>四、主要原辅料消耗情况</w:t>
            </w:r>
          </w:p>
          <w:p w14:paraId="2BC2D8C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color w:val="auto"/>
                <w:kern w:val="0"/>
                <w:sz w:val="24"/>
                <w:lang w:bidi="ar"/>
              </w:rPr>
            </w:pPr>
            <w:r>
              <w:rPr>
                <w:color w:val="auto"/>
                <w:kern w:val="0"/>
                <w:sz w:val="24"/>
                <w:lang w:bidi="ar"/>
              </w:rPr>
              <w:t>（</w:t>
            </w:r>
            <w:r>
              <w:rPr>
                <w:rFonts w:hint="eastAsia"/>
                <w:color w:val="auto"/>
                <w:kern w:val="0"/>
                <w:sz w:val="24"/>
                <w:lang w:val="en-US" w:eastAsia="zh-CN" w:bidi="ar"/>
              </w:rPr>
              <w:t>1</w:t>
            </w:r>
            <w:r>
              <w:rPr>
                <w:color w:val="auto"/>
                <w:kern w:val="0"/>
                <w:sz w:val="24"/>
                <w:lang w:bidi="ar"/>
              </w:rPr>
              <w:t>）</w:t>
            </w:r>
            <w:r>
              <w:rPr>
                <w:rFonts w:hint="eastAsia" w:ascii="宋体" w:hAnsi="宋体" w:cs="宋体"/>
                <w:color w:val="auto"/>
                <w:kern w:val="0"/>
                <w:sz w:val="24"/>
                <w:lang w:bidi="ar"/>
              </w:rPr>
              <w:t>原辅材料及动力消耗量</w:t>
            </w:r>
          </w:p>
          <w:p w14:paraId="506CC90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lang w:val="en-US" w:eastAsia="zh-CN" w:bidi="ar"/>
              </w:rPr>
            </w:pPr>
            <w:r>
              <w:rPr>
                <w:rFonts w:hint="default" w:ascii="Times New Roman" w:hAnsi="Times New Roman" w:cs="Times New Roman"/>
                <w:color w:val="auto"/>
                <w:kern w:val="0"/>
                <w:sz w:val="24"/>
                <w:lang w:val="en-US" w:eastAsia="zh-CN" w:bidi="ar"/>
              </w:rPr>
              <w:t>本项目共7种产品，</w:t>
            </w:r>
            <w:r>
              <w:rPr>
                <w:rFonts w:hint="eastAsia" w:ascii="Times New Roman" w:hAnsi="Times New Roman" w:cs="Times New Roman"/>
                <w:color w:val="auto"/>
                <w:kern w:val="0"/>
                <w:sz w:val="24"/>
                <w:lang w:val="en-US" w:eastAsia="zh-CN" w:bidi="ar"/>
              </w:rPr>
              <w:t>按照最大产品规格参数进行计算：</w:t>
            </w:r>
          </w:p>
          <w:p w14:paraId="36E53482">
            <w:pPr>
              <w:autoSpaceDE w:val="0"/>
              <w:autoSpaceDN w:val="0"/>
              <w:adjustRightInd w:val="0"/>
              <w:snapToGrid w:val="0"/>
              <w:ind w:firstLine="1687" w:firstLineChars="700"/>
              <w:jc w:val="left"/>
              <w:rPr>
                <w:b/>
                <w:bCs/>
                <w:color w:val="auto"/>
                <w:kern w:val="0"/>
                <w:sz w:val="24"/>
              </w:rPr>
            </w:pPr>
            <w:r>
              <w:rPr>
                <w:rFonts w:hint="eastAsia"/>
                <w:b/>
                <w:bCs/>
                <w:color w:val="auto"/>
                <w:kern w:val="0"/>
                <w:sz w:val="24"/>
              </w:rPr>
              <w:t>表2-</w:t>
            </w:r>
            <w:r>
              <w:rPr>
                <w:rFonts w:hint="eastAsia"/>
                <w:b/>
                <w:bCs/>
                <w:color w:val="auto"/>
                <w:kern w:val="0"/>
                <w:sz w:val="24"/>
                <w:lang w:val="en-US" w:eastAsia="zh-CN"/>
              </w:rPr>
              <w:t>4</w:t>
            </w:r>
            <w:r>
              <w:rPr>
                <w:rFonts w:hint="eastAsia"/>
                <w:b/>
                <w:bCs/>
                <w:color w:val="auto"/>
                <w:kern w:val="0"/>
                <w:sz w:val="24"/>
              </w:rPr>
              <w:t xml:space="preserve">    原辅材料用量及动力消耗一览表</w:t>
            </w:r>
          </w:p>
          <w:tbl>
            <w:tblPr>
              <w:tblStyle w:val="23"/>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988"/>
              <w:gridCol w:w="618"/>
              <w:gridCol w:w="850"/>
              <w:gridCol w:w="836"/>
              <w:gridCol w:w="742"/>
              <w:gridCol w:w="1160"/>
              <w:gridCol w:w="672"/>
              <w:gridCol w:w="673"/>
              <w:gridCol w:w="809"/>
            </w:tblGrid>
            <w:tr w14:paraId="0DFF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587" w:type="dxa"/>
                  <w:vAlign w:val="center"/>
                </w:tcPr>
                <w:p w14:paraId="401C2E74">
                  <w:pPr>
                    <w:widowControl/>
                    <w:jc w:val="center"/>
                    <w:textAlignment w:val="center"/>
                    <w:rPr>
                      <w:color w:val="auto"/>
                      <w:kern w:val="0"/>
                      <w:szCs w:val="21"/>
                      <w:lang w:bidi="ar"/>
                    </w:rPr>
                  </w:pPr>
                  <w:r>
                    <w:rPr>
                      <w:rFonts w:hint="eastAsia"/>
                      <w:color w:val="auto"/>
                      <w:kern w:val="0"/>
                      <w:szCs w:val="21"/>
                      <w:lang w:bidi="ar"/>
                    </w:rPr>
                    <w:t>项目</w:t>
                  </w:r>
                </w:p>
              </w:tc>
              <w:tc>
                <w:tcPr>
                  <w:tcW w:w="988" w:type="dxa"/>
                  <w:vAlign w:val="center"/>
                </w:tcPr>
                <w:p w14:paraId="75816988">
                  <w:pPr>
                    <w:widowControl/>
                    <w:jc w:val="center"/>
                    <w:textAlignment w:val="center"/>
                    <w:rPr>
                      <w:color w:val="auto"/>
                      <w:kern w:val="0"/>
                      <w:szCs w:val="21"/>
                      <w:lang w:bidi="ar"/>
                    </w:rPr>
                  </w:pPr>
                  <w:r>
                    <w:rPr>
                      <w:rFonts w:hint="eastAsia"/>
                      <w:color w:val="auto"/>
                      <w:kern w:val="0"/>
                      <w:szCs w:val="21"/>
                      <w:lang w:bidi="ar"/>
                    </w:rPr>
                    <w:t>名称</w:t>
                  </w:r>
                </w:p>
              </w:tc>
              <w:tc>
                <w:tcPr>
                  <w:tcW w:w="618" w:type="dxa"/>
                  <w:vAlign w:val="center"/>
                </w:tcPr>
                <w:p w14:paraId="25A62D65">
                  <w:pPr>
                    <w:widowControl/>
                    <w:jc w:val="center"/>
                    <w:textAlignment w:val="center"/>
                    <w:rPr>
                      <w:color w:val="auto"/>
                      <w:kern w:val="0"/>
                      <w:szCs w:val="21"/>
                      <w:lang w:bidi="ar"/>
                    </w:rPr>
                  </w:pPr>
                  <w:r>
                    <w:rPr>
                      <w:rFonts w:hint="eastAsia"/>
                      <w:color w:val="auto"/>
                      <w:kern w:val="0"/>
                      <w:szCs w:val="21"/>
                      <w:lang w:bidi="ar"/>
                    </w:rPr>
                    <w:t>单位</w:t>
                  </w:r>
                </w:p>
              </w:tc>
              <w:tc>
                <w:tcPr>
                  <w:tcW w:w="850" w:type="dxa"/>
                  <w:vAlign w:val="center"/>
                </w:tcPr>
                <w:p w14:paraId="519EA06B">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一期用量</w:t>
                  </w:r>
                </w:p>
              </w:tc>
              <w:tc>
                <w:tcPr>
                  <w:tcW w:w="836" w:type="dxa"/>
                  <w:vAlign w:val="center"/>
                </w:tcPr>
                <w:p w14:paraId="02BFBDA2">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二期用量</w:t>
                  </w:r>
                </w:p>
              </w:tc>
              <w:tc>
                <w:tcPr>
                  <w:tcW w:w="742" w:type="dxa"/>
                  <w:vAlign w:val="center"/>
                </w:tcPr>
                <w:p w14:paraId="739C9D15">
                  <w:pPr>
                    <w:widowControl/>
                    <w:jc w:val="center"/>
                    <w:textAlignment w:val="center"/>
                    <w:rPr>
                      <w:color w:val="auto"/>
                      <w:kern w:val="0"/>
                      <w:szCs w:val="21"/>
                      <w:lang w:bidi="ar"/>
                    </w:rPr>
                  </w:pPr>
                  <w:r>
                    <w:rPr>
                      <w:rFonts w:hint="eastAsia"/>
                      <w:color w:val="auto"/>
                      <w:kern w:val="0"/>
                      <w:szCs w:val="21"/>
                      <w:lang w:val="en-US" w:eastAsia="zh-CN" w:bidi="ar"/>
                    </w:rPr>
                    <w:t>年用</w:t>
                  </w:r>
                  <w:r>
                    <w:rPr>
                      <w:rFonts w:hint="eastAsia"/>
                      <w:color w:val="auto"/>
                      <w:kern w:val="0"/>
                      <w:szCs w:val="21"/>
                      <w:lang w:bidi="ar"/>
                    </w:rPr>
                    <w:t>量</w:t>
                  </w:r>
                </w:p>
              </w:tc>
              <w:tc>
                <w:tcPr>
                  <w:tcW w:w="1160" w:type="dxa"/>
                  <w:vAlign w:val="center"/>
                </w:tcPr>
                <w:p w14:paraId="135A1A5E">
                  <w:pPr>
                    <w:widowControl/>
                    <w:jc w:val="center"/>
                    <w:textAlignment w:val="center"/>
                    <w:rPr>
                      <w:rFonts w:hint="eastAsia" w:eastAsia="宋体"/>
                      <w:color w:val="auto"/>
                      <w:kern w:val="0"/>
                      <w:szCs w:val="21"/>
                      <w:lang w:eastAsia="zh-CN" w:bidi="ar"/>
                    </w:rPr>
                  </w:pPr>
                  <w:r>
                    <w:rPr>
                      <w:rFonts w:hint="eastAsia"/>
                      <w:color w:val="auto"/>
                      <w:kern w:val="0"/>
                      <w:szCs w:val="21"/>
                      <w:lang w:val="en-US" w:eastAsia="zh-CN" w:bidi="ar"/>
                    </w:rPr>
                    <w:t>储存方式</w:t>
                  </w:r>
                </w:p>
              </w:tc>
              <w:tc>
                <w:tcPr>
                  <w:tcW w:w="672" w:type="dxa"/>
                  <w:vAlign w:val="center"/>
                </w:tcPr>
                <w:p w14:paraId="59F338CC">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最大储存量t</w:t>
                  </w:r>
                </w:p>
              </w:tc>
              <w:tc>
                <w:tcPr>
                  <w:tcW w:w="673" w:type="dxa"/>
                  <w:vAlign w:val="center"/>
                </w:tcPr>
                <w:p w14:paraId="5F22EA3E">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储存</w:t>
                  </w:r>
                </w:p>
                <w:p w14:paraId="1633AEA6">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周期d</w:t>
                  </w:r>
                </w:p>
              </w:tc>
              <w:tc>
                <w:tcPr>
                  <w:tcW w:w="809" w:type="dxa"/>
                  <w:vAlign w:val="center"/>
                </w:tcPr>
                <w:p w14:paraId="7C876B75">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来源</w:t>
                  </w:r>
                </w:p>
              </w:tc>
            </w:tr>
            <w:tr w14:paraId="3CD56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587" w:type="dxa"/>
                  <w:vMerge w:val="restart"/>
                  <w:shd w:val="clear" w:color="auto" w:fill="auto"/>
                  <w:vAlign w:val="center"/>
                </w:tcPr>
                <w:p w14:paraId="7DB923FB">
                  <w:pPr>
                    <w:widowControl/>
                    <w:jc w:val="center"/>
                    <w:textAlignment w:val="center"/>
                    <w:rPr>
                      <w:rFonts w:hint="eastAsia"/>
                      <w:color w:val="auto"/>
                      <w:kern w:val="0"/>
                      <w:szCs w:val="21"/>
                      <w:lang w:bidi="ar"/>
                    </w:rPr>
                  </w:pPr>
                  <w:r>
                    <w:rPr>
                      <w:rFonts w:hint="eastAsia"/>
                      <w:color w:val="auto"/>
                      <w:kern w:val="0"/>
                      <w:szCs w:val="21"/>
                      <w:lang w:bidi="ar"/>
                    </w:rPr>
                    <w:t>原</w:t>
                  </w:r>
                </w:p>
                <w:p w14:paraId="7AE1C9F9">
                  <w:pPr>
                    <w:widowControl/>
                    <w:jc w:val="center"/>
                    <w:textAlignment w:val="center"/>
                    <w:rPr>
                      <w:rFonts w:hint="eastAsia"/>
                      <w:color w:val="auto"/>
                      <w:kern w:val="0"/>
                      <w:szCs w:val="21"/>
                      <w:lang w:bidi="ar"/>
                    </w:rPr>
                  </w:pPr>
                  <w:r>
                    <w:rPr>
                      <w:rFonts w:hint="eastAsia"/>
                      <w:color w:val="auto"/>
                      <w:kern w:val="0"/>
                      <w:szCs w:val="21"/>
                      <w:lang w:bidi="ar"/>
                    </w:rPr>
                    <w:t>辅</w:t>
                  </w:r>
                </w:p>
                <w:p w14:paraId="08053AAD">
                  <w:pPr>
                    <w:widowControl/>
                    <w:jc w:val="center"/>
                    <w:textAlignment w:val="center"/>
                    <w:rPr>
                      <w:rFonts w:hint="eastAsia"/>
                      <w:color w:val="auto"/>
                      <w:kern w:val="0"/>
                      <w:szCs w:val="21"/>
                      <w:lang w:val="en-US" w:eastAsia="zh-CN" w:bidi="ar"/>
                    </w:rPr>
                  </w:pPr>
                  <w:r>
                    <w:rPr>
                      <w:rFonts w:hint="eastAsia"/>
                      <w:color w:val="auto"/>
                      <w:kern w:val="0"/>
                      <w:szCs w:val="21"/>
                      <w:lang w:bidi="ar"/>
                    </w:rPr>
                    <w:t>料</w:t>
                  </w:r>
                </w:p>
              </w:tc>
              <w:tc>
                <w:tcPr>
                  <w:tcW w:w="988" w:type="dxa"/>
                  <w:shd w:val="clear" w:color="auto" w:fill="auto"/>
                  <w:vAlign w:val="center"/>
                </w:tcPr>
                <w:p w14:paraId="73E9E520">
                  <w:pPr>
                    <w:widowControl/>
                    <w:jc w:val="center"/>
                    <w:textAlignment w:val="center"/>
                    <w:rPr>
                      <w:rFonts w:hint="eastAsia"/>
                      <w:color w:val="auto"/>
                      <w:kern w:val="0"/>
                      <w:szCs w:val="21"/>
                      <w:lang w:val="en-US" w:eastAsia="zh-CN" w:bidi="ar"/>
                    </w:rPr>
                  </w:pPr>
                  <w:r>
                    <w:rPr>
                      <w:rFonts w:hint="default"/>
                      <w:color w:val="auto"/>
                      <w:kern w:val="0"/>
                      <w:szCs w:val="21"/>
                      <w:lang w:val="en-US" w:eastAsia="zh-CN" w:bidi="ar"/>
                    </w:rPr>
                    <w:t>玻璃纤维</w:t>
                  </w:r>
                </w:p>
              </w:tc>
              <w:tc>
                <w:tcPr>
                  <w:tcW w:w="618" w:type="dxa"/>
                  <w:shd w:val="clear" w:color="auto" w:fill="auto"/>
                  <w:vAlign w:val="center"/>
                </w:tcPr>
                <w:p w14:paraId="0121C1C7">
                  <w:pPr>
                    <w:widowControl/>
                    <w:jc w:val="center"/>
                    <w:textAlignment w:val="center"/>
                    <w:rPr>
                      <w:rFonts w:hint="eastAsia"/>
                      <w:color w:val="auto"/>
                      <w:kern w:val="0"/>
                      <w:szCs w:val="21"/>
                      <w:lang w:val="en-US" w:eastAsia="zh-CN" w:bidi="ar"/>
                    </w:rPr>
                  </w:pPr>
                  <w:r>
                    <w:rPr>
                      <w:rFonts w:hint="eastAsia"/>
                      <w:color w:val="auto"/>
                      <w:kern w:val="0"/>
                      <w:szCs w:val="21"/>
                      <w:lang w:bidi="ar"/>
                    </w:rPr>
                    <w:t>t/a</w:t>
                  </w:r>
                </w:p>
              </w:tc>
              <w:tc>
                <w:tcPr>
                  <w:tcW w:w="850" w:type="dxa"/>
                  <w:vAlign w:val="center"/>
                </w:tcPr>
                <w:p w14:paraId="7B81C2F1">
                  <w:pPr>
                    <w:widowControl/>
                    <w:jc w:val="center"/>
                    <w:textAlignment w:val="center"/>
                    <w:rPr>
                      <w:rFonts w:hint="default" w:ascii="Times New Roman" w:hAnsi="Times New Roman" w:eastAsia="宋体" w:cs="Times New Roman"/>
                      <w:color w:val="auto"/>
                      <w:kern w:val="0"/>
                      <w:szCs w:val="21"/>
                      <w:lang w:val="en-US" w:eastAsia="zh-CN" w:bidi="ar"/>
                    </w:rPr>
                  </w:pPr>
                </w:p>
              </w:tc>
              <w:tc>
                <w:tcPr>
                  <w:tcW w:w="836" w:type="dxa"/>
                  <w:vAlign w:val="center"/>
                </w:tcPr>
                <w:p w14:paraId="5E59CC13">
                  <w:pPr>
                    <w:widowControl/>
                    <w:jc w:val="center"/>
                    <w:textAlignment w:val="center"/>
                    <w:rPr>
                      <w:rFonts w:hint="default" w:ascii="Times New Roman" w:hAnsi="Times New Roman" w:eastAsia="宋体" w:cs="Times New Roman"/>
                      <w:color w:val="auto"/>
                      <w:kern w:val="0"/>
                      <w:szCs w:val="21"/>
                      <w:lang w:val="en-US" w:eastAsia="zh-CN" w:bidi="ar"/>
                    </w:rPr>
                  </w:pPr>
                </w:p>
              </w:tc>
              <w:tc>
                <w:tcPr>
                  <w:tcW w:w="742" w:type="dxa"/>
                  <w:vAlign w:val="center"/>
                </w:tcPr>
                <w:p w14:paraId="218D9D6C">
                  <w:pPr>
                    <w:keepNext w:val="0"/>
                    <w:keepLines w:val="0"/>
                    <w:widowControl/>
                    <w:suppressLineNumbers w:val="0"/>
                    <w:jc w:val="center"/>
                    <w:textAlignment w:val="center"/>
                    <w:rPr>
                      <w:rFonts w:hint="default"/>
                      <w:color w:val="auto"/>
                      <w:kern w:val="0"/>
                      <w:szCs w:val="21"/>
                      <w:lang w:val="en-US" w:bidi="ar"/>
                    </w:rPr>
                  </w:pPr>
                </w:p>
              </w:tc>
              <w:tc>
                <w:tcPr>
                  <w:tcW w:w="1160" w:type="dxa"/>
                  <w:vAlign w:val="center"/>
                </w:tcPr>
                <w:p w14:paraId="11148D53">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存放于</w:t>
                  </w:r>
                  <w:r>
                    <w:rPr>
                      <w:rFonts w:hint="default"/>
                      <w:color w:val="auto"/>
                      <w:szCs w:val="21"/>
                      <w:lang w:val="en-US" w:eastAsia="zh-CN"/>
                    </w:rPr>
                    <w:t>玻璃纤维</w:t>
                  </w:r>
                  <w:r>
                    <w:rPr>
                      <w:rFonts w:hint="eastAsia"/>
                      <w:color w:val="auto"/>
                      <w:szCs w:val="21"/>
                      <w:lang w:val="en-US" w:eastAsia="zh-CN"/>
                    </w:rPr>
                    <w:t>存放区</w:t>
                  </w:r>
                </w:p>
              </w:tc>
              <w:tc>
                <w:tcPr>
                  <w:tcW w:w="672" w:type="dxa"/>
                  <w:vAlign w:val="center"/>
                </w:tcPr>
                <w:p w14:paraId="773E2207">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200</w:t>
                  </w:r>
                </w:p>
              </w:tc>
              <w:tc>
                <w:tcPr>
                  <w:tcW w:w="673" w:type="dxa"/>
                  <w:vAlign w:val="center"/>
                </w:tcPr>
                <w:p w14:paraId="667F19B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60</w:t>
                  </w:r>
                </w:p>
              </w:tc>
              <w:tc>
                <w:tcPr>
                  <w:tcW w:w="809" w:type="dxa"/>
                  <w:vAlign w:val="center"/>
                </w:tcPr>
                <w:p w14:paraId="1809C643">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外购</w:t>
                  </w:r>
                </w:p>
              </w:tc>
            </w:tr>
            <w:tr w14:paraId="2750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587" w:type="dxa"/>
                  <w:vMerge w:val="continue"/>
                  <w:shd w:val="clear" w:color="auto" w:fill="auto"/>
                  <w:vAlign w:val="center"/>
                </w:tcPr>
                <w:p w14:paraId="5FD8C777">
                  <w:pPr>
                    <w:widowControl/>
                    <w:jc w:val="center"/>
                    <w:textAlignment w:val="center"/>
                    <w:rPr>
                      <w:rFonts w:hint="eastAsia"/>
                      <w:color w:val="auto"/>
                      <w:kern w:val="0"/>
                      <w:szCs w:val="21"/>
                      <w:lang w:val="en-US" w:eastAsia="zh-CN" w:bidi="ar"/>
                    </w:rPr>
                  </w:pPr>
                </w:p>
              </w:tc>
              <w:tc>
                <w:tcPr>
                  <w:tcW w:w="988" w:type="dxa"/>
                  <w:shd w:val="clear" w:color="auto" w:fill="auto"/>
                  <w:vAlign w:val="center"/>
                </w:tcPr>
                <w:p w14:paraId="7B1AD6BB">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无溶剂改性环氧树脂</w:t>
                  </w:r>
                </w:p>
              </w:tc>
              <w:tc>
                <w:tcPr>
                  <w:tcW w:w="618" w:type="dxa"/>
                  <w:shd w:val="clear" w:color="auto" w:fill="auto"/>
                  <w:vAlign w:val="center"/>
                </w:tcPr>
                <w:p w14:paraId="70C7BAD4">
                  <w:pPr>
                    <w:widowControl/>
                    <w:jc w:val="center"/>
                    <w:textAlignment w:val="center"/>
                    <w:rPr>
                      <w:rFonts w:hint="eastAsia"/>
                      <w:color w:val="auto"/>
                      <w:kern w:val="0"/>
                      <w:szCs w:val="21"/>
                      <w:lang w:val="en-US" w:eastAsia="zh-CN" w:bidi="ar"/>
                    </w:rPr>
                  </w:pPr>
                  <w:r>
                    <w:rPr>
                      <w:rFonts w:hint="eastAsia"/>
                      <w:color w:val="auto"/>
                      <w:kern w:val="0"/>
                      <w:szCs w:val="21"/>
                      <w:lang w:bidi="ar"/>
                    </w:rPr>
                    <w:t>t/a</w:t>
                  </w:r>
                </w:p>
              </w:tc>
              <w:tc>
                <w:tcPr>
                  <w:tcW w:w="850" w:type="dxa"/>
                  <w:vAlign w:val="center"/>
                </w:tcPr>
                <w:p w14:paraId="699F5CF5">
                  <w:pPr>
                    <w:widowControl/>
                    <w:jc w:val="center"/>
                    <w:textAlignment w:val="center"/>
                    <w:rPr>
                      <w:rFonts w:hint="default" w:ascii="Times New Roman" w:hAnsi="Times New Roman" w:eastAsia="宋体" w:cs="Times New Roman"/>
                      <w:color w:val="auto"/>
                      <w:kern w:val="0"/>
                      <w:szCs w:val="21"/>
                      <w:lang w:val="en-US" w:eastAsia="zh-CN" w:bidi="ar"/>
                    </w:rPr>
                  </w:pPr>
                </w:p>
              </w:tc>
              <w:tc>
                <w:tcPr>
                  <w:tcW w:w="836" w:type="dxa"/>
                  <w:vAlign w:val="center"/>
                </w:tcPr>
                <w:p w14:paraId="54065E31">
                  <w:pPr>
                    <w:widowControl/>
                    <w:jc w:val="center"/>
                    <w:textAlignment w:val="center"/>
                    <w:rPr>
                      <w:rFonts w:hint="default" w:ascii="Times New Roman" w:hAnsi="Times New Roman" w:eastAsia="宋体" w:cs="Times New Roman"/>
                      <w:color w:val="auto"/>
                      <w:kern w:val="0"/>
                      <w:szCs w:val="21"/>
                      <w:lang w:val="en-US" w:eastAsia="zh-CN" w:bidi="ar"/>
                    </w:rPr>
                  </w:pPr>
                </w:p>
              </w:tc>
              <w:tc>
                <w:tcPr>
                  <w:tcW w:w="742" w:type="dxa"/>
                  <w:vAlign w:val="center"/>
                </w:tcPr>
                <w:p w14:paraId="53DFD350">
                  <w:pPr>
                    <w:keepNext w:val="0"/>
                    <w:keepLines w:val="0"/>
                    <w:widowControl/>
                    <w:suppressLineNumbers w:val="0"/>
                    <w:jc w:val="center"/>
                    <w:textAlignment w:val="center"/>
                    <w:rPr>
                      <w:rFonts w:hint="default"/>
                      <w:color w:val="auto"/>
                      <w:kern w:val="0"/>
                      <w:szCs w:val="21"/>
                      <w:lang w:val="en-US" w:eastAsia="zh-CN" w:bidi="ar"/>
                    </w:rPr>
                  </w:pPr>
                </w:p>
              </w:tc>
              <w:tc>
                <w:tcPr>
                  <w:tcW w:w="1160" w:type="dxa"/>
                  <w:vAlign w:val="center"/>
                </w:tcPr>
                <w:p w14:paraId="18523F84">
                  <w:pPr>
                    <w:widowControl/>
                    <w:jc w:val="center"/>
                    <w:textAlignment w:val="center"/>
                    <w:rPr>
                      <w:rFonts w:hint="eastAsia" w:eastAsia="宋体"/>
                      <w:color w:val="auto"/>
                      <w:kern w:val="0"/>
                      <w:szCs w:val="21"/>
                      <w:lang w:eastAsia="zh-CN" w:bidi="ar"/>
                    </w:rPr>
                  </w:pPr>
                  <w:r>
                    <w:rPr>
                      <w:rFonts w:hint="eastAsia"/>
                      <w:color w:val="auto"/>
                      <w:szCs w:val="21"/>
                      <w:lang w:val="en-US" w:eastAsia="zh-CN"/>
                    </w:rPr>
                    <w:t>存放于</w:t>
                  </w:r>
                  <w:r>
                    <w:rPr>
                      <w:rFonts w:hint="default"/>
                      <w:color w:val="auto"/>
                      <w:szCs w:val="21"/>
                      <w:lang w:val="en-US" w:eastAsia="zh-CN"/>
                    </w:rPr>
                    <w:t>环氧树酯存放区</w:t>
                  </w:r>
                  <w:r>
                    <w:rPr>
                      <w:rFonts w:hint="eastAsia"/>
                      <w:color w:val="auto"/>
                      <w:szCs w:val="21"/>
                      <w:lang w:val="en-US" w:eastAsia="zh-CN"/>
                    </w:rPr>
                    <w:t>（</w:t>
                  </w:r>
                  <w:r>
                    <w:rPr>
                      <w:rFonts w:hint="eastAsia"/>
                      <w:color w:val="auto"/>
                      <w:kern w:val="0"/>
                      <w:szCs w:val="21"/>
                      <w:lang w:val="en-US" w:eastAsia="zh-CN" w:bidi="ar"/>
                    </w:rPr>
                    <w:t>桶装</w:t>
                  </w:r>
                  <w:r>
                    <w:rPr>
                      <w:rFonts w:hint="eastAsia"/>
                      <w:color w:val="auto"/>
                      <w:szCs w:val="21"/>
                      <w:lang w:val="en-US" w:eastAsia="zh-CN"/>
                    </w:rPr>
                    <w:t>）</w:t>
                  </w:r>
                </w:p>
              </w:tc>
              <w:tc>
                <w:tcPr>
                  <w:tcW w:w="672" w:type="dxa"/>
                  <w:vAlign w:val="center"/>
                </w:tcPr>
                <w:p w14:paraId="07918C29">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200</w:t>
                  </w:r>
                </w:p>
              </w:tc>
              <w:tc>
                <w:tcPr>
                  <w:tcW w:w="673" w:type="dxa"/>
                  <w:vAlign w:val="center"/>
                </w:tcPr>
                <w:p w14:paraId="477EDE7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50</w:t>
                  </w:r>
                </w:p>
              </w:tc>
              <w:tc>
                <w:tcPr>
                  <w:tcW w:w="809" w:type="dxa"/>
                  <w:vAlign w:val="center"/>
                </w:tcPr>
                <w:p w14:paraId="562F768C">
                  <w:pPr>
                    <w:widowControl/>
                    <w:jc w:val="center"/>
                    <w:textAlignment w:val="center"/>
                    <w:rPr>
                      <w:rFonts w:hint="eastAsia"/>
                      <w:color w:val="auto"/>
                      <w:kern w:val="0"/>
                      <w:szCs w:val="21"/>
                      <w:lang w:eastAsia="zh-CN" w:bidi="ar"/>
                    </w:rPr>
                  </w:pPr>
                  <w:r>
                    <w:rPr>
                      <w:rFonts w:hint="eastAsia"/>
                      <w:color w:val="auto"/>
                      <w:kern w:val="0"/>
                      <w:szCs w:val="21"/>
                      <w:lang w:val="en-US" w:eastAsia="zh-CN" w:bidi="ar"/>
                    </w:rPr>
                    <w:t>外购</w:t>
                  </w:r>
                </w:p>
              </w:tc>
            </w:tr>
            <w:tr w14:paraId="7BD8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587" w:type="dxa"/>
                  <w:vMerge w:val="continue"/>
                  <w:shd w:val="clear" w:color="auto" w:fill="auto"/>
                  <w:vAlign w:val="center"/>
                </w:tcPr>
                <w:p w14:paraId="135A5EC8">
                  <w:pPr>
                    <w:widowControl/>
                    <w:jc w:val="center"/>
                    <w:textAlignment w:val="center"/>
                    <w:rPr>
                      <w:rFonts w:hint="eastAsia"/>
                      <w:color w:val="auto"/>
                      <w:kern w:val="0"/>
                      <w:szCs w:val="21"/>
                      <w:lang w:val="en-US" w:eastAsia="zh-CN" w:bidi="ar"/>
                    </w:rPr>
                  </w:pPr>
                </w:p>
              </w:tc>
              <w:tc>
                <w:tcPr>
                  <w:tcW w:w="988" w:type="dxa"/>
                  <w:shd w:val="clear" w:color="auto" w:fill="auto"/>
                  <w:vAlign w:val="center"/>
                </w:tcPr>
                <w:p w14:paraId="455EEEFC">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改性液体酸酐固化剂</w:t>
                  </w:r>
                </w:p>
              </w:tc>
              <w:tc>
                <w:tcPr>
                  <w:tcW w:w="618" w:type="dxa"/>
                  <w:shd w:val="clear" w:color="auto" w:fill="auto"/>
                  <w:vAlign w:val="center"/>
                </w:tcPr>
                <w:p w14:paraId="3D3CAECA">
                  <w:pPr>
                    <w:widowControl/>
                    <w:jc w:val="center"/>
                    <w:textAlignment w:val="center"/>
                    <w:rPr>
                      <w:rFonts w:hint="eastAsia"/>
                      <w:color w:val="auto"/>
                      <w:kern w:val="0"/>
                      <w:szCs w:val="21"/>
                      <w:lang w:val="en-US" w:eastAsia="zh-CN" w:bidi="ar"/>
                    </w:rPr>
                  </w:pPr>
                  <w:r>
                    <w:rPr>
                      <w:rFonts w:hint="eastAsia"/>
                      <w:color w:val="auto"/>
                      <w:kern w:val="0"/>
                      <w:szCs w:val="21"/>
                      <w:lang w:bidi="ar"/>
                    </w:rPr>
                    <w:t>t/a</w:t>
                  </w:r>
                </w:p>
              </w:tc>
              <w:tc>
                <w:tcPr>
                  <w:tcW w:w="850" w:type="dxa"/>
                  <w:vAlign w:val="center"/>
                </w:tcPr>
                <w:p w14:paraId="20309818">
                  <w:pPr>
                    <w:widowControl/>
                    <w:jc w:val="center"/>
                    <w:textAlignment w:val="center"/>
                    <w:rPr>
                      <w:rFonts w:hint="default" w:ascii="Times New Roman" w:hAnsi="Times New Roman" w:eastAsia="宋体" w:cs="Times New Roman"/>
                      <w:color w:val="auto"/>
                      <w:kern w:val="0"/>
                      <w:szCs w:val="21"/>
                      <w:lang w:val="en-US" w:eastAsia="zh-CN" w:bidi="ar"/>
                    </w:rPr>
                  </w:pPr>
                </w:p>
              </w:tc>
              <w:tc>
                <w:tcPr>
                  <w:tcW w:w="836" w:type="dxa"/>
                  <w:vAlign w:val="center"/>
                </w:tcPr>
                <w:p w14:paraId="42C3E7AB">
                  <w:pPr>
                    <w:widowControl/>
                    <w:jc w:val="center"/>
                    <w:textAlignment w:val="center"/>
                    <w:rPr>
                      <w:rFonts w:hint="default" w:ascii="Times New Roman" w:hAnsi="Times New Roman" w:eastAsia="宋体" w:cs="Times New Roman"/>
                      <w:color w:val="auto"/>
                      <w:kern w:val="0"/>
                      <w:szCs w:val="21"/>
                      <w:lang w:val="en-US" w:eastAsia="zh-CN" w:bidi="ar"/>
                    </w:rPr>
                  </w:pPr>
                </w:p>
              </w:tc>
              <w:tc>
                <w:tcPr>
                  <w:tcW w:w="742" w:type="dxa"/>
                  <w:vAlign w:val="center"/>
                </w:tcPr>
                <w:p w14:paraId="5DC8C476">
                  <w:pPr>
                    <w:keepNext w:val="0"/>
                    <w:keepLines w:val="0"/>
                    <w:widowControl/>
                    <w:suppressLineNumbers w:val="0"/>
                    <w:jc w:val="center"/>
                    <w:textAlignment w:val="center"/>
                    <w:rPr>
                      <w:rFonts w:hint="default"/>
                      <w:color w:val="auto"/>
                      <w:kern w:val="0"/>
                      <w:szCs w:val="21"/>
                      <w:lang w:val="en-US" w:eastAsia="zh-CN" w:bidi="ar"/>
                    </w:rPr>
                  </w:pPr>
                </w:p>
              </w:tc>
              <w:tc>
                <w:tcPr>
                  <w:tcW w:w="1160" w:type="dxa"/>
                  <w:vAlign w:val="center"/>
                </w:tcPr>
                <w:p w14:paraId="2D8512D8">
                  <w:pPr>
                    <w:widowControl/>
                    <w:jc w:val="center"/>
                    <w:textAlignment w:val="center"/>
                    <w:rPr>
                      <w:rFonts w:hint="eastAsia" w:eastAsia="宋体"/>
                      <w:color w:val="auto"/>
                      <w:kern w:val="0"/>
                      <w:szCs w:val="21"/>
                      <w:lang w:val="en-US" w:eastAsia="zh-CN" w:bidi="ar"/>
                    </w:rPr>
                  </w:pPr>
                  <w:r>
                    <w:rPr>
                      <w:rFonts w:hint="eastAsia"/>
                      <w:color w:val="auto"/>
                      <w:spacing w:val="2"/>
                      <w:szCs w:val="21"/>
                      <w:lang w:val="en-US" w:eastAsia="zh-CN"/>
                    </w:rPr>
                    <w:t>存放于原料仓库（</w:t>
                  </w:r>
                  <w:r>
                    <w:rPr>
                      <w:rFonts w:hint="eastAsia"/>
                      <w:color w:val="auto"/>
                      <w:kern w:val="0"/>
                      <w:szCs w:val="21"/>
                      <w:lang w:val="en-US" w:eastAsia="zh-CN" w:bidi="ar"/>
                    </w:rPr>
                    <w:t>桶装</w:t>
                  </w:r>
                  <w:r>
                    <w:rPr>
                      <w:rFonts w:hint="eastAsia"/>
                      <w:color w:val="auto"/>
                      <w:spacing w:val="2"/>
                      <w:szCs w:val="21"/>
                      <w:lang w:val="en-US" w:eastAsia="zh-CN"/>
                    </w:rPr>
                    <w:t>）</w:t>
                  </w:r>
                </w:p>
              </w:tc>
              <w:tc>
                <w:tcPr>
                  <w:tcW w:w="672" w:type="dxa"/>
                  <w:vAlign w:val="center"/>
                </w:tcPr>
                <w:p w14:paraId="36CF6720">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100</w:t>
                  </w:r>
                </w:p>
              </w:tc>
              <w:tc>
                <w:tcPr>
                  <w:tcW w:w="673" w:type="dxa"/>
                  <w:vAlign w:val="center"/>
                </w:tcPr>
                <w:p w14:paraId="1198D803">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50</w:t>
                  </w:r>
                </w:p>
              </w:tc>
              <w:tc>
                <w:tcPr>
                  <w:tcW w:w="809" w:type="dxa"/>
                  <w:vAlign w:val="center"/>
                </w:tcPr>
                <w:p w14:paraId="7043F000">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外购</w:t>
                  </w:r>
                </w:p>
              </w:tc>
            </w:tr>
            <w:tr w14:paraId="3B24E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87" w:type="dxa"/>
                  <w:vMerge w:val="continue"/>
                  <w:shd w:val="clear" w:color="auto" w:fill="auto"/>
                  <w:vAlign w:val="center"/>
                </w:tcPr>
                <w:p w14:paraId="728AF8F1">
                  <w:pPr>
                    <w:widowControl/>
                    <w:jc w:val="center"/>
                    <w:textAlignment w:val="center"/>
                    <w:rPr>
                      <w:rFonts w:hint="eastAsia"/>
                      <w:color w:val="auto"/>
                      <w:kern w:val="0"/>
                      <w:szCs w:val="21"/>
                      <w:lang w:val="en-US" w:eastAsia="zh-CN" w:bidi="ar"/>
                    </w:rPr>
                  </w:pPr>
                </w:p>
              </w:tc>
              <w:tc>
                <w:tcPr>
                  <w:tcW w:w="988" w:type="dxa"/>
                  <w:shd w:val="clear" w:color="auto" w:fill="auto"/>
                  <w:vAlign w:val="center"/>
                </w:tcPr>
                <w:p w14:paraId="65FA0420">
                  <w:pPr>
                    <w:widowControl/>
                    <w:jc w:val="center"/>
                    <w:textAlignment w:val="center"/>
                    <w:rPr>
                      <w:rFonts w:hint="eastAsia"/>
                      <w:color w:val="auto"/>
                      <w:kern w:val="0"/>
                      <w:szCs w:val="21"/>
                      <w:lang w:val="en-US" w:eastAsia="zh-CN" w:bidi="ar"/>
                    </w:rPr>
                  </w:pPr>
                  <w:r>
                    <w:rPr>
                      <w:rFonts w:hint="default"/>
                      <w:color w:val="auto"/>
                      <w:kern w:val="0"/>
                      <w:szCs w:val="21"/>
                      <w:lang w:val="en-US" w:eastAsia="zh-CN" w:bidi="ar"/>
                    </w:rPr>
                    <w:t>钢丝</w:t>
                  </w:r>
                </w:p>
              </w:tc>
              <w:tc>
                <w:tcPr>
                  <w:tcW w:w="618" w:type="dxa"/>
                  <w:shd w:val="clear" w:color="auto" w:fill="auto"/>
                  <w:vAlign w:val="center"/>
                </w:tcPr>
                <w:p w14:paraId="29BF5D3F">
                  <w:pPr>
                    <w:widowControl/>
                    <w:jc w:val="center"/>
                    <w:textAlignment w:val="center"/>
                    <w:rPr>
                      <w:rFonts w:hint="eastAsia"/>
                      <w:color w:val="auto"/>
                      <w:kern w:val="0"/>
                      <w:szCs w:val="21"/>
                      <w:lang w:val="en-US" w:eastAsia="zh-CN" w:bidi="ar"/>
                    </w:rPr>
                  </w:pPr>
                  <w:r>
                    <w:rPr>
                      <w:rFonts w:hint="eastAsia"/>
                      <w:color w:val="auto"/>
                      <w:kern w:val="0"/>
                      <w:szCs w:val="21"/>
                      <w:lang w:bidi="ar"/>
                    </w:rPr>
                    <w:t>t/a</w:t>
                  </w:r>
                </w:p>
              </w:tc>
              <w:tc>
                <w:tcPr>
                  <w:tcW w:w="850" w:type="dxa"/>
                  <w:vAlign w:val="center"/>
                </w:tcPr>
                <w:p w14:paraId="5BA0CD17">
                  <w:pPr>
                    <w:widowControl/>
                    <w:jc w:val="center"/>
                    <w:textAlignment w:val="center"/>
                    <w:rPr>
                      <w:rFonts w:hint="default" w:ascii="Times New Roman" w:hAnsi="Times New Roman" w:eastAsia="宋体" w:cs="Times New Roman"/>
                      <w:color w:val="auto"/>
                      <w:kern w:val="0"/>
                      <w:szCs w:val="21"/>
                      <w:lang w:val="en-US" w:eastAsia="zh-CN" w:bidi="ar"/>
                    </w:rPr>
                  </w:pPr>
                </w:p>
              </w:tc>
              <w:tc>
                <w:tcPr>
                  <w:tcW w:w="836" w:type="dxa"/>
                  <w:vAlign w:val="center"/>
                </w:tcPr>
                <w:p w14:paraId="41AC1513">
                  <w:pPr>
                    <w:widowControl/>
                    <w:jc w:val="center"/>
                    <w:textAlignment w:val="center"/>
                    <w:rPr>
                      <w:rFonts w:hint="default" w:ascii="Times New Roman" w:hAnsi="Times New Roman" w:eastAsia="宋体" w:cs="Times New Roman"/>
                      <w:color w:val="auto"/>
                      <w:kern w:val="0"/>
                      <w:szCs w:val="21"/>
                      <w:lang w:val="en-US" w:eastAsia="zh-CN" w:bidi="ar"/>
                    </w:rPr>
                  </w:pPr>
                </w:p>
              </w:tc>
              <w:tc>
                <w:tcPr>
                  <w:tcW w:w="742" w:type="dxa"/>
                  <w:vAlign w:val="center"/>
                </w:tcPr>
                <w:p w14:paraId="0A59BC87">
                  <w:pPr>
                    <w:keepNext w:val="0"/>
                    <w:keepLines w:val="0"/>
                    <w:widowControl/>
                    <w:suppressLineNumbers w:val="0"/>
                    <w:jc w:val="center"/>
                    <w:textAlignment w:val="center"/>
                    <w:rPr>
                      <w:rFonts w:hint="default"/>
                      <w:color w:val="auto"/>
                      <w:kern w:val="0"/>
                      <w:szCs w:val="21"/>
                      <w:lang w:val="en-US" w:eastAsia="zh-CN" w:bidi="ar"/>
                    </w:rPr>
                  </w:pPr>
                </w:p>
              </w:tc>
              <w:tc>
                <w:tcPr>
                  <w:tcW w:w="1160" w:type="dxa"/>
                  <w:vAlign w:val="center"/>
                </w:tcPr>
                <w:p w14:paraId="3CD0ABE0">
                  <w:pPr>
                    <w:widowControl/>
                    <w:jc w:val="center"/>
                    <w:textAlignment w:val="center"/>
                    <w:rPr>
                      <w:rFonts w:hint="eastAsia" w:eastAsia="宋体"/>
                      <w:color w:val="auto"/>
                      <w:kern w:val="0"/>
                      <w:szCs w:val="21"/>
                      <w:lang w:val="en-US" w:eastAsia="zh-CN" w:bidi="ar"/>
                    </w:rPr>
                  </w:pPr>
                  <w:r>
                    <w:rPr>
                      <w:rFonts w:hint="eastAsia"/>
                      <w:color w:val="auto"/>
                      <w:spacing w:val="2"/>
                      <w:szCs w:val="21"/>
                      <w:lang w:val="en-US" w:eastAsia="zh-CN"/>
                    </w:rPr>
                    <w:t>存放于原料仓库</w:t>
                  </w:r>
                </w:p>
              </w:tc>
              <w:tc>
                <w:tcPr>
                  <w:tcW w:w="672" w:type="dxa"/>
                  <w:vAlign w:val="center"/>
                </w:tcPr>
                <w:p w14:paraId="60F295D8">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w:t>
                  </w:r>
                </w:p>
              </w:tc>
              <w:tc>
                <w:tcPr>
                  <w:tcW w:w="673" w:type="dxa"/>
                  <w:vAlign w:val="center"/>
                </w:tcPr>
                <w:p w14:paraId="1B31AF5C">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70</w:t>
                  </w:r>
                </w:p>
              </w:tc>
              <w:tc>
                <w:tcPr>
                  <w:tcW w:w="809" w:type="dxa"/>
                  <w:vAlign w:val="center"/>
                </w:tcPr>
                <w:p w14:paraId="5AB9F254">
                  <w:pPr>
                    <w:widowControl/>
                    <w:jc w:val="center"/>
                    <w:textAlignment w:val="center"/>
                    <w:rPr>
                      <w:rFonts w:hint="eastAsia"/>
                      <w:color w:val="auto"/>
                      <w:kern w:val="0"/>
                      <w:szCs w:val="21"/>
                      <w:lang w:val="en-US" w:eastAsia="zh-CN" w:bidi="ar"/>
                    </w:rPr>
                  </w:pPr>
                  <w:r>
                    <w:rPr>
                      <w:rFonts w:hint="eastAsia"/>
                      <w:color w:val="auto"/>
                      <w:kern w:val="0"/>
                      <w:szCs w:val="21"/>
                      <w:lang w:val="en-US" w:eastAsia="zh-CN" w:bidi="ar"/>
                    </w:rPr>
                    <w:t>外购</w:t>
                  </w:r>
                </w:p>
              </w:tc>
            </w:tr>
            <w:tr w14:paraId="46F6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587" w:type="dxa"/>
                  <w:vMerge w:val="continue"/>
                  <w:shd w:val="clear" w:color="auto" w:fill="auto"/>
                  <w:vAlign w:val="center"/>
                </w:tcPr>
                <w:p w14:paraId="454A9DB3">
                  <w:pPr>
                    <w:widowControl/>
                    <w:jc w:val="center"/>
                    <w:textAlignment w:val="center"/>
                    <w:rPr>
                      <w:rFonts w:hint="eastAsia"/>
                      <w:color w:val="auto"/>
                      <w:kern w:val="0"/>
                      <w:szCs w:val="21"/>
                      <w:lang w:val="en-US" w:eastAsia="zh-CN" w:bidi="ar"/>
                    </w:rPr>
                  </w:pPr>
                </w:p>
              </w:tc>
              <w:tc>
                <w:tcPr>
                  <w:tcW w:w="988" w:type="dxa"/>
                  <w:shd w:val="clear" w:color="auto" w:fill="auto"/>
                  <w:vAlign w:val="center"/>
                </w:tcPr>
                <w:p w14:paraId="78D046BF">
                  <w:pPr>
                    <w:widowControl/>
                    <w:jc w:val="center"/>
                    <w:textAlignment w:val="center"/>
                    <w:rPr>
                      <w:rFonts w:hint="eastAsia"/>
                      <w:color w:val="auto"/>
                      <w:kern w:val="0"/>
                      <w:szCs w:val="21"/>
                      <w:lang w:val="en-US" w:eastAsia="zh-CN" w:bidi="ar"/>
                    </w:rPr>
                  </w:pPr>
                  <w:r>
                    <w:rPr>
                      <w:rFonts w:hint="default"/>
                      <w:color w:val="auto"/>
                      <w:kern w:val="0"/>
                      <w:szCs w:val="21"/>
                      <w:lang w:val="en-US" w:eastAsia="zh-CN" w:bidi="ar"/>
                    </w:rPr>
                    <w:t>环氧粉末</w:t>
                  </w:r>
                </w:p>
              </w:tc>
              <w:tc>
                <w:tcPr>
                  <w:tcW w:w="618" w:type="dxa"/>
                  <w:shd w:val="clear" w:color="auto" w:fill="auto"/>
                  <w:vAlign w:val="center"/>
                </w:tcPr>
                <w:p w14:paraId="7C9CD182">
                  <w:pPr>
                    <w:widowControl/>
                    <w:jc w:val="center"/>
                    <w:textAlignment w:val="center"/>
                    <w:rPr>
                      <w:rFonts w:hint="eastAsia"/>
                      <w:color w:val="auto"/>
                      <w:kern w:val="0"/>
                      <w:szCs w:val="21"/>
                      <w:lang w:val="en-US" w:eastAsia="zh-CN" w:bidi="ar"/>
                    </w:rPr>
                  </w:pPr>
                  <w:r>
                    <w:rPr>
                      <w:rFonts w:hint="eastAsia"/>
                      <w:color w:val="auto"/>
                      <w:kern w:val="0"/>
                      <w:szCs w:val="21"/>
                      <w:lang w:bidi="ar"/>
                    </w:rPr>
                    <w:t>t/a</w:t>
                  </w:r>
                </w:p>
              </w:tc>
              <w:tc>
                <w:tcPr>
                  <w:tcW w:w="850" w:type="dxa"/>
                  <w:vAlign w:val="center"/>
                </w:tcPr>
                <w:p w14:paraId="19D0FD58">
                  <w:pPr>
                    <w:widowControl/>
                    <w:jc w:val="center"/>
                    <w:textAlignment w:val="center"/>
                    <w:rPr>
                      <w:rFonts w:hint="eastAsia" w:ascii="Times New Roman" w:hAnsi="Times New Roman" w:eastAsia="宋体" w:cs="Times New Roman"/>
                      <w:color w:val="auto"/>
                      <w:kern w:val="0"/>
                      <w:szCs w:val="21"/>
                      <w:lang w:val="en-US" w:eastAsia="zh-CN" w:bidi="ar"/>
                    </w:rPr>
                  </w:pPr>
                </w:p>
              </w:tc>
              <w:tc>
                <w:tcPr>
                  <w:tcW w:w="836" w:type="dxa"/>
                  <w:vAlign w:val="center"/>
                </w:tcPr>
                <w:p w14:paraId="7548E85B">
                  <w:pPr>
                    <w:widowControl/>
                    <w:jc w:val="center"/>
                    <w:textAlignment w:val="center"/>
                    <w:rPr>
                      <w:rFonts w:hint="eastAsia" w:ascii="Times New Roman" w:hAnsi="Times New Roman" w:eastAsia="宋体" w:cs="Times New Roman"/>
                      <w:color w:val="auto"/>
                      <w:kern w:val="0"/>
                      <w:szCs w:val="21"/>
                      <w:lang w:val="en-US" w:eastAsia="zh-CN" w:bidi="ar"/>
                    </w:rPr>
                  </w:pPr>
                </w:p>
              </w:tc>
              <w:tc>
                <w:tcPr>
                  <w:tcW w:w="742" w:type="dxa"/>
                  <w:vAlign w:val="center"/>
                </w:tcPr>
                <w:p w14:paraId="54251BD1">
                  <w:pPr>
                    <w:widowControl/>
                    <w:jc w:val="center"/>
                    <w:textAlignment w:val="center"/>
                    <w:rPr>
                      <w:rFonts w:hint="default"/>
                      <w:color w:val="auto"/>
                      <w:kern w:val="0"/>
                      <w:szCs w:val="21"/>
                      <w:lang w:val="en-US" w:eastAsia="zh-CN" w:bidi="ar"/>
                    </w:rPr>
                  </w:pPr>
                </w:p>
              </w:tc>
              <w:tc>
                <w:tcPr>
                  <w:tcW w:w="1160" w:type="dxa"/>
                  <w:vAlign w:val="center"/>
                </w:tcPr>
                <w:p w14:paraId="1C72B61A">
                  <w:pPr>
                    <w:widowControl/>
                    <w:jc w:val="center"/>
                    <w:textAlignment w:val="center"/>
                    <w:rPr>
                      <w:rFonts w:hint="eastAsia" w:eastAsia="宋体"/>
                      <w:color w:val="auto"/>
                      <w:kern w:val="0"/>
                      <w:szCs w:val="21"/>
                      <w:lang w:val="en-US" w:eastAsia="zh-CN" w:bidi="ar"/>
                    </w:rPr>
                  </w:pPr>
                  <w:r>
                    <w:rPr>
                      <w:rFonts w:hint="eastAsia"/>
                      <w:color w:val="auto"/>
                      <w:szCs w:val="21"/>
                      <w:lang w:val="en-US" w:eastAsia="zh-CN"/>
                    </w:rPr>
                    <w:t>存放于环氧树脂粉末存放区（</w:t>
                  </w:r>
                  <w:r>
                    <w:rPr>
                      <w:rFonts w:hint="eastAsia"/>
                      <w:color w:val="auto"/>
                      <w:kern w:val="0"/>
                      <w:szCs w:val="21"/>
                      <w:lang w:val="en-US" w:eastAsia="zh-CN" w:bidi="ar"/>
                    </w:rPr>
                    <w:t>桶装</w:t>
                  </w:r>
                  <w:r>
                    <w:rPr>
                      <w:rFonts w:hint="eastAsia"/>
                      <w:color w:val="auto"/>
                      <w:szCs w:val="21"/>
                      <w:lang w:val="en-US" w:eastAsia="zh-CN"/>
                    </w:rPr>
                    <w:t>）</w:t>
                  </w:r>
                </w:p>
              </w:tc>
              <w:tc>
                <w:tcPr>
                  <w:tcW w:w="672" w:type="dxa"/>
                  <w:vAlign w:val="center"/>
                </w:tcPr>
                <w:p w14:paraId="2E45A13D">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20</w:t>
                  </w:r>
                </w:p>
              </w:tc>
              <w:tc>
                <w:tcPr>
                  <w:tcW w:w="673" w:type="dxa"/>
                  <w:vAlign w:val="center"/>
                </w:tcPr>
                <w:p w14:paraId="664FB342">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90</w:t>
                  </w:r>
                </w:p>
              </w:tc>
              <w:tc>
                <w:tcPr>
                  <w:tcW w:w="809" w:type="dxa"/>
                  <w:vAlign w:val="center"/>
                </w:tcPr>
                <w:p w14:paraId="06D13498">
                  <w:pPr>
                    <w:widowControl/>
                    <w:jc w:val="center"/>
                    <w:textAlignment w:val="center"/>
                    <w:rPr>
                      <w:rFonts w:hint="default"/>
                      <w:color w:val="auto"/>
                      <w:kern w:val="0"/>
                      <w:szCs w:val="21"/>
                      <w:lang w:val="en-US" w:eastAsia="zh-CN" w:bidi="ar"/>
                    </w:rPr>
                  </w:pPr>
                  <w:r>
                    <w:rPr>
                      <w:rFonts w:hint="eastAsia"/>
                      <w:color w:val="auto"/>
                      <w:kern w:val="0"/>
                      <w:szCs w:val="21"/>
                      <w:lang w:val="en-US" w:eastAsia="zh-CN" w:bidi="ar"/>
                    </w:rPr>
                    <w:t>外购</w:t>
                  </w:r>
                </w:p>
              </w:tc>
            </w:tr>
            <w:tr w14:paraId="7491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587" w:type="dxa"/>
                  <w:vMerge w:val="restart"/>
                  <w:vAlign w:val="center"/>
                </w:tcPr>
                <w:p w14:paraId="33D7B740">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动力消耗</w:t>
                  </w:r>
                </w:p>
              </w:tc>
              <w:tc>
                <w:tcPr>
                  <w:tcW w:w="988" w:type="dxa"/>
                  <w:vAlign w:val="center"/>
                </w:tcPr>
                <w:p w14:paraId="6A21F927">
                  <w:pPr>
                    <w:widowControl/>
                    <w:jc w:val="center"/>
                    <w:textAlignment w:val="center"/>
                    <w:rPr>
                      <w:rFonts w:hint="eastAsia"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水</w:t>
                  </w:r>
                </w:p>
              </w:tc>
              <w:tc>
                <w:tcPr>
                  <w:tcW w:w="618" w:type="dxa"/>
                  <w:vAlign w:val="center"/>
                </w:tcPr>
                <w:p w14:paraId="66BB05FB">
                  <w:pPr>
                    <w:widowControl/>
                    <w:jc w:val="center"/>
                    <w:textAlignment w:val="center"/>
                    <w:rPr>
                      <w:rFonts w:hint="eastAsia" w:ascii="Times New Roman" w:hAnsi="Times New Roman" w:eastAsia="宋体" w:cs="Times New Roman"/>
                      <w:color w:val="auto"/>
                      <w:kern w:val="0"/>
                      <w:szCs w:val="21"/>
                      <w:highlight w:val="none"/>
                      <w:lang w:val="en-US" w:eastAsia="zh-CN" w:bidi="ar"/>
                    </w:rPr>
                  </w:pPr>
                  <w:r>
                    <w:rPr>
                      <w:rFonts w:hint="eastAsia" w:ascii="Times New Roman" w:hAnsi="Times New Roman" w:eastAsia="宋体" w:cs="Times New Roman"/>
                      <w:color w:val="auto"/>
                      <w:kern w:val="0"/>
                      <w:szCs w:val="21"/>
                      <w:highlight w:val="none"/>
                      <w:lang w:val="en-US" w:eastAsia="zh-CN" w:bidi="ar"/>
                    </w:rPr>
                    <w:t>t/a</w:t>
                  </w:r>
                </w:p>
              </w:tc>
              <w:tc>
                <w:tcPr>
                  <w:tcW w:w="850" w:type="dxa"/>
                  <w:vAlign w:val="center"/>
                </w:tcPr>
                <w:p w14:paraId="1EDFA369">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244.2</w:t>
                  </w:r>
                </w:p>
              </w:tc>
              <w:tc>
                <w:tcPr>
                  <w:tcW w:w="836" w:type="dxa"/>
                  <w:vAlign w:val="center"/>
                </w:tcPr>
                <w:p w14:paraId="54CFB812">
                  <w:pPr>
                    <w:widowControl/>
                    <w:jc w:val="center"/>
                    <w:textAlignment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178.2</w:t>
                  </w:r>
                </w:p>
              </w:tc>
              <w:tc>
                <w:tcPr>
                  <w:tcW w:w="742" w:type="dxa"/>
                  <w:vAlign w:val="center"/>
                </w:tcPr>
                <w:p w14:paraId="3E1EAF4D">
                  <w:pPr>
                    <w:widowControl/>
                    <w:jc w:val="center"/>
                    <w:textAlignment w:val="center"/>
                    <w:rPr>
                      <w:rFonts w:hint="default" w:ascii="Times New Roman" w:hAnsi="Times New Roman" w:eastAsia="宋体"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422.4</w:t>
                  </w:r>
                </w:p>
              </w:tc>
              <w:tc>
                <w:tcPr>
                  <w:tcW w:w="1160" w:type="dxa"/>
                  <w:vAlign w:val="center"/>
                </w:tcPr>
                <w:p w14:paraId="34181BAE">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w:t>
                  </w:r>
                </w:p>
              </w:tc>
              <w:tc>
                <w:tcPr>
                  <w:tcW w:w="672" w:type="dxa"/>
                  <w:vAlign w:val="center"/>
                </w:tcPr>
                <w:p w14:paraId="727E45E1">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w:t>
                  </w:r>
                </w:p>
              </w:tc>
              <w:tc>
                <w:tcPr>
                  <w:tcW w:w="673" w:type="dxa"/>
                  <w:vAlign w:val="center"/>
                </w:tcPr>
                <w:p w14:paraId="5060F3C1">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w:t>
                  </w:r>
                </w:p>
              </w:tc>
              <w:tc>
                <w:tcPr>
                  <w:tcW w:w="809" w:type="dxa"/>
                  <w:vAlign w:val="center"/>
                </w:tcPr>
                <w:p w14:paraId="42E673BD">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园区</w:t>
                  </w:r>
                </w:p>
              </w:tc>
            </w:tr>
            <w:tr w14:paraId="473A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87" w:type="dxa"/>
                  <w:vMerge w:val="continue"/>
                  <w:vAlign w:val="center"/>
                </w:tcPr>
                <w:p w14:paraId="22ECB12A">
                  <w:pPr>
                    <w:widowControl/>
                    <w:jc w:val="center"/>
                    <w:textAlignment w:val="center"/>
                    <w:rPr>
                      <w:rFonts w:hint="eastAsia" w:ascii="Times New Roman" w:hAnsi="Times New Roman" w:eastAsia="宋体" w:cs="Times New Roman"/>
                      <w:color w:val="auto"/>
                      <w:kern w:val="0"/>
                      <w:szCs w:val="21"/>
                      <w:lang w:val="en-US" w:eastAsia="zh-CN" w:bidi="ar"/>
                    </w:rPr>
                  </w:pPr>
                </w:p>
              </w:tc>
              <w:tc>
                <w:tcPr>
                  <w:tcW w:w="988" w:type="dxa"/>
                  <w:vAlign w:val="center"/>
                </w:tcPr>
                <w:p w14:paraId="71FCCFCB">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电</w:t>
                  </w:r>
                </w:p>
              </w:tc>
              <w:tc>
                <w:tcPr>
                  <w:tcW w:w="618" w:type="dxa"/>
                  <w:vAlign w:val="center"/>
                </w:tcPr>
                <w:p w14:paraId="5246054D">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KWh/a</w:t>
                  </w:r>
                </w:p>
              </w:tc>
              <w:tc>
                <w:tcPr>
                  <w:tcW w:w="850" w:type="dxa"/>
                  <w:vAlign w:val="center"/>
                </w:tcPr>
                <w:p w14:paraId="35A24553">
                  <w:pPr>
                    <w:widowControl/>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3500</w:t>
                  </w:r>
                </w:p>
              </w:tc>
              <w:tc>
                <w:tcPr>
                  <w:tcW w:w="836" w:type="dxa"/>
                  <w:vAlign w:val="center"/>
                </w:tcPr>
                <w:p w14:paraId="6C97A550">
                  <w:pPr>
                    <w:widowControl/>
                    <w:jc w:val="center"/>
                    <w:textAlignment w:val="center"/>
                    <w:rPr>
                      <w:rFonts w:hint="default" w:cs="Times New Roman"/>
                      <w:color w:val="auto"/>
                      <w:kern w:val="0"/>
                      <w:szCs w:val="21"/>
                      <w:lang w:val="en-US" w:eastAsia="zh-CN" w:bidi="ar"/>
                    </w:rPr>
                  </w:pPr>
                  <w:r>
                    <w:rPr>
                      <w:rFonts w:hint="eastAsia" w:cs="Times New Roman"/>
                      <w:color w:val="auto"/>
                      <w:kern w:val="0"/>
                      <w:szCs w:val="21"/>
                      <w:lang w:val="en-US" w:eastAsia="zh-CN" w:bidi="ar"/>
                    </w:rPr>
                    <w:t>1000</w:t>
                  </w:r>
                </w:p>
              </w:tc>
              <w:tc>
                <w:tcPr>
                  <w:tcW w:w="742" w:type="dxa"/>
                  <w:vAlign w:val="center"/>
                </w:tcPr>
                <w:p w14:paraId="144349B0">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4500</w:t>
                  </w:r>
                </w:p>
              </w:tc>
              <w:tc>
                <w:tcPr>
                  <w:tcW w:w="1160" w:type="dxa"/>
                  <w:vAlign w:val="center"/>
                </w:tcPr>
                <w:p w14:paraId="4F1950E4">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w:t>
                  </w:r>
                </w:p>
              </w:tc>
              <w:tc>
                <w:tcPr>
                  <w:tcW w:w="672" w:type="dxa"/>
                  <w:vAlign w:val="center"/>
                </w:tcPr>
                <w:p w14:paraId="117993B3">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w:t>
                  </w:r>
                </w:p>
              </w:tc>
              <w:tc>
                <w:tcPr>
                  <w:tcW w:w="673" w:type="dxa"/>
                  <w:vAlign w:val="center"/>
                </w:tcPr>
                <w:p w14:paraId="2DE8083C">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w:t>
                  </w:r>
                </w:p>
              </w:tc>
              <w:tc>
                <w:tcPr>
                  <w:tcW w:w="809" w:type="dxa"/>
                  <w:vAlign w:val="center"/>
                </w:tcPr>
                <w:p w14:paraId="12FB47FE">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园区</w:t>
                  </w:r>
                </w:p>
              </w:tc>
            </w:tr>
          </w:tbl>
          <w:p w14:paraId="38617728">
            <w:pPr>
              <w:keepNext w:val="0"/>
              <w:keepLines w:val="0"/>
              <w:pageBreakBefore w:val="0"/>
              <w:widowControl/>
              <w:numPr>
                <w:ilvl w:val="0"/>
                <w:numId w:val="2"/>
              </w:numPr>
              <w:kinsoku/>
              <w:wordWrap/>
              <w:overflowPunct/>
              <w:topLinePunct w:val="0"/>
              <w:autoSpaceDE/>
              <w:autoSpaceDN/>
              <w:bidi w:val="0"/>
              <w:adjustRightInd/>
              <w:snapToGrid/>
              <w:spacing w:before="95" w:beforeLines="30" w:line="360" w:lineRule="auto"/>
              <w:ind w:left="0" w:leftChars="0" w:firstLine="480" w:firstLineChars="200"/>
              <w:jc w:val="left"/>
              <w:textAlignment w:val="auto"/>
              <w:rPr>
                <w:rFonts w:hint="default"/>
                <w:color w:val="auto"/>
                <w:kern w:val="0"/>
                <w:sz w:val="24"/>
                <w:lang w:eastAsia="zh-CN" w:bidi="ar"/>
              </w:rPr>
            </w:pPr>
            <w:r>
              <w:rPr>
                <w:rFonts w:hint="default"/>
                <w:color w:val="auto"/>
                <w:kern w:val="0"/>
                <w:sz w:val="24"/>
                <w:lang w:eastAsia="zh-CN" w:bidi="ar"/>
              </w:rPr>
              <w:t>主要原辅材料理化性质分析</w:t>
            </w:r>
          </w:p>
          <w:p w14:paraId="20C2C18A">
            <w:pPr>
              <w:autoSpaceDE w:val="0"/>
              <w:autoSpaceDN w:val="0"/>
              <w:adjustRightInd w:val="0"/>
              <w:snapToGrid w:val="0"/>
              <w:ind w:firstLine="1446" w:firstLineChars="600"/>
              <w:rPr>
                <w:rFonts w:hint="eastAsia"/>
                <w:b/>
                <w:bCs/>
                <w:color w:val="auto"/>
                <w:kern w:val="0"/>
                <w:sz w:val="24"/>
              </w:rPr>
            </w:pPr>
            <w:r>
              <w:rPr>
                <w:rFonts w:hint="eastAsia"/>
                <w:b/>
                <w:bCs/>
                <w:color w:val="auto"/>
                <w:kern w:val="0"/>
                <w:sz w:val="24"/>
              </w:rPr>
              <w:t>表2-</w:t>
            </w:r>
            <w:r>
              <w:rPr>
                <w:rFonts w:hint="eastAsia"/>
                <w:b/>
                <w:bCs/>
                <w:color w:val="auto"/>
                <w:kern w:val="0"/>
                <w:sz w:val="24"/>
                <w:lang w:val="en-US" w:eastAsia="zh-CN"/>
              </w:rPr>
              <w:t>5</w:t>
            </w:r>
            <w:r>
              <w:rPr>
                <w:rFonts w:hint="eastAsia"/>
                <w:b/>
                <w:bCs/>
                <w:color w:val="auto"/>
                <w:kern w:val="0"/>
                <w:sz w:val="24"/>
              </w:rPr>
              <w:t xml:space="preserve">    本项目主要原辅材料理化性质一览表</w:t>
            </w:r>
          </w:p>
          <w:tbl>
            <w:tblPr>
              <w:tblStyle w:val="23"/>
              <w:tblW w:w="8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318"/>
              <w:gridCol w:w="5117"/>
              <w:gridCol w:w="932"/>
            </w:tblGrid>
            <w:tr w14:paraId="121E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shd w:val="clear" w:color="auto" w:fill="auto"/>
                  <w:vAlign w:val="center"/>
                </w:tcPr>
                <w:p w14:paraId="1517EC18">
                  <w:pPr>
                    <w:widowControl/>
                    <w:jc w:val="center"/>
                    <w:textAlignment w:val="center"/>
                    <w:rPr>
                      <w:rFonts w:hint="eastAsia"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bidi="ar"/>
                    </w:rPr>
                    <w:t>序号</w:t>
                  </w:r>
                </w:p>
              </w:tc>
              <w:tc>
                <w:tcPr>
                  <w:tcW w:w="1318" w:type="dxa"/>
                  <w:shd w:val="clear" w:color="auto" w:fill="auto"/>
                  <w:vAlign w:val="center"/>
                </w:tcPr>
                <w:p w14:paraId="64308166">
                  <w:pPr>
                    <w:widowControl/>
                    <w:jc w:val="center"/>
                    <w:textAlignment w:val="center"/>
                    <w:rPr>
                      <w:rFonts w:hint="eastAsia"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bidi="ar"/>
                    </w:rPr>
                    <w:t>名称</w:t>
                  </w:r>
                </w:p>
              </w:tc>
              <w:tc>
                <w:tcPr>
                  <w:tcW w:w="5117" w:type="dxa"/>
                  <w:shd w:val="clear" w:color="auto" w:fill="auto"/>
                  <w:vAlign w:val="center"/>
                </w:tcPr>
                <w:p w14:paraId="3DA4CB37">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eastAsia="zh-CN" w:bidi="ar"/>
                    </w:rPr>
                    <w:t>理化性质</w:t>
                  </w:r>
                </w:p>
              </w:tc>
              <w:tc>
                <w:tcPr>
                  <w:tcW w:w="932" w:type="dxa"/>
                  <w:shd w:val="clear" w:color="auto" w:fill="auto"/>
                  <w:vAlign w:val="center"/>
                </w:tcPr>
                <w:p w14:paraId="3AAEB40B">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color w:val="auto"/>
                      <w:lang w:val="en-US" w:eastAsia="zh-CN"/>
                    </w:rPr>
                    <w:t>用途</w:t>
                  </w:r>
                </w:p>
              </w:tc>
            </w:tr>
            <w:tr w14:paraId="6201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Align w:val="center"/>
                </w:tcPr>
                <w:p w14:paraId="09F7CDC2">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1</w:t>
                  </w:r>
                </w:p>
              </w:tc>
              <w:tc>
                <w:tcPr>
                  <w:tcW w:w="1318" w:type="dxa"/>
                  <w:shd w:val="clear" w:color="auto" w:fill="auto"/>
                  <w:vAlign w:val="center"/>
                </w:tcPr>
                <w:p w14:paraId="3DCD8FB6">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无溶剂改性环氧树脂</w:t>
                  </w:r>
                </w:p>
              </w:tc>
              <w:tc>
                <w:tcPr>
                  <w:tcW w:w="5117" w:type="dxa"/>
                  <w:vAlign w:val="center"/>
                </w:tcPr>
                <w:p w14:paraId="0D5D2C66">
                  <w:pPr>
                    <w:widowControl/>
                    <w:jc w:val="center"/>
                    <w:textAlignment w:val="center"/>
                    <w:rPr>
                      <w:rFonts w:hint="eastAsia" w:ascii="Times New Roman" w:hAnsi="Times New Roman" w:eastAsia="宋体" w:cs="Times New Roman"/>
                      <w:color w:val="auto"/>
                      <w:kern w:val="0"/>
                      <w:szCs w:val="21"/>
                      <w:highlight w:val="yellow"/>
                      <w:lang w:eastAsia="zh-CN" w:bidi="ar"/>
                    </w:rPr>
                  </w:pPr>
                  <w:r>
                    <w:rPr>
                      <w:rFonts w:hint="eastAsia" w:cs="Times New Roman"/>
                      <w:color w:val="auto"/>
                      <w:kern w:val="0"/>
                      <w:szCs w:val="21"/>
                      <w:highlight w:val="none"/>
                      <w:lang w:val="en-US" w:eastAsia="zh-CN" w:bidi="ar"/>
                    </w:rPr>
                    <w:t>本项目使用的</w:t>
                  </w:r>
                  <w:r>
                    <w:rPr>
                      <w:rFonts w:hint="eastAsia" w:ascii="Times New Roman" w:hAnsi="Times New Roman" w:eastAsia="宋体" w:cs="Times New Roman"/>
                      <w:color w:val="auto"/>
                      <w:kern w:val="0"/>
                      <w:szCs w:val="21"/>
                      <w:lang w:val="en-US" w:eastAsia="zh-CN" w:bidi="ar"/>
                    </w:rPr>
                    <w:t>无溶剂改性环氧树脂成分为：无溶剂改性环氧树</w:t>
                  </w:r>
                  <w:r>
                    <w:rPr>
                      <w:rFonts w:hint="eastAsia" w:ascii="Times New Roman" w:hAnsi="Times New Roman" w:eastAsia="宋体" w:cs="Times New Roman"/>
                      <w:color w:val="auto"/>
                      <w:kern w:val="0"/>
                      <w:szCs w:val="21"/>
                      <w:highlight w:val="none"/>
                      <w:lang w:val="en-US" w:eastAsia="zh-CN" w:bidi="ar"/>
                    </w:rPr>
                    <w:t>脂</w:t>
                  </w:r>
                  <w:r>
                    <w:rPr>
                      <w:rFonts w:hint="eastAsia" w:ascii="Times New Roman" w:hAnsi="Times New Roman" w:eastAsia="宋体" w:cs="Times New Roman"/>
                      <w:color w:val="auto"/>
                      <w:kern w:val="0"/>
                      <w:szCs w:val="21"/>
                      <w:highlight w:val="none"/>
                      <w:lang w:bidi="ar"/>
                    </w:rPr>
                    <w:t>100%</w:t>
                  </w:r>
                  <w:r>
                    <w:rPr>
                      <w:rFonts w:hint="eastAsia" w:ascii="Times New Roman" w:hAnsi="Times New Roman" w:eastAsia="宋体" w:cs="Times New Roman"/>
                      <w:color w:val="auto"/>
                      <w:kern w:val="0"/>
                      <w:szCs w:val="21"/>
                      <w:highlight w:val="none"/>
                      <w:lang w:eastAsia="zh-CN" w:bidi="ar"/>
                    </w:rPr>
                    <w:t>；无色或近似无色至浅黄透明黏稠液体，极轻微特征气味；</w:t>
                  </w:r>
                  <w:r>
                    <w:rPr>
                      <w:rFonts w:hint="eastAsia" w:ascii="Times New Roman" w:hAnsi="Times New Roman" w:eastAsia="宋体" w:cs="Times New Roman"/>
                      <w:color w:val="auto"/>
                      <w:kern w:val="0"/>
                      <w:szCs w:val="21"/>
                      <w:highlight w:val="none"/>
                      <w:lang w:val="en-US" w:eastAsia="zh-CN" w:bidi="ar"/>
                    </w:rPr>
                    <w:t>闪点≥140℃，</w:t>
                  </w:r>
                  <w:r>
                    <w:rPr>
                      <w:rFonts w:hint="eastAsia" w:ascii="Times New Roman" w:hAnsi="Times New Roman" w:eastAsia="宋体" w:cs="Times New Roman"/>
                      <w:color w:val="auto"/>
                      <w:kern w:val="0"/>
                      <w:szCs w:val="21"/>
                      <w:highlight w:val="none"/>
                      <w:lang w:bidi="ar"/>
                    </w:rPr>
                    <w:t>比重1.16 g/cm</w:t>
                  </w:r>
                  <w:r>
                    <w:rPr>
                      <w:rFonts w:hint="eastAsia" w:ascii="Times New Roman" w:hAnsi="Times New Roman" w:eastAsia="宋体" w:cs="Times New Roman"/>
                      <w:color w:val="auto"/>
                      <w:kern w:val="0"/>
                      <w:szCs w:val="21"/>
                      <w:highlight w:val="none"/>
                      <w:vertAlign w:val="superscript"/>
                      <w:lang w:val="en-US" w:eastAsia="zh-CN" w:bidi="ar"/>
                    </w:rPr>
                    <w:t>3</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急性毒性:摄入，LD</w:t>
                  </w:r>
                  <w:r>
                    <w:rPr>
                      <w:rFonts w:hint="eastAsia" w:ascii="Times New Roman" w:hAnsi="Times New Roman" w:eastAsia="宋体" w:cs="Times New Roman"/>
                      <w:color w:val="auto"/>
                      <w:kern w:val="0"/>
                      <w:szCs w:val="21"/>
                      <w:highlight w:val="none"/>
                      <w:vertAlign w:val="subscript"/>
                      <w:lang w:bidi="ar"/>
                    </w:rPr>
                    <w:t>50</w:t>
                  </w:r>
                  <w:r>
                    <w:rPr>
                      <w:rFonts w:hint="eastAsia" w:ascii="Times New Roman" w:hAnsi="Times New Roman" w:eastAsia="宋体" w:cs="Times New Roman"/>
                      <w:color w:val="auto"/>
                      <w:kern w:val="0"/>
                      <w:szCs w:val="21"/>
                      <w:highlight w:val="none"/>
                      <w:lang w:bidi="ar"/>
                    </w:rPr>
                    <w:t>，大鼠&gt;</w:t>
                  </w:r>
                  <w:r>
                    <w:rPr>
                      <w:rFonts w:hint="eastAsia" w:ascii="Times New Roman" w:hAnsi="Times New Roman" w:eastAsia="宋体" w:cs="Times New Roman"/>
                      <w:color w:val="auto"/>
                      <w:kern w:val="0"/>
                      <w:szCs w:val="21"/>
                      <w:highlight w:val="none"/>
                      <w:lang w:val="en-US" w:eastAsia="zh-CN" w:bidi="ar"/>
                    </w:rPr>
                    <w:t>2000</w:t>
                  </w:r>
                  <w:r>
                    <w:rPr>
                      <w:rFonts w:hint="eastAsia" w:ascii="Times New Roman" w:hAnsi="Times New Roman" w:eastAsia="宋体" w:cs="Times New Roman"/>
                      <w:color w:val="auto"/>
                      <w:kern w:val="0"/>
                      <w:szCs w:val="21"/>
                      <w:highlight w:val="none"/>
                      <w:lang w:bidi="ar"/>
                    </w:rPr>
                    <w:t>mg/kg</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皮肤吸收，LD</w:t>
                  </w:r>
                  <w:r>
                    <w:rPr>
                      <w:rFonts w:hint="eastAsia" w:ascii="Times New Roman" w:hAnsi="Times New Roman" w:eastAsia="宋体" w:cs="Times New Roman"/>
                      <w:color w:val="auto"/>
                      <w:kern w:val="0"/>
                      <w:szCs w:val="21"/>
                      <w:highlight w:val="none"/>
                      <w:vertAlign w:val="subscript"/>
                      <w:lang w:bidi="ar"/>
                    </w:rPr>
                    <w:t>50</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兔子&gt;2000mg/kg</w:t>
                  </w:r>
                  <w:r>
                    <w:rPr>
                      <w:rFonts w:hint="eastAsia" w:ascii="Times New Roman" w:hAnsi="Times New Roman" w:eastAsia="宋体" w:cs="Times New Roman"/>
                      <w:color w:val="auto"/>
                      <w:kern w:val="0"/>
                      <w:szCs w:val="21"/>
                      <w:highlight w:val="none"/>
                      <w:lang w:eastAsia="zh-CN" w:bidi="ar"/>
                    </w:rPr>
                    <w:t>。</w:t>
                  </w:r>
                </w:p>
              </w:tc>
              <w:tc>
                <w:tcPr>
                  <w:tcW w:w="932" w:type="dxa"/>
                  <w:vMerge w:val="restart"/>
                  <w:vAlign w:val="center"/>
                </w:tcPr>
                <w:p w14:paraId="2220B37E">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用于玻璃纤维结构层缠绕、固化阶段</w:t>
                  </w:r>
                </w:p>
              </w:tc>
            </w:tr>
            <w:tr w14:paraId="1D7B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Align w:val="center"/>
                </w:tcPr>
                <w:p w14:paraId="0969C6FA">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2</w:t>
                  </w:r>
                </w:p>
              </w:tc>
              <w:tc>
                <w:tcPr>
                  <w:tcW w:w="1318" w:type="dxa"/>
                  <w:shd w:val="clear" w:color="auto" w:fill="auto"/>
                  <w:vAlign w:val="center"/>
                </w:tcPr>
                <w:p w14:paraId="28D7CE92">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改性液体酸酐固化剂</w:t>
                  </w:r>
                </w:p>
              </w:tc>
              <w:tc>
                <w:tcPr>
                  <w:tcW w:w="5117" w:type="dxa"/>
                  <w:vAlign w:val="center"/>
                </w:tcPr>
                <w:p w14:paraId="34669338">
                  <w:pPr>
                    <w:widowControl/>
                    <w:jc w:val="center"/>
                    <w:textAlignment w:val="center"/>
                    <w:rPr>
                      <w:rFonts w:hint="eastAsia" w:ascii="Times New Roman" w:hAnsi="Times New Roman" w:eastAsia="宋体" w:cs="Times New Roman"/>
                      <w:color w:val="auto"/>
                      <w:kern w:val="0"/>
                      <w:szCs w:val="21"/>
                      <w:highlight w:val="yellow"/>
                      <w:lang w:bidi="ar"/>
                    </w:rPr>
                  </w:pPr>
                  <w:r>
                    <w:rPr>
                      <w:rFonts w:hint="eastAsia" w:ascii="Times New Roman" w:hAnsi="Times New Roman" w:eastAsia="宋体" w:cs="Times New Roman"/>
                      <w:color w:val="auto"/>
                      <w:kern w:val="0"/>
                      <w:szCs w:val="21"/>
                      <w:highlight w:val="none"/>
                      <w:lang w:bidi="ar"/>
                    </w:rPr>
                    <w:t>本项目使用的固化剂成分为</w:t>
                  </w:r>
                  <w:r>
                    <w:rPr>
                      <w:rFonts w:hint="eastAsia"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val="en-US" w:eastAsia="zh-CN" w:bidi="ar"/>
                    </w:rPr>
                    <w:t>改性液体酸酐固化剂</w:t>
                  </w:r>
                  <w:r>
                    <w:rPr>
                      <w:rFonts w:hint="eastAsia" w:ascii="Times New Roman" w:hAnsi="Times New Roman" w:eastAsia="宋体" w:cs="Times New Roman"/>
                      <w:color w:val="auto"/>
                      <w:kern w:val="0"/>
                      <w:szCs w:val="21"/>
                      <w:highlight w:val="none"/>
                      <w:lang w:bidi="ar"/>
                    </w:rPr>
                    <w:t>100%</w:t>
                  </w:r>
                  <w:r>
                    <w:rPr>
                      <w:rFonts w:hint="eastAsia" w:ascii="Times New Roman" w:hAnsi="Times New Roman" w:eastAsia="宋体" w:cs="Times New Roman"/>
                      <w:color w:val="auto"/>
                      <w:kern w:val="0"/>
                      <w:szCs w:val="21"/>
                      <w:highlight w:val="none"/>
                      <w:lang w:eastAsia="zh-CN" w:bidi="ar"/>
                    </w:rPr>
                    <w:t>；浅黄至黄色或无色透明液体，</w:t>
                  </w:r>
                  <w:r>
                    <w:rPr>
                      <w:rFonts w:hint="eastAsia" w:ascii="Times New Roman" w:hAnsi="Times New Roman" w:eastAsia="宋体" w:cs="Times New Roman"/>
                      <w:color w:val="auto"/>
                      <w:kern w:val="0"/>
                      <w:szCs w:val="21"/>
                      <w:highlight w:val="none"/>
                      <w:lang w:bidi="ar"/>
                    </w:rPr>
                    <w:t>轻微气味</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val="en-US" w:eastAsia="zh-CN" w:bidi="ar"/>
                    </w:rPr>
                    <w:t>闪点≥140℃，</w:t>
                  </w:r>
                  <w:r>
                    <w:rPr>
                      <w:rFonts w:hint="eastAsia" w:ascii="Times New Roman" w:hAnsi="Times New Roman" w:eastAsia="宋体" w:cs="Times New Roman"/>
                      <w:color w:val="auto"/>
                      <w:kern w:val="0"/>
                      <w:szCs w:val="21"/>
                      <w:highlight w:val="none"/>
                      <w:lang w:bidi="ar"/>
                    </w:rPr>
                    <w:t>比重1.</w:t>
                  </w:r>
                  <w:r>
                    <w:rPr>
                      <w:rFonts w:hint="eastAsia" w:ascii="Times New Roman" w:hAnsi="Times New Roman" w:eastAsia="宋体" w:cs="Times New Roman"/>
                      <w:color w:val="auto"/>
                      <w:kern w:val="0"/>
                      <w:szCs w:val="21"/>
                      <w:highlight w:val="none"/>
                      <w:lang w:val="en-US" w:eastAsia="zh-CN" w:bidi="ar"/>
                    </w:rPr>
                    <w:t>2</w:t>
                  </w:r>
                  <w:r>
                    <w:rPr>
                      <w:rFonts w:hint="eastAsia" w:ascii="Times New Roman" w:hAnsi="Times New Roman" w:eastAsia="宋体" w:cs="Times New Roman"/>
                      <w:color w:val="auto"/>
                      <w:kern w:val="0"/>
                      <w:szCs w:val="21"/>
                      <w:highlight w:val="none"/>
                      <w:lang w:bidi="ar"/>
                    </w:rPr>
                    <w:t>g/cm</w:t>
                  </w:r>
                  <w:r>
                    <w:rPr>
                      <w:rFonts w:hint="eastAsia" w:ascii="Times New Roman" w:hAnsi="Times New Roman" w:eastAsia="宋体" w:cs="Times New Roman"/>
                      <w:color w:val="auto"/>
                      <w:kern w:val="0"/>
                      <w:szCs w:val="21"/>
                      <w:highlight w:val="none"/>
                      <w:vertAlign w:val="superscript"/>
                      <w:lang w:val="en-US" w:eastAsia="zh-CN" w:bidi="ar"/>
                    </w:rPr>
                    <w:t>3</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急性毒性:摄入，LD</w:t>
                  </w:r>
                  <w:r>
                    <w:rPr>
                      <w:rFonts w:hint="eastAsia" w:ascii="Times New Roman" w:hAnsi="Times New Roman" w:eastAsia="宋体" w:cs="Times New Roman"/>
                      <w:color w:val="auto"/>
                      <w:kern w:val="0"/>
                      <w:szCs w:val="21"/>
                      <w:highlight w:val="none"/>
                      <w:vertAlign w:val="subscript"/>
                      <w:lang w:bidi="ar"/>
                    </w:rPr>
                    <w:t>50</w:t>
                  </w:r>
                  <w:r>
                    <w:rPr>
                      <w:rFonts w:hint="eastAsia" w:ascii="Times New Roman" w:hAnsi="Times New Roman" w:eastAsia="宋体" w:cs="Times New Roman"/>
                      <w:color w:val="auto"/>
                      <w:kern w:val="0"/>
                      <w:szCs w:val="21"/>
                      <w:highlight w:val="none"/>
                      <w:lang w:bidi="ar"/>
                    </w:rPr>
                    <w:t>，大鼠&gt;</w:t>
                  </w:r>
                  <w:r>
                    <w:rPr>
                      <w:rFonts w:hint="eastAsia" w:ascii="Times New Roman" w:hAnsi="Times New Roman" w:eastAsia="宋体" w:cs="Times New Roman"/>
                      <w:color w:val="auto"/>
                      <w:kern w:val="0"/>
                      <w:szCs w:val="21"/>
                      <w:highlight w:val="none"/>
                      <w:lang w:val="en-US" w:eastAsia="zh-CN" w:bidi="ar"/>
                    </w:rPr>
                    <w:t>2000</w:t>
                  </w:r>
                  <w:r>
                    <w:rPr>
                      <w:rFonts w:hint="eastAsia" w:ascii="Times New Roman" w:hAnsi="Times New Roman" w:eastAsia="宋体" w:cs="Times New Roman"/>
                      <w:color w:val="auto"/>
                      <w:kern w:val="0"/>
                      <w:szCs w:val="21"/>
                      <w:highlight w:val="none"/>
                      <w:lang w:bidi="ar"/>
                    </w:rPr>
                    <w:t>mg/kg</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皮肤吸收，LD</w:t>
                  </w:r>
                  <w:r>
                    <w:rPr>
                      <w:rFonts w:hint="eastAsia" w:ascii="Times New Roman" w:hAnsi="Times New Roman" w:eastAsia="宋体" w:cs="Times New Roman"/>
                      <w:color w:val="auto"/>
                      <w:kern w:val="0"/>
                      <w:szCs w:val="21"/>
                      <w:highlight w:val="none"/>
                      <w:vertAlign w:val="subscript"/>
                      <w:lang w:bidi="ar"/>
                    </w:rPr>
                    <w:t>50</w:t>
                  </w:r>
                  <w:r>
                    <w:rPr>
                      <w:rFonts w:hint="eastAsia" w:ascii="Times New Roman" w:hAnsi="Times New Roman" w:eastAsia="宋体"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兔子≈1410 mg/kg</w:t>
                  </w:r>
                  <w:r>
                    <w:rPr>
                      <w:rFonts w:hint="eastAsia" w:ascii="Times New Roman" w:hAnsi="Times New Roman" w:eastAsia="宋体" w:cs="Times New Roman"/>
                      <w:color w:val="auto"/>
                      <w:kern w:val="0"/>
                      <w:szCs w:val="21"/>
                      <w:highlight w:val="none"/>
                      <w:lang w:eastAsia="zh-CN" w:bidi="ar"/>
                    </w:rPr>
                    <w:t>。</w:t>
                  </w:r>
                </w:p>
              </w:tc>
              <w:tc>
                <w:tcPr>
                  <w:tcW w:w="932" w:type="dxa"/>
                  <w:vMerge w:val="continue"/>
                  <w:vAlign w:val="center"/>
                </w:tcPr>
                <w:p w14:paraId="30DAED11">
                  <w:pPr>
                    <w:widowControl/>
                    <w:jc w:val="center"/>
                    <w:textAlignment w:val="center"/>
                    <w:rPr>
                      <w:rFonts w:hint="eastAsia" w:ascii="Times New Roman" w:hAnsi="Times New Roman" w:eastAsia="宋体" w:cs="Times New Roman"/>
                      <w:color w:val="auto"/>
                      <w:kern w:val="0"/>
                      <w:szCs w:val="21"/>
                      <w:lang w:val="en-US" w:eastAsia="zh-CN" w:bidi="ar"/>
                    </w:rPr>
                  </w:pPr>
                </w:p>
              </w:tc>
            </w:tr>
            <w:tr w14:paraId="0634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Align w:val="center"/>
                </w:tcPr>
                <w:p w14:paraId="2136201A">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3</w:t>
                  </w:r>
                </w:p>
              </w:tc>
              <w:tc>
                <w:tcPr>
                  <w:tcW w:w="1318" w:type="dxa"/>
                  <w:vAlign w:val="center"/>
                </w:tcPr>
                <w:p w14:paraId="67F2B394">
                  <w:pPr>
                    <w:widowControl/>
                    <w:jc w:val="center"/>
                    <w:textAlignment w:val="center"/>
                    <w:rPr>
                      <w:rFonts w:hint="eastAsia"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val="en-US" w:eastAsia="zh-CN" w:bidi="ar"/>
                    </w:rPr>
                    <w:t>环氧粉末</w:t>
                  </w:r>
                </w:p>
              </w:tc>
              <w:tc>
                <w:tcPr>
                  <w:tcW w:w="5117" w:type="dxa"/>
                  <w:vAlign w:val="center"/>
                </w:tcPr>
                <w:p w14:paraId="487516C0">
                  <w:pPr>
                    <w:widowControl/>
                    <w:jc w:val="center"/>
                    <w:textAlignment w:val="center"/>
                    <w:rPr>
                      <w:rFonts w:hint="eastAsia" w:ascii="Times New Roman" w:hAnsi="Times New Roman" w:eastAsia="宋体" w:cs="Times New Roman"/>
                      <w:color w:val="auto"/>
                      <w:kern w:val="0"/>
                      <w:szCs w:val="21"/>
                      <w:lang w:bidi="ar"/>
                    </w:rPr>
                  </w:pPr>
                  <w:r>
                    <w:rPr>
                      <w:rFonts w:hint="eastAsia" w:ascii="Times New Roman" w:hAnsi="Times New Roman" w:eastAsia="宋体" w:cs="Times New Roman"/>
                      <w:color w:val="auto"/>
                      <w:lang w:eastAsia="zh-CN"/>
                    </w:rPr>
                    <w:t>环氧粉末是一种热固性、无毒涂料，固化后形成高分子量交联结构涂层，具有优良的化学防腐性能和较高的机械性能，尤其耐磨性和附着力最佳。该涂料为</w:t>
                  </w:r>
                  <w:r>
                    <w:rPr>
                      <w:rFonts w:hint="eastAsia" w:ascii="Times New Roman" w:hAnsi="Times New Roman" w:eastAsia="宋体" w:cs="Times New Roman"/>
                      <w:color w:val="auto"/>
                      <w:lang w:val="en-US" w:eastAsia="zh-CN"/>
                    </w:rPr>
                    <w:t>100%固体，无溶剂、无污染，粉末利用率可达95%以上，是埋地钢质管道的优质防腐涂料。通过静电喷涂工艺将环氧粉末均匀喷涂在金属表面，环氧树脂经过一系列物化反应后发生化学交联，固化成平整、坚硬的涂层，该涂层牢牢地附着在金属表面，而且涂层不会因温度的升高而重新软化</w:t>
                  </w:r>
                  <w:r>
                    <w:rPr>
                      <w:rFonts w:hint="eastAsia" w:cs="Times New Roman"/>
                      <w:color w:val="auto"/>
                      <w:lang w:val="en-US" w:eastAsia="zh-CN"/>
                    </w:rPr>
                    <w:t>，</w:t>
                  </w:r>
                  <w:r>
                    <w:rPr>
                      <w:rFonts w:hint="eastAsia" w:ascii="Times New Roman" w:hAnsi="Times New Roman" w:eastAsia="宋体"/>
                      <w:lang w:val="en-US" w:eastAsia="zh-CN"/>
                    </w:rPr>
                    <w:t>根据厂家提供，环氧粉末</w:t>
                  </w:r>
                  <w:r>
                    <w:rPr>
                      <w:rFonts w:hint="eastAsia"/>
                      <w:color w:val="auto"/>
                      <w:lang w:val="en-US" w:eastAsia="zh-CN"/>
                    </w:rPr>
                    <w:t>VOCs含量占</w:t>
                  </w:r>
                  <w:r>
                    <w:rPr>
                      <w:rFonts w:hint="eastAsia" w:ascii="Times New Roman" w:hAnsi="Times New Roman" w:eastAsia="宋体"/>
                      <w:lang w:val="en-US" w:eastAsia="zh-CN"/>
                    </w:rPr>
                    <w:t>比0.57%</w:t>
                  </w:r>
                  <w:r>
                    <w:rPr>
                      <w:rFonts w:hint="eastAsia"/>
                      <w:lang w:val="en-US" w:eastAsia="zh-CN"/>
                    </w:rPr>
                    <w:t>，属于低</w:t>
                  </w:r>
                  <w:r>
                    <w:rPr>
                      <w:rFonts w:hint="eastAsia"/>
                      <w:color w:val="auto"/>
                      <w:lang w:val="en-US" w:eastAsia="zh-CN"/>
                    </w:rPr>
                    <w:t>VOCs</w:t>
                  </w:r>
                  <w:r>
                    <w:rPr>
                      <w:rFonts w:hint="eastAsia" w:ascii="Times New Roman" w:hAnsi="Times New Roman" w:eastAsia="宋体" w:cs="Times New Roman"/>
                      <w:color w:val="auto"/>
                      <w:lang w:val="en-US" w:eastAsia="zh-CN"/>
                    </w:rPr>
                    <w:t>。</w:t>
                  </w:r>
                </w:p>
              </w:tc>
              <w:tc>
                <w:tcPr>
                  <w:tcW w:w="932" w:type="dxa"/>
                  <w:vAlign w:val="center"/>
                </w:tcPr>
                <w:p w14:paraId="239B73D9">
                  <w:pPr>
                    <w:widowControl/>
                    <w:jc w:val="center"/>
                    <w:textAlignment w:val="center"/>
                    <w:rPr>
                      <w:rFonts w:hint="default" w:ascii="Times New Roman" w:hAnsi="Times New Roman" w:eastAsia="宋体" w:cs="Times New Roman"/>
                      <w:color w:val="auto"/>
                      <w:kern w:val="0"/>
                      <w:szCs w:val="21"/>
                      <w:lang w:val="en-US" w:bidi="ar"/>
                    </w:rPr>
                  </w:pPr>
                  <w:r>
                    <w:rPr>
                      <w:rFonts w:hint="eastAsia"/>
                      <w:color w:val="auto"/>
                      <w:kern w:val="0"/>
                      <w:szCs w:val="21"/>
                      <w:lang w:val="en-US" w:eastAsia="zh-CN" w:bidi="ar"/>
                    </w:rPr>
                    <w:t>用于静电喷涂工序</w:t>
                  </w:r>
                </w:p>
              </w:tc>
            </w:tr>
            <w:tr w14:paraId="1B01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993" w:type="dxa"/>
                  <w:gridSpan w:val="2"/>
                  <w:vAlign w:val="center"/>
                </w:tcPr>
                <w:p w14:paraId="7877D826">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cs="Times New Roman"/>
                      <w:color w:val="auto"/>
                      <w:kern w:val="0"/>
                      <w:szCs w:val="21"/>
                      <w:lang w:val="en-US" w:eastAsia="zh-CN" w:bidi="ar"/>
                    </w:rPr>
                    <w:t>备注：</w:t>
                  </w:r>
                </w:p>
              </w:tc>
              <w:tc>
                <w:tcPr>
                  <w:tcW w:w="6049" w:type="dxa"/>
                  <w:gridSpan w:val="2"/>
                  <w:vAlign w:val="center"/>
                </w:tcPr>
                <w:p w14:paraId="474F9245">
                  <w:pPr>
                    <w:widowControl/>
                    <w:jc w:val="center"/>
                    <w:textAlignment w:val="center"/>
                    <w:rPr>
                      <w:rFonts w:hint="eastAsia"/>
                      <w:color w:val="auto"/>
                      <w:kern w:val="0"/>
                      <w:szCs w:val="21"/>
                      <w:lang w:val="en-US" w:eastAsia="zh-CN" w:bidi="ar"/>
                    </w:rPr>
                  </w:pPr>
                  <w:r>
                    <w:rPr>
                      <w:rFonts w:hint="eastAsia"/>
                      <w:color w:val="auto"/>
                      <w:lang w:val="en-US" w:eastAsia="zh-CN"/>
                    </w:rPr>
                    <w:t>无溶剂改性环氧树脂、改性液体酸酐固化剂、环氧粉末均属于无溶剂型原辅材料，不添加挥发性有机溶剂，但物料自身含有微量挥发性有机组分（VOC），常温挥发量低，在搅拌、缠绕（浸润）、加热、固化工序会释放VOC（以NMHC表征）。</w:t>
                  </w:r>
                </w:p>
              </w:tc>
            </w:tr>
          </w:tbl>
          <w:p w14:paraId="3F99823E">
            <w:pPr>
              <w:keepNext w:val="0"/>
              <w:keepLines w:val="0"/>
              <w:pageBreakBefore w:val="0"/>
              <w:widowControl/>
              <w:numPr>
                <w:ilvl w:val="0"/>
                <w:numId w:val="5"/>
              </w:numPr>
              <w:kinsoku/>
              <w:wordWrap/>
              <w:overflowPunct/>
              <w:topLinePunct w:val="0"/>
              <w:autoSpaceDE/>
              <w:autoSpaceDN/>
              <w:bidi w:val="0"/>
              <w:adjustRightInd/>
              <w:snapToGrid/>
              <w:spacing w:before="157" w:beforeLines="50" w:line="360" w:lineRule="auto"/>
              <w:ind w:firstLine="482" w:firstLineChars="200"/>
              <w:jc w:val="left"/>
              <w:textAlignment w:val="auto"/>
              <w:rPr>
                <w:rFonts w:hint="eastAsia" w:cs="Times New Roman"/>
                <w:b/>
                <w:bCs/>
                <w:color w:val="auto"/>
                <w:sz w:val="24"/>
                <w:lang w:val="en-US" w:eastAsia="zh-CN"/>
              </w:rPr>
            </w:pPr>
            <w:r>
              <w:rPr>
                <w:rFonts w:hint="eastAsia" w:ascii="宋体" w:hAnsi="宋体" w:eastAsia="宋体" w:cs="宋体"/>
                <w:b/>
                <w:bCs/>
                <w:color w:val="auto"/>
                <w:kern w:val="0"/>
                <w:sz w:val="24"/>
                <w:szCs w:val="24"/>
                <w:lang w:val="en-US" w:eastAsia="zh-CN" w:bidi="ar"/>
              </w:rPr>
              <w:t>物料平衡</w:t>
            </w:r>
            <w:r>
              <w:rPr>
                <w:rFonts w:hint="eastAsia" w:ascii="宋体" w:hAnsi="宋体" w:cs="宋体"/>
                <w:b/>
                <w:bCs/>
                <w:color w:val="auto"/>
                <w:kern w:val="0"/>
                <w:sz w:val="24"/>
                <w:szCs w:val="24"/>
                <w:lang w:val="en-US" w:eastAsia="zh-CN" w:bidi="ar"/>
              </w:rPr>
              <w:t>、</w:t>
            </w:r>
            <w:r>
              <w:rPr>
                <w:rFonts w:hint="default" w:ascii="Times New Roman" w:hAnsi="Times New Roman" w:eastAsia="宋体" w:cs="Times New Roman"/>
                <w:b/>
                <w:bCs/>
                <w:color w:val="auto"/>
                <w:kern w:val="0"/>
                <w:sz w:val="24"/>
                <w:szCs w:val="24"/>
                <w:lang w:val="en-US" w:eastAsia="zh-CN" w:bidi="ar"/>
              </w:rPr>
              <w:t>VOCs平衡</w:t>
            </w:r>
          </w:p>
          <w:p w14:paraId="2783C2B2">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b/>
                <w:bCs/>
                <w:color w:val="auto"/>
                <w:kern w:val="0"/>
                <w:sz w:val="24"/>
                <w:szCs w:val="24"/>
                <w:lang w:val="en-US" w:eastAsia="zh-CN" w:bidi="ar"/>
              </w:rPr>
            </w:pPr>
            <w:r>
              <w:rPr>
                <w:rFonts w:hint="eastAsia"/>
                <w:b/>
                <w:bCs/>
                <w:color w:val="auto"/>
                <w:kern w:val="0"/>
                <w:sz w:val="24"/>
                <w:szCs w:val="24"/>
                <w:lang w:val="en-US" w:eastAsia="zh-CN" w:bidi="ar"/>
              </w:rPr>
              <w:t>六、主要生产设备</w:t>
            </w:r>
          </w:p>
          <w:p w14:paraId="22CF7AE9">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本项目设备清单详见下表：</w:t>
            </w:r>
          </w:p>
          <w:p w14:paraId="4AF92061">
            <w:pPr>
              <w:autoSpaceDE w:val="0"/>
              <w:autoSpaceDN w:val="0"/>
              <w:adjustRightInd w:val="0"/>
              <w:snapToGrid w:val="0"/>
              <w:ind w:firstLine="2168" w:firstLineChars="900"/>
              <w:rPr>
                <w:b/>
                <w:bCs/>
                <w:color w:val="auto"/>
                <w:kern w:val="0"/>
                <w:sz w:val="24"/>
              </w:rPr>
            </w:pPr>
            <w:r>
              <w:rPr>
                <w:rFonts w:hint="eastAsia"/>
                <w:b/>
                <w:bCs/>
                <w:color w:val="auto"/>
                <w:kern w:val="0"/>
                <w:sz w:val="24"/>
              </w:rPr>
              <w:t>表2-</w:t>
            </w:r>
            <w:r>
              <w:rPr>
                <w:rFonts w:hint="eastAsia"/>
                <w:b/>
                <w:bCs/>
                <w:color w:val="auto"/>
                <w:kern w:val="0"/>
                <w:sz w:val="24"/>
                <w:lang w:val="en-US" w:eastAsia="zh-CN"/>
              </w:rPr>
              <w:t xml:space="preserve">10  </w:t>
            </w:r>
            <w:r>
              <w:rPr>
                <w:rFonts w:hint="eastAsia"/>
                <w:b/>
                <w:bCs/>
                <w:color w:val="auto"/>
                <w:kern w:val="0"/>
                <w:sz w:val="24"/>
              </w:rPr>
              <w:t xml:space="preserve">  主要生产设备一览表</w:t>
            </w:r>
          </w:p>
          <w:tbl>
            <w:tblPr>
              <w:tblStyle w:val="23"/>
              <w:tblW w:w="7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993"/>
              <w:gridCol w:w="1510"/>
              <w:gridCol w:w="563"/>
              <w:gridCol w:w="744"/>
              <w:gridCol w:w="872"/>
              <w:gridCol w:w="750"/>
              <w:gridCol w:w="994"/>
            </w:tblGrid>
            <w:tr w14:paraId="6024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71" w:type="dxa"/>
                  <w:vAlign w:val="center"/>
                </w:tcPr>
                <w:p w14:paraId="6F9E12A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序号</w:t>
                  </w:r>
                </w:p>
              </w:tc>
              <w:tc>
                <w:tcPr>
                  <w:tcW w:w="1993" w:type="dxa"/>
                  <w:vAlign w:val="center"/>
                </w:tcPr>
                <w:p w14:paraId="44ABD4FB">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设备名称</w:t>
                  </w:r>
                </w:p>
              </w:tc>
              <w:tc>
                <w:tcPr>
                  <w:tcW w:w="1510" w:type="dxa"/>
                  <w:vAlign w:val="center"/>
                </w:tcPr>
                <w:p w14:paraId="023D3284">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规格与型号</w:t>
                  </w:r>
                </w:p>
              </w:tc>
              <w:tc>
                <w:tcPr>
                  <w:tcW w:w="563" w:type="dxa"/>
                  <w:vAlign w:val="center"/>
                </w:tcPr>
                <w:p w14:paraId="0C9D5E68">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单位</w:t>
                  </w:r>
                </w:p>
              </w:tc>
              <w:tc>
                <w:tcPr>
                  <w:tcW w:w="744" w:type="dxa"/>
                  <w:vAlign w:val="center"/>
                </w:tcPr>
                <w:p w14:paraId="06E549B4">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一期</w:t>
                  </w:r>
                  <w:r>
                    <w:rPr>
                      <w:rFonts w:hint="eastAsia" w:ascii="Times New Roman" w:hAnsi="Times New Roman" w:eastAsia="宋体" w:cs="Times New Roman"/>
                      <w:color w:val="auto"/>
                      <w:kern w:val="2"/>
                      <w:sz w:val="21"/>
                      <w:szCs w:val="24"/>
                      <w:lang w:val="en-US" w:eastAsia="zh-CN" w:bidi="ar-SA"/>
                    </w:rPr>
                    <w:t>数量</w:t>
                  </w:r>
                </w:p>
              </w:tc>
              <w:tc>
                <w:tcPr>
                  <w:tcW w:w="872" w:type="dxa"/>
                  <w:vAlign w:val="center"/>
                </w:tcPr>
                <w:p w14:paraId="16CE8042">
                  <w:pPr>
                    <w:widowControl/>
                    <w:jc w:val="center"/>
                    <w:textAlignment w:val="center"/>
                    <w:rPr>
                      <w:rFonts w:hint="eastAsia" w:cs="Times New Roman"/>
                      <w:color w:val="auto"/>
                      <w:kern w:val="2"/>
                      <w:sz w:val="21"/>
                      <w:szCs w:val="24"/>
                      <w:lang w:val="en-US" w:eastAsia="zh-CN" w:bidi="ar-SA"/>
                    </w:rPr>
                  </w:pPr>
                  <w:r>
                    <w:rPr>
                      <w:rFonts w:hint="eastAsia" w:cs="Times New Roman"/>
                      <w:color w:val="auto"/>
                      <w:kern w:val="2"/>
                      <w:sz w:val="21"/>
                      <w:szCs w:val="24"/>
                      <w:lang w:val="en-US" w:eastAsia="zh-CN" w:bidi="ar-SA"/>
                    </w:rPr>
                    <w:t>二期</w:t>
                  </w:r>
                </w:p>
                <w:p w14:paraId="40F09FF4">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数量</w:t>
                  </w:r>
                </w:p>
              </w:tc>
              <w:tc>
                <w:tcPr>
                  <w:tcW w:w="750" w:type="dxa"/>
                  <w:vAlign w:val="center"/>
                </w:tcPr>
                <w:p w14:paraId="63E80F7C">
                  <w:pPr>
                    <w:widowControl/>
                    <w:jc w:val="center"/>
                    <w:textAlignment w:val="center"/>
                    <w:rPr>
                      <w:rFonts w:hint="eastAsia" w:cs="Times New Roman"/>
                      <w:color w:val="auto"/>
                      <w:kern w:val="2"/>
                      <w:sz w:val="21"/>
                      <w:szCs w:val="24"/>
                      <w:lang w:val="en-US" w:eastAsia="zh-CN" w:bidi="ar-SA"/>
                    </w:rPr>
                  </w:pPr>
                  <w:r>
                    <w:rPr>
                      <w:rFonts w:hint="eastAsia" w:cs="Times New Roman"/>
                      <w:color w:val="auto"/>
                      <w:kern w:val="2"/>
                      <w:sz w:val="21"/>
                      <w:szCs w:val="24"/>
                      <w:lang w:val="en-US" w:eastAsia="zh-CN" w:bidi="ar-SA"/>
                    </w:rPr>
                    <w:t>总体</w:t>
                  </w:r>
                </w:p>
                <w:p w14:paraId="44B0CBAF">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数量</w:t>
                  </w:r>
                </w:p>
              </w:tc>
              <w:tc>
                <w:tcPr>
                  <w:tcW w:w="994" w:type="dxa"/>
                  <w:vAlign w:val="center"/>
                </w:tcPr>
                <w:p w14:paraId="5BF5583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备注</w:t>
                  </w:r>
                </w:p>
              </w:tc>
            </w:tr>
            <w:tr w14:paraId="0E4A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71" w:type="dxa"/>
                  <w:vMerge w:val="restart"/>
                  <w:vAlign w:val="center"/>
                </w:tcPr>
                <w:p w14:paraId="7B563057">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1993" w:type="dxa"/>
                  <w:vMerge w:val="restart"/>
                  <w:vAlign w:val="center"/>
                </w:tcPr>
                <w:p w14:paraId="3C28DFDC">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编织机</w:t>
                  </w:r>
                </w:p>
              </w:tc>
              <w:tc>
                <w:tcPr>
                  <w:tcW w:w="1510" w:type="dxa"/>
                  <w:vAlign w:val="center"/>
                </w:tcPr>
                <w:p w14:paraId="729C9F4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220锭</w:t>
                  </w:r>
                </w:p>
              </w:tc>
              <w:tc>
                <w:tcPr>
                  <w:tcW w:w="563" w:type="dxa"/>
                  <w:vAlign w:val="center"/>
                </w:tcPr>
                <w:p w14:paraId="3381195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套</w:t>
                  </w:r>
                </w:p>
              </w:tc>
              <w:tc>
                <w:tcPr>
                  <w:tcW w:w="744" w:type="dxa"/>
                  <w:vAlign w:val="center"/>
                </w:tcPr>
                <w:p w14:paraId="2240971E">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872" w:type="dxa"/>
                  <w:shd w:val="clear" w:color="auto" w:fill="auto"/>
                  <w:vAlign w:val="center"/>
                </w:tcPr>
                <w:p w14:paraId="47F3145F">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750" w:type="dxa"/>
                  <w:vAlign w:val="center"/>
                </w:tcPr>
                <w:p w14:paraId="1D15DCBD">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2</w:t>
                  </w:r>
                </w:p>
              </w:tc>
              <w:tc>
                <w:tcPr>
                  <w:tcW w:w="994" w:type="dxa"/>
                  <w:vAlign w:val="center"/>
                </w:tcPr>
                <w:p w14:paraId="7CE3DFF8">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r>
            <w:tr w14:paraId="6DE8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71" w:type="dxa"/>
                  <w:vMerge w:val="continue"/>
                  <w:vAlign w:val="center"/>
                </w:tcPr>
                <w:p w14:paraId="05B79724">
                  <w:pPr>
                    <w:jc w:val="center"/>
                    <w:rPr>
                      <w:rFonts w:hint="eastAsia" w:ascii="Times New Roman" w:hAnsi="Times New Roman" w:eastAsia="宋体" w:cs="Times New Roman"/>
                      <w:color w:val="auto"/>
                      <w:kern w:val="2"/>
                      <w:sz w:val="21"/>
                      <w:szCs w:val="24"/>
                      <w:lang w:val="en-US" w:eastAsia="zh-CN" w:bidi="ar-SA"/>
                    </w:rPr>
                  </w:pPr>
                </w:p>
              </w:tc>
              <w:tc>
                <w:tcPr>
                  <w:tcW w:w="1993" w:type="dxa"/>
                  <w:vMerge w:val="continue"/>
                  <w:vAlign w:val="center"/>
                </w:tcPr>
                <w:p w14:paraId="3BD2C5C8">
                  <w:pPr>
                    <w:jc w:val="center"/>
                    <w:rPr>
                      <w:rFonts w:hint="eastAsia" w:ascii="Times New Roman" w:hAnsi="Times New Roman" w:eastAsia="宋体" w:cs="Times New Roman"/>
                      <w:color w:val="auto"/>
                      <w:kern w:val="2"/>
                      <w:sz w:val="21"/>
                      <w:szCs w:val="24"/>
                      <w:lang w:val="en-US" w:eastAsia="zh-CN" w:bidi="ar-SA"/>
                    </w:rPr>
                  </w:pPr>
                </w:p>
              </w:tc>
              <w:tc>
                <w:tcPr>
                  <w:tcW w:w="1510" w:type="dxa"/>
                  <w:vAlign w:val="center"/>
                </w:tcPr>
                <w:p w14:paraId="7ED5F6C6">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180锭</w:t>
                  </w:r>
                </w:p>
              </w:tc>
              <w:tc>
                <w:tcPr>
                  <w:tcW w:w="563" w:type="dxa"/>
                  <w:vAlign w:val="center"/>
                </w:tcPr>
                <w:p w14:paraId="3EC9AAF8">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套</w:t>
                  </w:r>
                </w:p>
              </w:tc>
              <w:tc>
                <w:tcPr>
                  <w:tcW w:w="744" w:type="dxa"/>
                  <w:vAlign w:val="center"/>
                </w:tcPr>
                <w:p w14:paraId="1087A798">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872" w:type="dxa"/>
                  <w:shd w:val="clear" w:color="auto" w:fill="auto"/>
                  <w:vAlign w:val="center"/>
                </w:tcPr>
                <w:p w14:paraId="4F4D8A58">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750" w:type="dxa"/>
                  <w:vAlign w:val="center"/>
                </w:tcPr>
                <w:p w14:paraId="2C19815C">
                  <w:pPr>
                    <w:keepNext w:val="0"/>
                    <w:keepLines w:val="0"/>
                    <w:widowControl/>
                    <w:suppressLineNumbers w:val="0"/>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2</w:t>
                  </w:r>
                </w:p>
              </w:tc>
              <w:tc>
                <w:tcPr>
                  <w:tcW w:w="994" w:type="dxa"/>
                  <w:vAlign w:val="center"/>
                </w:tcPr>
                <w:p w14:paraId="3DE0996E">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r>
            <w:tr w14:paraId="5458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71" w:type="dxa"/>
                  <w:vMerge w:val="continue"/>
                  <w:vAlign w:val="center"/>
                </w:tcPr>
                <w:p w14:paraId="2E780736">
                  <w:pPr>
                    <w:jc w:val="center"/>
                    <w:rPr>
                      <w:rFonts w:hint="eastAsia" w:ascii="Times New Roman" w:hAnsi="Times New Roman" w:eastAsia="宋体" w:cs="Times New Roman"/>
                      <w:color w:val="auto"/>
                      <w:kern w:val="2"/>
                      <w:sz w:val="21"/>
                      <w:szCs w:val="24"/>
                      <w:lang w:val="en-US" w:eastAsia="zh-CN" w:bidi="ar-SA"/>
                    </w:rPr>
                  </w:pPr>
                </w:p>
              </w:tc>
              <w:tc>
                <w:tcPr>
                  <w:tcW w:w="1993" w:type="dxa"/>
                  <w:vMerge w:val="continue"/>
                  <w:vAlign w:val="center"/>
                </w:tcPr>
                <w:p w14:paraId="5843EDE1">
                  <w:pPr>
                    <w:jc w:val="center"/>
                    <w:rPr>
                      <w:rFonts w:hint="eastAsia" w:ascii="Times New Roman" w:hAnsi="Times New Roman" w:eastAsia="宋体" w:cs="Times New Roman"/>
                      <w:color w:val="auto"/>
                      <w:kern w:val="2"/>
                      <w:sz w:val="21"/>
                      <w:szCs w:val="24"/>
                      <w:lang w:val="en-US" w:eastAsia="zh-CN" w:bidi="ar-SA"/>
                    </w:rPr>
                  </w:pPr>
                </w:p>
              </w:tc>
              <w:tc>
                <w:tcPr>
                  <w:tcW w:w="1510" w:type="dxa"/>
                  <w:vAlign w:val="center"/>
                </w:tcPr>
                <w:p w14:paraId="6326C820">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136锭</w:t>
                  </w:r>
                </w:p>
              </w:tc>
              <w:tc>
                <w:tcPr>
                  <w:tcW w:w="563" w:type="dxa"/>
                  <w:vAlign w:val="center"/>
                </w:tcPr>
                <w:p w14:paraId="657CBC7F">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套</w:t>
                  </w:r>
                </w:p>
              </w:tc>
              <w:tc>
                <w:tcPr>
                  <w:tcW w:w="744" w:type="dxa"/>
                  <w:vAlign w:val="center"/>
                </w:tcPr>
                <w:p w14:paraId="3007D22F">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w:t>
                  </w:r>
                </w:p>
              </w:tc>
              <w:tc>
                <w:tcPr>
                  <w:tcW w:w="872" w:type="dxa"/>
                  <w:shd w:val="clear" w:color="auto" w:fill="auto"/>
                  <w:vAlign w:val="center"/>
                </w:tcPr>
                <w:p w14:paraId="425E2620">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w:t>
                  </w:r>
                </w:p>
              </w:tc>
              <w:tc>
                <w:tcPr>
                  <w:tcW w:w="750" w:type="dxa"/>
                  <w:vAlign w:val="center"/>
                </w:tcPr>
                <w:p w14:paraId="1D8C7E46">
                  <w:pPr>
                    <w:keepNext w:val="0"/>
                    <w:keepLines w:val="0"/>
                    <w:widowControl/>
                    <w:suppressLineNumbers w:val="0"/>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4</w:t>
                  </w:r>
                </w:p>
              </w:tc>
              <w:tc>
                <w:tcPr>
                  <w:tcW w:w="994" w:type="dxa"/>
                  <w:vAlign w:val="center"/>
                </w:tcPr>
                <w:p w14:paraId="169D3CAF">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r>
            <w:tr w14:paraId="3A97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71" w:type="dxa"/>
                  <w:vMerge w:val="continue"/>
                  <w:vAlign w:val="center"/>
                </w:tcPr>
                <w:p w14:paraId="4588EF3A">
                  <w:pPr>
                    <w:jc w:val="center"/>
                    <w:rPr>
                      <w:rFonts w:hint="eastAsia" w:ascii="Times New Roman" w:hAnsi="Times New Roman" w:eastAsia="宋体" w:cs="Times New Roman"/>
                      <w:color w:val="auto"/>
                      <w:kern w:val="2"/>
                      <w:sz w:val="21"/>
                      <w:szCs w:val="24"/>
                      <w:lang w:val="en-US" w:eastAsia="zh-CN" w:bidi="ar-SA"/>
                    </w:rPr>
                  </w:pPr>
                </w:p>
              </w:tc>
              <w:tc>
                <w:tcPr>
                  <w:tcW w:w="1993" w:type="dxa"/>
                  <w:vMerge w:val="continue"/>
                  <w:vAlign w:val="center"/>
                </w:tcPr>
                <w:p w14:paraId="762E645B">
                  <w:pPr>
                    <w:jc w:val="center"/>
                    <w:rPr>
                      <w:rFonts w:hint="eastAsia" w:ascii="Times New Roman" w:hAnsi="Times New Roman" w:eastAsia="宋体" w:cs="Times New Roman"/>
                      <w:color w:val="auto"/>
                      <w:kern w:val="2"/>
                      <w:sz w:val="21"/>
                      <w:szCs w:val="24"/>
                      <w:lang w:val="en-US" w:eastAsia="zh-CN" w:bidi="ar-SA"/>
                    </w:rPr>
                  </w:pPr>
                </w:p>
              </w:tc>
              <w:tc>
                <w:tcPr>
                  <w:tcW w:w="1510" w:type="dxa"/>
                  <w:vAlign w:val="center"/>
                </w:tcPr>
                <w:p w14:paraId="65BD8E7B">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120锭</w:t>
                  </w:r>
                </w:p>
              </w:tc>
              <w:tc>
                <w:tcPr>
                  <w:tcW w:w="563" w:type="dxa"/>
                  <w:vAlign w:val="center"/>
                </w:tcPr>
                <w:p w14:paraId="6C8985E2">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套</w:t>
                  </w:r>
                </w:p>
              </w:tc>
              <w:tc>
                <w:tcPr>
                  <w:tcW w:w="744" w:type="dxa"/>
                  <w:vAlign w:val="center"/>
                </w:tcPr>
                <w:p w14:paraId="6F8A2C20">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872" w:type="dxa"/>
                  <w:shd w:val="clear" w:color="auto" w:fill="auto"/>
                  <w:vAlign w:val="center"/>
                </w:tcPr>
                <w:p w14:paraId="574D1DDF">
                  <w:pPr>
                    <w:keepNext w:val="0"/>
                    <w:keepLines w:val="0"/>
                    <w:widowControl/>
                    <w:suppressLineNumbers w:val="0"/>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750" w:type="dxa"/>
                  <w:vAlign w:val="center"/>
                </w:tcPr>
                <w:p w14:paraId="21F5770C">
                  <w:pPr>
                    <w:keepNext w:val="0"/>
                    <w:keepLines w:val="0"/>
                    <w:widowControl/>
                    <w:suppressLineNumbers w:val="0"/>
                    <w:jc w:val="center"/>
                    <w:textAlignment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2</w:t>
                  </w:r>
                </w:p>
              </w:tc>
              <w:tc>
                <w:tcPr>
                  <w:tcW w:w="994" w:type="dxa"/>
                  <w:vAlign w:val="center"/>
                </w:tcPr>
                <w:p w14:paraId="1A62586A">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r>
            <w:tr w14:paraId="3119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571" w:type="dxa"/>
                  <w:vAlign w:val="center"/>
                </w:tcPr>
                <w:p w14:paraId="55D550A1">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p>
              </w:tc>
              <w:tc>
                <w:tcPr>
                  <w:tcW w:w="1993" w:type="dxa"/>
                  <w:vAlign w:val="center"/>
                </w:tcPr>
                <w:p w14:paraId="52D1B132">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静电喷涂</w:t>
                  </w:r>
                </w:p>
              </w:tc>
              <w:tc>
                <w:tcPr>
                  <w:tcW w:w="1510" w:type="dxa"/>
                  <w:vAlign w:val="center"/>
                </w:tcPr>
                <w:p w14:paraId="047BD9A3">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XY-26-PT-08#</w:t>
                  </w:r>
                </w:p>
              </w:tc>
              <w:tc>
                <w:tcPr>
                  <w:tcW w:w="563" w:type="dxa"/>
                  <w:vAlign w:val="center"/>
                </w:tcPr>
                <w:p w14:paraId="027C638A">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套</w:t>
                  </w:r>
                </w:p>
              </w:tc>
              <w:tc>
                <w:tcPr>
                  <w:tcW w:w="744" w:type="dxa"/>
                  <w:vAlign w:val="center"/>
                </w:tcPr>
                <w:p w14:paraId="3BADE2F0">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872" w:type="dxa"/>
                  <w:shd w:val="clear" w:color="auto" w:fill="auto"/>
                  <w:vAlign w:val="center"/>
                </w:tcPr>
                <w:p w14:paraId="4854BA07">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459E4F6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1</w:t>
                  </w:r>
                </w:p>
              </w:tc>
              <w:tc>
                <w:tcPr>
                  <w:tcW w:w="994" w:type="dxa"/>
                  <w:vAlign w:val="center"/>
                </w:tcPr>
                <w:p w14:paraId="326163F1">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kern w:val="2"/>
                      <w:sz w:val="21"/>
                      <w:szCs w:val="24"/>
                      <w:lang w:val="en-US" w:eastAsia="zh-CN" w:bidi="ar-SA"/>
                    </w:rPr>
                    <w:t>一、二期共用</w:t>
                  </w:r>
                </w:p>
              </w:tc>
            </w:tr>
            <w:tr w14:paraId="5D26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571" w:type="dxa"/>
                  <w:vAlign w:val="center"/>
                </w:tcPr>
                <w:p w14:paraId="6CF3AF31">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1993" w:type="dxa"/>
                  <w:vAlign w:val="center"/>
                </w:tcPr>
                <w:p w14:paraId="16BED711">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数控机床</w:t>
                  </w:r>
                </w:p>
              </w:tc>
              <w:tc>
                <w:tcPr>
                  <w:tcW w:w="1510" w:type="dxa"/>
                  <w:vAlign w:val="center"/>
                </w:tcPr>
                <w:p w14:paraId="25FAFFB1">
                  <w:pPr>
                    <w:widowControl/>
                    <w:jc w:val="center"/>
                    <w:textAlignment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CK6150X1000</w:t>
                  </w:r>
                </w:p>
              </w:tc>
              <w:tc>
                <w:tcPr>
                  <w:tcW w:w="563" w:type="dxa"/>
                  <w:vAlign w:val="center"/>
                </w:tcPr>
                <w:p w14:paraId="27C5B9F8">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套</w:t>
                  </w:r>
                </w:p>
              </w:tc>
              <w:tc>
                <w:tcPr>
                  <w:tcW w:w="744" w:type="dxa"/>
                  <w:vAlign w:val="center"/>
                </w:tcPr>
                <w:p w14:paraId="5EBF9151">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872" w:type="dxa"/>
                  <w:shd w:val="clear" w:color="auto" w:fill="auto"/>
                  <w:vAlign w:val="center"/>
                </w:tcPr>
                <w:p w14:paraId="62D123EC">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3D675230">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4</w:t>
                  </w:r>
                </w:p>
              </w:tc>
              <w:tc>
                <w:tcPr>
                  <w:tcW w:w="994" w:type="dxa"/>
                  <w:vAlign w:val="center"/>
                </w:tcPr>
                <w:p w14:paraId="05EEA4F4">
                  <w:pPr>
                    <w:widowControl/>
                    <w:jc w:val="center"/>
                    <w:textAlignment w:val="center"/>
                    <w:rPr>
                      <w:rFonts w:hint="eastAsia" w:ascii="Times New Roman" w:hAnsi="Times New Roman" w:eastAsia="宋体" w:cs="Times New Roman"/>
                      <w:color w:val="auto"/>
                      <w:lang w:val="en-US" w:eastAsia="zh-CN"/>
                    </w:rPr>
                  </w:pPr>
                  <w:r>
                    <w:rPr>
                      <w:rFonts w:hint="eastAsia" w:cs="Times New Roman"/>
                      <w:color w:val="auto"/>
                      <w:kern w:val="2"/>
                      <w:sz w:val="21"/>
                      <w:szCs w:val="24"/>
                      <w:lang w:val="en-US" w:eastAsia="zh-CN" w:bidi="ar-SA"/>
                    </w:rPr>
                    <w:t>一、二期共用</w:t>
                  </w:r>
                </w:p>
              </w:tc>
            </w:tr>
            <w:tr w14:paraId="4ED6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571" w:type="dxa"/>
                  <w:vAlign w:val="center"/>
                </w:tcPr>
                <w:p w14:paraId="0BBA9760">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1993" w:type="dxa"/>
                  <w:vAlign w:val="center"/>
                </w:tcPr>
                <w:p w14:paraId="27EA9415">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空压机</w:t>
                  </w:r>
                </w:p>
              </w:tc>
              <w:tc>
                <w:tcPr>
                  <w:tcW w:w="1510" w:type="dxa"/>
                  <w:vAlign w:val="center"/>
                </w:tcPr>
                <w:p w14:paraId="0BCFE86E">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BLT-50A-PM+</w:t>
                  </w:r>
                </w:p>
              </w:tc>
              <w:tc>
                <w:tcPr>
                  <w:tcW w:w="563" w:type="dxa"/>
                  <w:vAlign w:val="center"/>
                </w:tcPr>
                <w:p w14:paraId="2A174F6B">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w:t>
                  </w:r>
                </w:p>
              </w:tc>
              <w:tc>
                <w:tcPr>
                  <w:tcW w:w="744" w:type="dxa"/>
                  <w:vAlign w:val="center"/>
                </w:tcPr>
                <w:p w14:paraId="24674FC5">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872" w:type="dxa"/>
                  <w:shd w:val="clear" w:color="auto" w:fill="auto"/>
                  <w:vAlign w:val="center"/>
                </w:tcPr>
                <w:p w14:paraId="0D98FEA1">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36427A70">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1</w:t>
                  </w:r>
                </w:p>
              </w:tc>
              <w:tc>
                <w:tcPr>
                  <w:tcW w:w="994" w:type="dxa"/>
                  <w:vAlign w:val="center"/>
                </w:tcPr>
                <w:p w14:paraId="4418A5CD">
                  <w:pPr>
                    <w:jc w:val="center"/>
                    <w:rPr>
                      <w:rFonts w:hint="eastAsia" w:ascii="Times New Roman" w:hAnsi="Times New Roman" w:eastAsia="宋体" w:cs="Times New Roman"/>
                      <w:color w:val="auto"/>
                      <w:lang w:val="en-US" w:eastAsia="zh-CN"/>
                    </w:rPr>
                  </w:pPr>
                  <w:r>
                    <w:rPr>
                      <w:rFonts w:hint="eastAsia" w:cs="Times New Roman"/>
                      <w:color w:val="auto"/>
                      <w:kern w:val="2"/>
                      <w:sz w:val="21"/>
                      <w:szCs w:val="24"/>
                      <w:lang w:val="en-US" w:eastAsia="zh-CN" w:bidi="ar-SA"/>
                    </w:rPr>
                    <w:t>一、二期共用</w:t>
                  </w:r>
                </w:p>
              </w:tc>
            </w:tr>
            <w:tr w14:paraId="66F6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571" w:type="dxa"/>
                  <w:vAlign w:val="center"/>
                </w:tcPr>
                <w:p w14:paraId="7FACF373">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5</w:t>
                  </w:r>
                </w:p>
              </w:tc>
              <w:tc>
                <w:tcPr>
                  <w:tcW w:w="1993" w:type="dxa"/>
                  <w:vAlign w:val="center"/>
                </w:tcPr>
                <w:p w14:paraId="22F1FDB9">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氧指数测定仪</w:t>
                  </w:r>
                </w:p>
              </w:tc>
              <w:tc>
                <w:tcPr>
                  <w:tcW w:w="1510" w:type="dxa"/>
                  <w:vAlign w:val="center"/>
                </w:tcPr>
                <w:p w14:paraId="5517EF51">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563" w:type="dxa"/>
                  <w:vAlign w:val="center"/>
                </w:tcPr>
                <w:p w14:paraId="48FE82F5">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w:t>
                  </w:r>
                </w:p>
              </w:tc>
              <w:tc>
                <w:tcPr>
                  <w:tcW w:w="744" w:type="dxa"/>
                  <w:vAlign w:val="center"/>
                </w:tcPr>
                <w:p w14:paraId="31412E64">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872" w:type="dxa"/>
                  <w:shd w:val="clear" w:color="auto" w:fill="auto"/>
                  <w:vAlign w:val="center"/>
                </w:tcPr>
                <w:p w14:paraId="22EFFCAF">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6C64A5CF">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1</w:t>
                  </w:r>
                </w:p>
              </w:tc>
              <w:tc>
                <w:tcPr>
                  <w:tcW w:w="994" w:type="dxa"/>
                  <w:vAlign w:val="center"/>
                </w:tcPr>
                <w:p w14:paraId="2CEBC7CD">
                  <w:pPr>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一、二期共用</w:t>
                  </w:r>
                </w:p>
              </w:tc>
            </w:tr>
            <w:tr w14:paraId="5915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71" w:type="dxa"/>
                  <w:vAlign w:val="center"/>
                </w:tcPr>
                <w:p w14:paraId="1C7BFE3B">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6</w:t>
                  </w:r>
                </w:p>
              </w:tc>
              <w:tc>
                <w:tcPr>
                  <w:tcW w:w="1993" w:type="dxa"/>
                  <w:vAlign w:val="center"/>
                </w:tcPr>
                <w:p w14:paraId="76527C9F">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水平-垂直燃烧</w:t>
                  </w:r>
                </w:p>
                <w:p w14:paraId="6A34B83F">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试验仪</w:t>
                  </w:r>
                </w:p>
              </w:tc>
              <w:tc>
                <w:tcPr>
                  <w:tcW w:w="1510" w:type="dxa"/>
                  <w:vAlign w:val="center"/>
                </w:tcPr>
                <w:p w14:paraId="4C53F8C4">
                  <w:pPr>
                    <w:widowControl/>
                    <w:jc w:val="center"/>
                    <w:textAlignment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p>
              </w:tc>
              <w:tc>
                <w:tcPr>
                  <w:tcW w:w="563" w:type="dxa"/>
                  <w:vAlign w:val="center"/>
                </w:tcPr>
                <w:p w14:paraId="66DE3D4F">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w:t>
                  </w:r>
                </w:p>
              </w:tc>
              <w:tc>
                <w:tcPr>
                  <w:tcW w:w="744" w:type="dxa"/>
                  <w:vAlign w:val="center"/>
                </w:tcPr>
                <w:p w14:paraId="7767EED4">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872" w:type="dxa"/>
                  <w:shd w:val="clear" w:color="auto" w:fill="auto"/>
                  <w:vAlign w:val="center"/>
                </w:tcPr>
                <w:p w14:paraId="5F314F00">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6F07FE3E">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1</w:t>
                  </w:r>
                </w:p>
              </w:tc>
              <w:tc>
                <w:tcPr>
                  <w:tcW w:w="994" w:type="dxa"/>
                  <w:vAlign w:val="center"/>
                </w:tcPr>
                <w:p w14:paraId="07CE40B1">
                  <w:pPr>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一、二期共用</w:t>
                  </w:r>
                </w:p>
              </w:tc>
            </w:tr>
            <w:tr w14:paraId="052E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71" w:type="dxa"/>
                  <w:vAlign w:val="center"/>
                </w:tcPr>
                <w:p w14:paraId="18B996FA">
                  <w:pPr>
                    <w:widowControl/>
                    <w:jc w:val="center"/>
                    <w:textAlignment w:val="center"/>
                    <w:rPr>
                      <w:rFonts w:hint="default" w:cs="Times New Roman"/>
                      <w:color w:val="auto"/>
                      <w:lang w:val="en-US" w:eastAsia="zh-CN"/>
                    </w:rPr>
                  </w:pPr>
                  <w:r>
                    <w:rPr>
                      <w:rFonts w:hint="eastAsia" w:cs="Times New Roman"/>
                      <w:color w:val="auto"/>
                      <w:lang w:val="en-US" w:eastAsia="zh-CN"/>
                    </w:rPr>
                    <w:t>7</w:t>
                  </w:r>
                </w:p>
              </w:tc>
              <w:tc>
                <w:tcPr>
                  <w:tcW w:w="1993" w:type="dxa"/>
                  <w:vAlign w:val="center"/>
                </w:tcPr>
                <w:p w14:paraId="0F16BFCD">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高阻计(表面电阻测试仪)</w:t>
                  </w:r>
                </w:p>
              </w:tc>
              <w:tc>
                <w:tcPr>
                  <w:tcW w:w="1510" w:type="dxa"/>
                  <w:vAlign w:val="center"/>
                </w:tcPr>
                <w:p w14:paraId="47F1059A">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ZC-90</w:t>
                  </w:r>
                </w:p>
              </w:tc>
              <w:tc>
                <w:tcPr>
                  <w:tcW w:w="563" w:type="dxa"/>
                  <w:vAlign w:val="center"/>
                </w:tcPr>
                <w:p w14:paraId="152E7B70">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台</w:t>
                  </w:r>
                </w:p>
              </w:tc>
              <w:tc>
                <w:tcPr>
                  <w:tcW w:w="744" w:type="dxa"/>
                  <w:vAlign w:val="center"/>
                </w:tcPr>
                <w:p w14:paraId="0DC01B73">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872" w:type="dxa"/>
                  <w:shd w:val="clear" w:color="auto" w:fill="auto"/>
                  <w:vAlign w:val="center"/>
                </w:tcPr>
                <w:p w14:paraId="054BDE0B">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0C07C0A7">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1</w:t>
                  </w:r>
                </w:p>
              </w:tc>
              <w:tc>
                <w:tcPr>
                  <w:tcW w:w="994" w:type="dxa"/>
                  <w:vAlign w:val="center"/>
                </w:tcPr>
                <w:p w14:paraId="58012289">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一、二期共用</w:t>
                  </w:r>
                </w:p>
              </w:tc>
            </w:tr>
            <w:tr w14:paraId="1A73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vAlign w:val="center"/>
                </w:tcPr>
                <w:p w14:paraId="53BDAD0F">
                  <w:pPr>
                    <w:widowControl/>
                    <w:jc w:val="center"/>
                    <w:textAlignment w:val="center"/>
                    <w:rPr>
                      <w:rFonts w:hint="default" w:cs="Times New Roman"/>
                      <w:color w:val="auto"/>
                      <w:lang w:val="en-US" w:eastAsia="zh-CN"/>
                    </w:rPr>
                  </w:pPr>
                  <w:r>
                    <w:rPr>
                      <w:rFonts w:hint="eastAsia" w:cs="Times New Roman"/>
                      <w:color w:val="auto"/>
                      <w:lang w:val="en-US" w:eastAsia="zh-CN"/>
                    </w:rPr>
                    <w:t>8</w:t>
                  </w:r>
                </w:p>
              </w:tc>
              <w:tc>
                <w:tcPr>
                  <w:tcW w:w="1993" w:type="dxa"/>
                  <w:vAlign w:val="center"/>
                </w:tcPr>
                <w:p w14:paraId="56B8D7F4">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专用黄铜电极</w:t>
                  </w:r>
                </w:p>
              </w:tc>
              <w:tc>
                <w:tcPr>
                  <w:tcW w:w="1510" w:type="dxa"/>
                  <w:vAlign w:val="center"/>
                </w:tcPr>
                <w:p w14:paraId="66C81E88">
                  <w:pPr>
                    <w:widowControl/>
                    <w:jc w:val="center"/>
                    <w:textAlignment w:val="center"/>
                    <w:rPr>
                      <w:rFonts w:hint="eastAsia" w:ascii="Times New Roman" w:hAnsi="Times New Roman" w:eastAsia="宋体" w:cs="Times New Roman"/>
                      <w:color w:val="auto"/>
                      <w:lang w:val="en-US" w:eastAsia="zh-CN"/>
                    </w:rPr>
                  </w:pPr>
                  <w:r>
                    <w:rPr>
                      <w:rFonts w:hint="eastAsia" w:cs="Times New Roman"/>
                      <w:color w:val="auto"/>
                      <w:lang w:val="en-US" w:eastAsia="zh-CN"/>
                    </w:rPr>
                    <w:t>/</w:t>
                  </w:r>
                </w:p>
              </w:tc>
              <w:tc>
                <w:tcPr>
                  <w:tcW w:w="563" w:type="dxa"/>
                  <w:vAlign w:val="center"/>
                </w:tcPr>
                <w:p w14:paraId="730BFECF">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套</w:t>
                  </w:r>
                </w:p>
              </w:tc>
              <w:tc>
                <w:tcPr>
                  <w:tcW w:w="744" w:type="dxa"/>
                  <w:vAlign w:val="center"/>
                </w:tcPr>
                <w:p w14:paraId="62D5C2C2">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872" w:type="dxa"/>
                  <w:shd w:val="clear" w:color="auto" w:fill="auto"/>
                  <w:vAlign w:val="center"/>
                </w:tcPr>
                <w:p w14:paraId="6801275A">
                  <w:pPr>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w:t>
                  </w:r>
                </w:p>
              </w:tc>
              <w:tc>
                <w:tcPr>
                  <w:tcW w:w="750" w:type="dxa"/>
                  <w:shd w:val="clear" w:color="auto" w:fill="auto"/>
                  <w:vAlign w:val="center"/>
                </w:tcPr>
                <w:p w14:paraId="49D3D836">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1</w:t>
                  </w:r>
                </w:p>
              </w:tc>
              <w:tc>
                <w:tcPr>
                  <w:tcW w:w="994" w:type="dxa"/>
                  <w:vAlign w:val="center"/>
                </w:tcPr>
                <w:p w14:paraId="4E2E5650">
                  <w:pPr>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一、二期共用</w:t>
                  </w:r>
                </w:p>
              </w:tc>
            </w:tr>
            <w:tr w14:paraId="00C3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vAlign w:val="center"/>
                </w:tcPr>
                <w:p w14:paraId="20D000D0">
                  <w:pPr>
                    <w:widowControl/>
                    <w:jc w:val="center"/>
                    <w:textAlignment w:val="center"/>
                    <w:rPr>
                      <w:rFonts w:hint="default" w:cs="Times New Roman"/>
                      <w:color w:val="auto"/>
                      <w:lang w:val="en-US" w:eastAsia="zh-CN"/>
                    </w:rPr>
                  </w:pPr>
                  <w:r>
                    <w:rPr>
                      <w:rFonts w:hint="eastAsia" w:cs="Times New Roman"/>
                      <w:color w:val="auto"/>
                      <w:lang w:val="en-US" w:eastAsia="zh-CN"/>
                    </w:rPr>
                    <w:t>9</w:t>
                  </w:r>
                </w:p>
              </w:tc>
              <w:tc>
                <w:tcPr>
                  <w:tcW w:w="1993" w:type="dxa"/>
                  <w:vAlign w:val="center"/>
                </w:tcPr>
                <w:p w14:paraId="3AF36DB0">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大旋风分离器粉末回收系统</w:t>
                  </w:r>
                </w:p>
              </w:tc>
              <w:tc>
                <w:tcPr>
                  <w:tcW w:w="1510" w:type="dxa"/>
                  <w:vAlign w:val="center"/>
                </w:tcPr>
                <w:p w14:paraId="67009D87">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563" w:type="dxa"/>
                  <w:vAlign w:val="center"/>
                </w:tcPr>
                <w:p w14:paraId="7CAAB5B5">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套</w:t>
                  </w:r>
                </w:p>
              </w:tc>
              <w:tc>
                <w:tcPr>
                  <w:tcW w:w="744" w:type="dxa"/>
                  <w:vAlign w:val="center"/>
                </w:tcPr>
                <w:p w14:paraId="69905984">
                  <w:pPr>
                    <w:jc w:val="center"/>
                    <w:rPr>
                      <w:rFonts w:hint="default" w:cs="Times New Roman"/>
                      <w:color w:val="auto"/>
                      <w:kern w:val="2"/>
                      <w:sz w:val="21"/>
                      <w:szCs w:val="24"/>
                      <w:lang w:val="en-US" w:eastAsia="zh-CN" w:bidi="ar-SA"/>
                    </w:rPr>
                  </w:pPr>
                  <w:r>
                    <w:rPr>
                      <w:rFonts w:hint="eastAsia" w:cs="Times New Roman"/>
                      <w:color w:val="auto"/>
                      <w:kern w:val="2"/>
                      <w:sz w:val="21"/>
                      <w:szCs w:val="24"/>
                      <w:lang w:val="en-US" w:eastAsia="zh-CN" w:bidi="ar-SA"/>
                    </w:rPr>
                    <w:t>1</w:t>
                  </w:r>
                </w:p>
              </w:tc>
              <w:tc>
                <w:tcPr>
                  <w:tcW w:w="872" w:type="dxa"/>
                  <w:shd w:val="clear" w:color="auto" w:fill="auto"/>
                  <w:vAlign w:val="center"/>
                </w:tcPr>
                <w:p w14:paraId="233D363D">
                  <w:pPr>
                    <w:jc w:val="center"/>
                    <w:rPr>
                      <w:rFonts w:hint="default" w:cs="Times New Roman"/>
                      <w:color w:val="auto"/>
                      <w:kern w:val="2"/>
                      <w:sz w:val="21"/>
                      <w:szCs w:val="24"/>
                      <w:lang w:val="en-US" w:eastAsia="zh-CN" w:bidi="ar-SA"/>
                    </w:rPr>
                  </w:pPr>
                  <w:r>
                    <w:rPr>
                      <w:rFonts w:hint="eastAsia" w:cs="Times New Roman"/>
                      <w:color w:val="auto"/>
                      <w:kern w:val="2"/>
                      <w:sz w:val="21"/>
                      <w:szCs w:val="24"/>
                      <w:lang w:val="en-US" w:eastAsia="zh-CN" w:bidi="ar-SA"/>
                    </w:rPr>
                    <w:t>/</w:t>
                  </w:r>
                </w:p>
              </w:tc>
              <w:tc>
                <w:tcPr>
                  <w:tcW w:w="750" w:type="dxa"/>
                  <w:shd w:val="clear" w:color="auto" w:fill="auto"/>
                  <w:vAlign w:val="center"/>
                </w:tcPr>
                <w:p w14:paraId="256F5D7A">
                  <w:pPr>
                    <w:jc w:val="center"/>
                    <w:rPr>
                      <w:rFonts w:hint="default" w:cs="Times New Roman"/>
                      <w:color w:val="auto"/>
                      <w:kern w:val="2"/>
                      <w:sz w:val="21"/>
                      <w:szCs w:val="24"/>
                      <w:lang w:val="en-US" w:eastAsia="zh-CN" w:bidi="ar-SA"/>
                    </w:rPr>
                  </w:pPr>
                  <w:r>
                    <w:rPr>
                      <w:rFonts w:hint="eastAsia" w:cs="Times New Roman"/>
                      <w:color w:val="auto"/>
                      <w:kern w:val="2"/>
                      <w:sz w:val="21"/>
                      <w:szCs w:val="24"/>
                      <w:lang w:val="en-US" w:eastAsia="zh-CN" w:bidi="ar-SA"/>
                    </w:rPr>
                    <w:t>1</w:t>
                  </w:r>
                </w:p>
              </w:tc>
              <w:tc>
                <w:tcPr>
                  <w:tcW w:w="994" w:type="dxa"/>
                  <w:vAlign w:val="center"/>
                </w:tcPr>
                <w:p w14:paraId="31F7E157">
                  <w:pPr>
                    <w:widowControl/>
                    <w:jc w:val="center"/>
                    <w:textAlignment w:val="center"/>
                    <w:rPr>
                      <w:rFonts w:hint="eastAsia" w:ascii="Times New Roman" w:hAnsi="Times New Roman" w:eastAsia="宋体" w:cs="Times New Roman"/>
                      <w:color w:val="auto"/>
                      <w:lang w:val="en-US" w:eastAsia="zh-CN"/>
                    </w:rPr>
                  </w:pPr>
                  <w:r>
                    <w:rPr>
                      <w:rFonts w:hint="eastAsia" w:cs="Times New Roman"/>
                      <w:color w:val="auto"/>
                      <w:kern w:val="2"/>
                      <w:sz w:val="21"/>
                      <w:szCs w:val="24"/>
                      <w:lang w:val="en-US" w:eastAsia="zh-CN" w:bidi="ar-SA"/>
                    </w:rPr>
                    <w:t>一、二期共用</w:t>
                  </w:r>
                </w:p>
              </w:tc>
            </w:tr>
            <w:tr w14:paraId="6D40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vAlign w:val="center"/>
                </w:tcPr>
                <w:p w14:paraId="65F91089">
                  <w:pPr>
                    <w:widowControl/>
                    <w:jc w:val="center"/>
                    <w:textAlignment w:val="center"/>
                    <w:rPr>
                      <w:rFonts w:hint="default" w:cs="Times New Roman"/>
                      <w:color w:val="auto"/>
                      <w:lang w:val="en-US" w:eastAsia="zh-CN"/>
                    </w:rPr>
                  </w:pPr>
                  <w:r>
                    <w:rPr>
                      <w:rFonts w:hint="eastAsia" w:cs="Times New Roman"/>
                      <w:color w:val="auto"/>
                      <w:lang w:val="en-US" w:eastAsia="zh-CN"/>
                    </w:rPr>
                    <w:t>10</w:t>
                  </w:r>
                </w:p>
              </w:tc>
              <w:tc>
                <w:tcPr>
                  <w:tcW w:w="1993" w:type="dxa"/>
                  <w:vAlign w:val="center"/>
                </w:tcPr>
                <w:p w14:paraId="55C96B2F">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转翼式滤芯过滤器二级回收系统</w:t>
                  </w:r>
                </w:p>
              </w:tc>
              <w:tc>
                <w:tcPr>
                  <w:tcW w:w="1510" w:type="dxa"/>
                  <w:vAlign w:val="center"/>
                </w:tcPr>
                <w:p w14:paraId="5BB38392">
                  <w:pPr>
                    <w:widowControl/>
                    <w:jc w:val="center"/>
                    <w:textAlignment w:val="center"/>
                    <w:rPr>
                      <w:rFonts w:hint="default" w:cs="Times New Roman"/>
                      <w:color w:val="auto"/>
                      <w:lang w:val="en-US" w:eastAsia="zh-CN"/>
                    </w:rPr>
                  </w:pPr>
                  <w:r>
                    <w:rPr>
                      <w:rFonts w:hint="eastAsia" w:cs="Times New Roman"/>
                      <w:color w:val="auto"/>
                      <w:lang w:val="en-US" w:eastAsia="zh-CN"/>
                    </w:rPr>
                    <w:t>/</w:t>
                  </w:r>
                </w:p>
              </w:tc>
              <w:tc>
                <w:tcPr>
                  <w:tcW w:w="563" w:type="dxa"/>
                  <w:vAlign w:val="center"/>
                </w:tcPr>
                <w:p w14:paraId="151CAA81">
                  <w:pPr>
                    <w:widowControl/>
                    <w:jc w:val="center"/>
                    <w:textAlignment w:val="center"/>
                    <w:rPr>
                      <w:rFonts w:hint="default" w:cs="Times New Roman"/>
                      <w:color w:val="auto"/>
                      <w:lang w:val="en-US" w:eastAsia="zh-CN"/>
                    </w:rPr>
                  </w:pPr>
                  <w:r>
                    <w:rPr>
                      <w:rFonts w:hint="eastAsia" w:cs="Times New Roman"/>
                      <w:color w:val="auto"/>
                      <w:lang w:val="en-US" w:eastAsia="zh-CN"/>
                    </w:rPr>
                    <w:t>套</w:t>
                  </w:r>
                </w:p>
              </w:tc>
              <w:tc>
                <w:tcPr>
                  <w:tcW w:w="744" w:type="dxa"/>
                  <w:shd w:val="clear" w:color="auto" w:fill="auto"/>
                  <w:vAlign w:val="center"/>
                </w:tcPr>
                <w:p w14:paraId="39FDF5A2">
                  <w:pPr>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w:t>
                  </w:r>
                </w:p>
              </w:tc>
              <w:tc>
                <w:tcPr>
                  <w:tcW w:w="872" w:type="dxa"/>
                  <w:shd w:val="clear" w:color="auto" w:fill="auto"/>
                  <w:vAlign w:val="center"/>
                </w:tcPr>
                <w:p w14:paraId="268E1670">
                  <w:pPr>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w:t>
                  </w:r>
                </w:p>
              </w:tc>
              <w:tc>
                <w:tcPr>
                  <w:tcW w:w="750" w:type="dxa"/>
                  <w:shd w:val="clear" w:color="auto" w:fill="auto"/>
                  <w:vAlign w:val="center"/>
                </w:tcPr>
                <w:p w14:paraId="18DAACBD">
                  <w:pPr>
                    <w:jc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w:t>
                  </w:r>
                </w:p>
              </w:tc>
              <w:tc>
                <w:tcPr>
                  <w:tcW w:w="994" w:type="dxa"/>
                  <w:shd w:val="clear" w:color="auto" w:fill="auto"/>
                  <w:vAlign w:val="center"/>
                </w:tcPr>
                <w:p w14:paraId="6B372D9F">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一、二期共用</w:t>
                  </w:r>
                </w:p>
              </w:tc>
            </w:tr>
          </w:tbl>
          <w:p w14:paraId="75DE4013">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b/>
                <w:bCs/>
                <w:color w:val="auto"/>
                <w:kern w:val="0"/>
                <w:sz w:val="24"/>
                <w:szCs w:val="24"/>
                <w:lang w:val="en-US" w:eastAsia="zh-CN" w:bidi="ar"/>
              </w:rPr>
            </w:pPr>
            <w:r>
              <w:rPr>
                <w:rFonts w:hint="eastAsia"/>
                <w:b/>
                <w:bCs/>
                <w:color w:val="auto"/>
                <w:kern w:val="0"/>
                <w:sz w:val="24"/>
                <w:szCs w:val="24"/>
                <w:lang w:val="en-US" w:eastAsia="zh-CN" w:bidi="ar"/>
              </w:rPr>
              <w:t>七、公用工程</w:t>
            </w:r>
          </w:p>
          <w:p w14:paraId="40B7C8E4">
            <w:pPr>
              <w:widowControl/>
              <w:numPr>
                <w:ilvl w:val="0"/>
                <w:numId w:val="6"/>
              </w:numPr>
              <w:spacing w:line="360" w:lineRule="auto"/>
              <w:ind w:firstLine="480" w:firstLineChars="200"/>
              <w:rPr>
                <w:color w:val="auto"/>
                <w:sz w:val="24"/>
              </w:rPr>
            </w:pPr>
            <w:r>
              <w:rPr>
                <w:rFonts w:hint="eastAsia"/>
                <w:color w:val="auto"/>
                <w:sz w:val="24"/>
              </w:rPr>
              <w:t>给排水</w:t>
            </w:r>
          </w:p>
          <w:p w14:paraId="503AE63E">
            <w:pPr>
              <w:snapToGrid w:val="0"/>
              <w:spacing w:line="360" w:lineRule="auto"/>
              <w:ind w:firstLine="480" w:firstLineChars="200"/>
              <w:rPr>
                <w:rFonts w:hint="eastAsia"/>
                <w:color w:val="auto"/>
                <w:sz w:val="24"/>
                <w:lang w:val="en-US" w:eastAsia="zh-CN"/>
              </w:rPr>
            </w:pPr>
            <w:r>
              <w:rPr>
                <w:rFonts w:hint="eastAsia"/>
                <w:color w:val="auto"/>
                <w:sz w:val="24"/>
                <w:lang w:val="en-US" w:eastAsia="zh-CN"/>
              </w:rPr>
              <w:t>本项目运营期无生产废水产生，仅有生活污水；无循环冷却水，本项目为自然冷却。</w:t>
            </w:r>
          </w:p>
          <w:p w14:paraId="1D6A8CFD">
            <w:pPr>
              <w:snapToGrid w:val="0"/>
              <w:spacing w:line="360" w:lineRule="auto"/>
              <w:ind w:firstLine="480" w:firstLineChars="200"/>
              <w:rPr>
                <w:rFonts w:hint="eastAsia"/>
                <w:color w:val="auto"/>
                <w:sz w:val="24"/>
                <w:lang w:val="en-US" w:eastAsia="zh-CN"/>
              </w:rPr>
            </w:pPr>
            <w:r>
              <w:rPr>
                <w:rFonts w:hint="eastAsia"/>
                <w:color w:val="auto"/>
                <w:sz w:val="24"/>
              </w:rPr>
              <w:t>本项目劳动定员</w:t>
            </w:r>
            <w:r>
              <w:rPr>
                <w:rFonts w:hint="eastAsia"/>
                <w:color w:val="auto"/>
                <w:sz w:val="24"/>
                <w:lang w:val="en-US" w:eastAsia="zh-CN"/>
              </w:rPr>
              <w:t>64</w:t>
            </w:r>
            <w:r>
              <w:rPr>
                <w:rFonts w:hint="eastAsia"/>
                <w:color w:val="auto"/>
                <w:sz w:val="24"/>
              </w:rPr>
              <w:t>人，</w:t>
            </w:r>
            <w:r>
              <w:rPr>
                <w:rFonts w:hint="eastAsia"/>
                <w:color w:val="auto"/>
                <w:sz w:val="24"/>
                <w:lang w:val="en-US" w:eastAsia="zh-CN"/>
              </w:rPr>
              <w:t>劳动人员办公场地不居住，</w:t>
            </w:r>
            <w:r>
              <w:rPr>
                <w:rFonts w:hint="eastAsia"/>
                <w:color w:val="auto"/>
                <w:sz w:val="24"/>
              </w:rPr>
              <w:t>用水量采用《内蒙古自治区行业用水定额标准》（DB15/T 385-202</w:t>
            </w:r>
            <w:r>
              <w:rPr>
                <w:rFonts w:hint="eastAsia"/>
                <w:color w:val="auto"/>
                <w:sz w:val="24"/>
                <w:lang w:val="en-US" w:eastAsia="zh-CN"/>
              </w:rPr>
              <w:t>5</w:t>
            </w:r>
            <w:r>
              <w:rPr>
                <w:rFonts w:hint="eastAsia"/>
                <w:color w:val="auto"/>
                <w:sz w:val="24"/>
              </w:rPr>
              <w:t>）</w:t>
            </w:r>
            <w:r>
              <w:rPr>
                <w:color w:val="auto"/>
                <w:sz w:val="24"/>
              </w:rPr>
              <w:t>中</w:t>
            </w:r>
            <w:r>
              <w:rPr>
                <w:rFonts w:hint="eastAsia"/>
                <w:color w:val="auto"/>
                <w:sz w:val="24"/>
              </w:rPr>
              <w:t>农村居民</w:t>
            </w:r>
            <w:r>
              <w:rPr>
                <w:color w:val="auto"/>
                <w:sz w:val="24"/>
              </w:rPr>
              <w:t>用水定额</w:t>
            </w:r>
            <w:r>
              <w:rPr>
                <w:rFonts w:hint="eastAsia"/>
                <w:color w:val="auto"/>
                <w:sz w:val="24"/>
                <w:lang w:eastAsia="zh-CN"/>
              </w:rPr>
              <w:t>的</w:t>
            </w:r>
            <w:r>
              <w:rPr>
                <w:rFonts w:hint="eastAsia"/>
                <w:color w:val="auto"/>
                <w:sz w:val="24"/>
                <w:lang w:val="en-US" w:eastAsia="zh-CN"/>
              </w:rPr>
              <w:t>四分之一进行分析，20</w:t>
            </w:r>
            <w:r>
              <w:rPr>
                <w:color w:val="auto"/>
                <w:sz w:val="24"/>
              </w:rPr>
              <w:t>L/人·d，年工作时间为</w:t>
            </w:r>
            <w:r>
              <w:rPr>
                <w:rFonts w:hint="eastAsia"/>
                <w:color w:val="auto"/>
                <w:sz w:val="24"/>
              </w:rPr>
              <w:t>33</w:t>
            </w:r>
            <w:r>
              <w:rPr>
                <w:rFonts w:hint="eastAsia"/>
                <w:color w:val="auto"/>
                <w:sz w:val="24"/>
                <w:lang w:val="en-US" w:eastAsia="zh-CN"/>
              </w:rPr>
              <w:t>0</w:t>
            </w:r>
            <w:r>
              <w:rPr>
                <w:color w:val="auto"/>
                <w:sz w:val="24"/>
              </w:rPr>
              <w:t>d</w:t>
            </w:r>
            <w:r>
              <w:rPr>
                <w:rFonts w:hint="eastAsia"/>
                <w:color w:val="auto"/>
                <w:sz w:val="24"/>
                <w:lang w:val="en-US" w:eastAsia="zh-CN"/>
              </w:rPr>
              <w:t>.。</w:t>
            </w:r>
          </w:p>
          <w:p w14:paraId="131D9C2A">
            <w:pPr>
              <w:snapToGrid w:val="0"/>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一期：劳动定员37人，</w:t>
            </w:r>
            <w:r>
              <w:rPr>
                <w:color w:val="auto"/>
                <w:sz w:val="24"/>
                <w:highlight w:val="none"/>
              </w:rPr>
              <w:t>则生活用水量</w:t>
            </w:r>
            <w:r>
              <w:rPr>
                <w:rFonts w:hint="eastAsia"/>
                <w:color w:val="auto"/>
                <w:sz w:val="24"/>
                <w:highlight w:val="none"/>
                <w:lang w:val="en-US" w:eastAsia="zh-CN"/>
              </w:rPr>
              <w:t>0.74</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244.2</w:t>
            </w:r>
            <w:r>
              <w:rPr>
                <w:rFonts w:hint="eastAsia"/>
                <w:color w:val="auto"/>
                <w:sz w:val="24"/>
                <w:highlight w:val="none"/>
              </w:rPr>
              <w:t>t</w:t>
            </w:r>
            <w:r>
              <w:rPr>
                <w:rFonts w:hint="eastAsia"/>
                <w:color w:val="auto"/>
                <w:sz w:val="24"/>
                <w:highlight w:val="none"/>
                <w:lang w:val="en-US" w:eastAsia="zh-CN"/>
              </w:rPr>
              <w:t>/a</w:t>
            </w:r>
            <w:r>
              <w:rPr>
                <w:color w:val="auto"/>
                <w:sz w:val="24"/>
                <w:highlight w:val="none"/>
              </w:rPr>
              <w:t>）</w:t>
            </w:r>
            <w:r>
              <w:rPr>
                <w:rFonts w:hint="eastAsia"/>
                <w:color w:val="auto"/>
                <w:sz w:val="24"/>
                <w:highlight w:val="none"/>
                <w:lang w:eastAsia="zh-CN"/>
              </w:rPr>
              <w:t>，</w:t>
            </w:r>
            <w:r>
              <w:rPr>
                <w:color w:val="auto"/>
                <w:sz w:val="24"/>
                <w:highlight w:val="none"/>
              </w:rPr>
              <w:t>生活污水的排放系数按0.8计算，则生活污水的产生量为</w:t>
            </w:r>
            <w:r>
              <w:rPr>
                <w:rFonts w:hint="eastAsia"/>
                <w:color w:val="auto"/>
                <w:sz w:val="24"/>
                <w:highlight w:val="none"/>
                <w:lang w:val="en-US" w:eastAsia="zh-CN"/>
              </w:rPr>
              <w:t>0.592</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rPr>
              <w:t>（</w:t>
            </w:r>
            <w:r>
              <w:rPr>
                <w:rFonts w:hint="eastAsia"/>
                <w:color w:val="auto"/>
                <w:sz w:val="24"/>
                <w:highlight w:val="none"/>
                <w:lang w:val="en-US" w:eastAsia="zh-CN"/>
              </w:rPr>
              <w:t>195.36</w:t>
            </w:r>
            <w:r>
              <w:rPr>
                <w:rFonts w:hint="eastAsia"/>
                <w:color w:val="auto"/>
                <w:sz w:val="24"/>
                <w:highlight w:val="none"/>
              </w:rPr>
              <w:t>t</w:t>
            </w:r>
            <w:r>
              <w:rPr>
                <w:color w:val="auto"/>
                <w:sz w:val="24"/>
                <w:highlight w:val="none"/>
              </w:rPr>
              <w:t>/a</w:t>
            </w:r>
            <w:r>
              <w:rPr>
                <w:rFonts w:hint="eastAsia"/>
                <w:color w:val="auto"/>
                <w:sz w:val="24"/>
                <w:highlight w:val="none"/>
              </w:rPr>
              <w:t>）</w:t>
            </w:r>
            <w:r>
              <w:rPr>
                <w:color w:val="auto"/>
                <w:sz w:val="24"/>
                <w:highlight w:val="none"/>
              </w:rPr>
              <w:t>。</w:t>
            </w:r>
            <w:r>
              <w:rPr>
                <w:rFonts w:hint="eastAsia"/>
                <w:color w:val="auto"/>
                <w:sz w:val="24"/>
                <w:highlight w:val="none"/>
                <w:lang w:val="en-US" w:eastAsia="zh-CN"/>
              </w:rPr>
              <w:t>生活污水经园区化粪池处理后，接管排入内蒙古天河水务有限公司进一步处理。</w:t>
            </w:r>
          </w:p>
          <w:p w14:paraId="4AAB3958">
            <w:pPr>
              <w:autoSpaceDE w:val="0"/>
              <w:autoSpaceDN w:val="0"/>
              <w:adjustRightInd w:val="0"/>
              <w:snapToGrid w:val="0"/>
              <w:ind w:firstLine="964" w:firstLineChars="400"/>
              <w:rPr>
                <w:rFonts w:hint="default" w:eastAsia="宋体"/>
                <w:b/>
                <w:bCs/>
                <w:color w:val="auto"/>
                <w:kern w:val="0"/>
                <w:sz w:val="24"/>
                <w:lang w:val="en-US" w:eastAsia="zh-CN"/>
              </w:rPr>
            </w:pPr>
            <w:r>
              <w:rPr>
                <w:rFonts w:hint="eastAsia"/>
                <w:b/>
                <w:bCs/>
                <w:color w:val="auto"/>
                <w:kern w:val="0"/>
                <w:sz w:val="24"/>
              </w:rPr>
              <w:t>表2-</w:t>
            </w:r>
            <w:r>
              <w:rPr>
                <w:rFonts w:hint="eastAsia"/>
                <w:b/>
                <w:bCs/>
                <w:color w:val="auto"/>
                <w:kern w:val="0"/>
                <w:sz w:val="24"/>
                <w:lang w:val="en-US" w:eastAsia="zh-CN"/>
              </w:rPr>
              <w:t>11</w:t>
            </w:r>
            <w:r>
              <w:rPr>
                <w:rFonts w:hint="eastAsia"/>
                <w:b/>
                <w:bCs/>
                <w:color w:val="auto"/>
                <w:kern w:val="0"/>
                <w:sz w:val="24"/>
              </w:rPr>
              <w:t xml:space="preserve">    项目</w:t>
            </w:r>
            <w:r>
              <w:rPr>
                <w:rFonts w:hint="eastAsia"/>
                <w:b/>
                <w:bCs/>
                <w:color w:val="auto"/>
                <w:kern w:val="0"/>
                <w:sz w:val="24"/>
                <w:lang w:val="en-US" w:eastAsia="zh-CN"/>
              </w:rPr>
              <w:t>一期</w:t>
            </w:r>
            <w:r>
              <w:rPr>
                <w:rFonts w:hint="eastAsia"/>
                <w:b/>
                <w:bCs/>
                <w:color w:val="auto"/>
                <w:kern w:val="0"/>
                <w:sz w:val="24"/>
              </w:rPr>
              <w:t>水量平衡一览表</w:t>
            </w:r>
            <w:r>
              <w:rPr>
                <w:rFonts w:hint="eastAsia"/>
                <w:b/>
                <w:bCs/>
                <w:color w:val="auto"/>
                <w:kern w:val="0"/>
                <w:sz w:val="24"/>
                <w:lang w:val="en-US" w:eastAsia="zh-CN"/>
              </w:rPr>
              <w:t xml:space="preserve">       单位：</w:t>
            </w:r>
            <w:r>
              <w:rPr>
                <w:b/>
                <w:bCs w:val="0"/>
                <w:color w:val="auto"/>
                <w:sz w:val="24"/>
                <w:szCs w:val="24"/>
              </w:rPr>
              <w:t>m</w:t>
            </w:r>
            <w:r>
              <w:rPr>
                <w:b/>
                <w:bCs w:val="0"/>
                <w:color w:val="auto"/>
                <w:sz w:val="24"/>
                <w:szCs w:val="24"/>
                <w:vertAlign w:val="superscript"/>
              </w:rPr>
              <w:t>3</w:t>
            </w:r>
            <w:r>
              <w:rPr>
                <w:b/>
                <w:bCs w:val="0"/>
                <w:color w:val="auto"/>
                <w:sz w:val="24"/>
                <w:szCs w:val="24"/>
              </w:rPr>
              <w:t>/</w:t>
            </w:r>
            <w:r>
              <w:rPr>
                <w:rFonts w:hint="eastAsia"/>
                <w:b/>
                <w:bCs w:val="0"/>
                <w:color w:val="auto"/>
                <w:sz w:val="24"/>
                <w:szCs w:val="24"/>
              </w:rPr>
              <w:t>d</w:t>
            </w:r>
          </w:p>
          <w:tbl>
            <w:tblPr>
              <w:tblStyle w:val="23"/>
              <w:tblW w:w="8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065"/>
              <w:gridCol w:w="1080"/>
              <w:gridCol w:w="1668"/>
              <w:gridCol w:w="1135"/>
              <w:gridCol w:w="1548"/>
            </w:tblGrid>
            <w:tr w14:paraId="6C2A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587" w:type="dxa"/>
                  <w:vAlign w:val="center"/>
                </w:tcPr>
                <w:p w14:paraId="08C9F007">
                  <w:pPr>
                    <w:snapToGrid w:val="0"/>
                    <w:jc w:val="center"/>
                    <w:rPr>
                      <w:bCs/>
                      <w:color w:val="auto"/>
                      <w:szCs w:val="21"/>
                    </w:rPr>
                  </w:pPr>
                  <w:r>
                    <w:rPr>
                      <w:bCs/>
                      <w:color w:val="auto"/>
                      <w:szCs w:val="21"/>
                    </w:rPr>
                    <w:t>用水工序</w:t>
                  </w:r>
                </w:p>
              </w:tc>
              <w:tc>
                <w:tcPr>
                  <w:tcW w:w="1065" w:type="dxa"/>
                  <w:vAlign w:val="center"/>
                </w:tcPr>
                <w:p w14:paraId="0FC59884">
                  <w:pPr>
                    <w:snapToGrid w:val="0"/>
                    <w:jc w:val="center"/>
                    <w:rPr>
                      <w:bCs/>
                      <w:color w:val="auto"/>
                      <w:szCs w:val="21"/>
                    </w:rPr>
                  </w:pPr>
                  <w:r>
                    <w:rPr>
                      <w:bCs/>
                      <w:color w:val="auto"/>
                      <w:szCs w:val="21"/>
                    </w:rPr>
                    <w:t>用水量</w:t>
                  </w:r>
                </w:p>
              </w:tc>
              <w:tc>
                <w:tcPr>
                  <w:tcW w:w="1080" w:type="dxa"/>
                  <w:vAlign w:val="center"/>
                </w:tcPr>
                <w:p w14:paraId="2D2CE23C">
                  <w:pPr>
                    <w:snapToGrid w:val="0"/>
                    <w:jc w:val="center"/>
                    <w:rPr>
                      <w:bCs/>
                      <w:color w:val="auto"/>
                      <w:szCs w:val="21"/>
                    </w:rPr>
                  </w:pPr>
                  <w:r>
                    <w:rPr>
                      <w:rFonts w:hint="eastAsia"/>
                      <w:bCs/>
                      <w:color w:val="auto"/>
                      <w:szCs w:val="21"/>
                    </w:rPr>
                    <w:t>损耗水量</w:t>
                  </w:r>
                </w:p>
              </w:tc>
              <w:tc>
                <w:tcPr>
                  <w:tcW w:w="1668" w:type="dxa"/>
                  <w:vAlign w:val="center"/>
                </w:tcPr>
                <w:p w14:paraId="775180E9">
                  <w:pPr>
                    <w:snapToGrid w:val="0"/>
                    <w:jc w:val="center"/>
                    <w:rPr>
                      <w:bCs/>
                      <w:color w:val="auto"/>
                      <w:szCs w:val="21"/>
                    </w:rPr>
                  </w:pPr>
                  <w:r>
                    <w:rPr>
                      <w:bCs/>
                      <w:color w:val="auto"/>
                      <w:szCs w:val="21"/>
                    </w:rPr>
                    <w:t>废水产生量</w:t>
                  </w:r>
                </w:p>
              </w:tc>
              <w:tc>
                <w:tcPr>
                  <w:tcW w:w="1135" w:type="dxa"/>
                  <w:vAlign w:val="center"/>
                </w:tcPr>
                <w:p w14:paraId="4D29D291">
                  <w:pPr>
                    <w:snapToGrid w:val="0"/>
                    <w:jc w:val="center"/>
                    <w:rPr>
                      <w:bCs/>
                      <w:color w:val="auto"/>
                      <w:szCs w:val="21"/>
                    </w:rPr>
                  </w:pPr>
                  <w:r>
                    <w:rPr>
                      <w:rFonts w:hint="eastAsia"/>
                      <w:bCs/>
                      <w:color w:val="auto"/>
                      <w:szCs w:val="21"/>
                    </w:rPr>
                    <w:t>用水来源</w:t>
                  </w:r>
                </w:p>
              </w:tc>
              <w:tc>
                <w:tcPr>
                  <w:tcW w:w="1548" w:type="dxa"/>
                  <w:vAlign w:val="center"/>
                </w:tcPr>
                <w:p w14:paraId="0CE29640">
                  <w:pPr>
                    <w:snapToGrid w:val="0"/>
                    <w:jc w:val="center"/>
                    <w:rPr>
                      <w:bCs/>
                      <w:color w:val="auto"/>
                      <w:szCs w:val="21"/>
                    </w:rPr>
                  </w:pPr>
                  <w:r>
                    <w:rPr>
                      <w:rFonts w:hint="eastAsia"/>
                      <w:bCs/>
                      <w:color w:val="auto"/>
                      <w:szCs w:val="21"/>
                    </w:rPr>
                    <w:t>排水去向</w:t>
                  </w:r>
                </w:p>
              </w:tc>
            </w:tr>
            <w:tr w14:paraId="0F6D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587" w:type="dxa"/>
                  <w:vAlign w:val="center"/>
                </w:tcPr>
                <w:p w14:paraId="56C58901">
                  <w:pPr>
                    <w:snapToGrid w:val="0"/>
                    <w:jc w:val="center"/>
                    <w:rPr>
                      <w:bCs/>
                      <w:color w:val="auto"/>
                      <w:szCs w:val="21"/>
                    </w:rPr>
                  </w:pPr>
                  <w:r>
                    <w:rPr>
                      <w:rFonts w:hint="eastAsia"/>
                      <w:bCs/>
                      <w:color w:val="auto"/>
                      <w:szCs w:val="21"/>
                    </w:rPr>
                    <w:t>生活用水</w:t>
                  </w:r>
                </w:p>
              </w:tc>
              <w:tc>
                <w:tcPr>
                  <w:tcW w:w="1065" w:type="dxa"/>
                  <w:vAlign w:val="center"/>
                </w:tcPr>
                <w:p w14:paraId="64E449C1">
                  <w:pPr>
                    <w:snapToGrid w:val="0"/>
                    <w:jc w:val="center"/>
                    <w:rPr>
                      <w:rFonts w:hint="default" w:eastAsia="宋体"/>
                      <w:bCs/>
                      <w:color w:val="auto"/>
                      <w:szCs w:val="21"/>
                      <w:lang w:val="en-US" w:eastAsia="zh-CN"/>
                    </w:rPr>
                  </w:pPr>
                  <w:r>
                    <w:rPr>
                      <w:rFonts w:hint="eastAsia"/>
                      <w:bCs/>
                      <w:color w:val="auto"/>
                      <w:szCs w:val="21"/>
                      <w:lang w:val="en-US" w:eastAsia="zh-CN"/>
                    </w:rPr>
                    <w:t>0.74</w:t>
                  </w:r>
                </w:p>
              </w:tc>
              <w:tc>
                <w:tcPr>
                  <w:tcW w:w="1080" w:type="dxa"/>
                  <w:vAlign w:val="center"/>
                </w:tcPr>
                <w:p w14:paraId="7AB70DBD">
                  <w:pPr>
                    <w:snapToGrid w:val="0"/>
                    <w:jc w:val="center"/>
                    <w:rPr>
                      <w:rFonts w:hint="default" w:eastAsia="宋体"/>
                      <w:bCs/>
                      <w:color w:val="auto"/>
                      <w:szCs w:val="21"/>
                      <w:lang w:val="en-US" w:eastAsia="zh-CN"/>
                    </w:rPr>
                  </w:pPr>
                  <w:r>
                    <w:rPr>
                      <w:rFonts w:hint="eastAsia"/>
                      <w:bCs/>
                      <w:color w:val="auto"/>
                      <w:szCs w:val="21"/>
                      <w:lang w:val="en-US" w:eastAsia="zh-CN"/>
                    </w:rPr>
                    <w:t>0.148</w:t>
                  </w:r>
                </w:p>
              </w:tc>
              <w:tc>
                <w:tcPr>
                  <w:tcW w:w="1668" w:type="dxa"/>
                  <w:vAlign w:val="center"/>
                </w:tcPr>
                <w:p w14:paraId="483B248F">
                  <w:pPr>
                    <w:snapToGrid w:val="0"/>
                    <w:jc w:val="center"/>
                    <w:rPr>
                      <w:rFonts w:hint="default" w:eastAsia="宋体"/>
                      <w:bCs/>
                      <w:color w:val="auto"/>
                      <w:szCs w:val="21"/>
                      <w:lang w:val="en-US" w:eastAsia="zh-CN"/>
                    </w:rPr>
                  </w:pPr>
                  <w:r>
                    <w:rPr>
                      <w:rFonts w:hint="eastAsia"/>
                      <w:bCs/>
                      <w:color w:val="auto"/>
                      <w:szCs w:val="21"/>
                      <w:lang w:val="en-US" w:eastAsia="zh-CN"/>
                    </w:rPr>
                    <w:t>0.592</w:t>
                  </w:r>
                </w:p>
              </w:tc>
              <w:tc>
                <w:tcPr>
                  <w:tcW w:w="1135" w:type="dxa"/>
                  <w:vAlign w:val="center"/>
                </w:tcPr>
                <w:p w14:paraId="3A940C2C">
                  <w:pPr>
                    <w:snapToGrid w:val="0"/>
                    <w:jc w:val="center"/>
                    <w:rPr>
                      <w:rFonts w:hint="default" w:eastAsia="宋体"/>
                      <w:bCs/>
                      <w:color w:val="auto"/>
                      <w:szCs w:val="21"/>
                      <w:lang w:val="en-US" w:eastAsia="zh-CN"/>
                    </w:rPr>
                  </w:pPr>
                  <w:r>
                    <w:rPr>
                      <w:rFonts w:hint="eastAsia"/>
                      <w:bCs/>
                      <w:color w:val="auto"/>
                      <w:szCs w:val="21"/>
                      <w:lang w:val="en-US" w:eastAsia="zh-CN"/>
                    </w:rPr>
                    <w:t>园区管网</w:t>
                  </w:r>
                </w:p>
              </w:tc>
              <w:tc>
                <w:tcPr>
                  <w:tcW w:w="1548" w:type="dxa"/>
                  <w:vAlign w:val="center"/>
                </w:tcPr>
                <w:p w14:paraId="2ABB6ECE">
                  <w:pPr>
                    <w:snapToGrid w:val="0"/>
                    <w:jc w:val="center"/>
                    <w:rPr>
                      <w:bCs/>
                      <w:color w:val="auto"/>
                      <w:szCs w:val="21"/>
                    </w:rPr>
                  </w:pPr>
                  <w:r>
                    <w:rPr>
                      <w:rFonts w:hint="eastAsia"/>
                      <w:bCs/>
                      <w:color w:val="auto"/>
                      <w:szCs w:val="21"/>
                      <w:lang w:val="en-US" w:eastAsia="zh-CN"/>
                    </w:rPr>
                    <w:t>内蒙古天河水务有限公司</w:t>
                  </w:r>
                </w:p>
              </w:tc>
            </w:tr>
          </w:tbl>
          <w:p w14:paraId="7B8C14D9">
            <w:pPr>
              <w:pStyle w:val="14"/>
              <w:rPr>
                <w:color w:val="auto"/>
              </w:rPr>
            </w:pPr>
          </w:p>
          <w:p w14:paraId="48800C89">
            <w:pPr>
              <w:widowControl/>
              <w:jc w:val="center"/>
              <w:rPr>
                <w:color w:val="auto"/>
                <w:highlight w:val="yellow"/>
              </w:rPr>
            </w:pPr>
            <w:r>
              <w:rPr>
                <w:color w:val="auto"/>
              </w:rPr>
              <w:drawing>
                <wp:inline distT="0" distB="0" distL="114300" distR="114300">
                  <wp:extent cx="3819525" cy="1524000"/>
                  <wp:effectExtent l="0" t="0" r="9525"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8"/>
                          <a:stretch>
                            <a:fillRect/>
                          </a:stretch>
                        </pic:blipFill>
                        <pic:spPr>
                          <a:xfrm>
                            <a:off x="0" y="0"/>
                            <a:ext cx="3819525" cy="1524000"/>
                          </a:xfrm>
                          <a:prstGeom prst="rect">
                            <a:avLst/>
                          </a:prstGeom>
                          <a:noFill/>
                          <a:ln>
                            <a:noFill/>
                          </a:ln>
                        </pic:spPr>
                      </pic:pic>
                    </a:graphicData>
                  </a:graphic>
                </wp:inline>
              </w:drawing>
            </w:r>
          </w:p>
          <w:p w14:paraId="3A4F63DB">
            <w:pPr>
              <w:widowControl/>
              <w:ind w:firstLine="1687" w:firstLineChars="700"/>
              <w:jc w:val="both"/>
              <w:rPr>
                <w:b/>
                <w:color w:val="auto"/>
                <w:sz w:val="24"/>
                <w:highlight w:val="none"/>
              </w:rPr>
            </w:pPr>
            <w:r>
              <w:rPr>
                <w:b/>
                <w:color w:val="auto"/>
                <w:sz w:val="24"/>
                <w:highlight w:val="none"/>
              </w:rPr>
              <w:t>图2-</w:t>
            </w:r>
            <w:r>
              <w:rPr>
                <w:rFonts w:hint="eastAsia"/>
                <w:b/>
                <w:color w:val="auto"/>
                <w:sz w:val="24"/>
                <w:highlight w:val="none"/>
                <w:lang w:val="en-US" w:eastAsia="zh-CN"/>
              </w:rPr>
              <w:t>1</w:t>
            </w:r>
            <w:r>
              <w:rPr>
                <w:b/>
                <w:color w:val="auto"/>
                <w:sz w:val="24"/>
                <w:highlight w:val="none"/>
              </w:rPr>
              <w:t xml:space="preserve"> </w:t>
            </w:r>
            <w:r>
              <w:rPr>
                <w:rFonts w:hint="eastAsia"/>
                <w:b/>
                <w:color w:val="auto"/>
                <w:sz w:val="24"/>
                <w:highlight w:val="none"/>
              </w:rPr>
              <w:t xml:space="preserve"> </w:t>
            </w:r>
            <w:r>
              <w:rPr>
                <w:b/>
                <w:color w:val="auto"/>
                <w:sz w:val="24"/>
                <w:highlight w:val="none"/>
              </w:rPr>
              <w:t xml:space="preserve">  </w:t>
            </w:r>
            <w:r>
              <w:rPr>
                <w:rFonts w:hint="eastAsia"/>
                <w:b/>
                <w:color w:val="auto"/>
                <w:sz w:val="24"/>
                <w:highlight w:val="none"/>
                <w:lang w:val="en-US" w:eastAsia="zh-CN"/>
              </w:rPr>
              <w:t>本项目一期用水</w:t>
            </w:r>
            <w:r>
              <w:rPr>
                <w:b/>
                <w:color w:val="auto"/>
                <w:sz w:val="24"/>
                <w:highlight w:val="none"/>
              </w:rPr>
              <w:t>水平衡图（m</w:t>
            </w:r>
            <w:r>
              <w:rPr>
                <w:b/>
                <w:color w:val="auto"/>
                <w:sz w:val="24"/>
                <w:highlight w:val="none"/>
                <w:vertAlign w:val="superscript"/>
              </w:rPr>
              <w:t>3</w:t>
            </w:r>
            <w:r>
              <w:rPr>
                <w:b/>
                <w:color w:val="auto"/>
                <w:sz w:val="24"/>
                <w:highlight w:val="none"/>
              </w:rPr>
              <w:t>/d）</w:t>
            </w:r>
          </w:p>
          <w:p w14:paraId="11AAD75C">
            <w:pPr>
              <w:snapToGrid w:val="0"/>
              <w:spacing w:line="360" w:lineRule="auto"/>
              <w:ind w:firstLine="480" w:firstLineChars="200"/>
              <w:rPr>
                <w:rFonts w:hint="eastAsia"/>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二期：劳动定员新增27人，</w:t>
            </w:r>
            <w:r>
              <w:rPr>
                <w:color w:val="auto"/>
                <w:sz w:val="24"/>
                <w:highlight w:val="none"/>
              </w:rPr>
              <w:t>则生活用水量</w:t>
            </w:r>
            <w:r>
              <w:rPr>
                <w:rFonts w:hint="eastAsia"/>
                <w:color w:val="auto"/>
                <w:sz w:val="24"/>
                <w:highlight w:val="none"/>
                <w:lang w:val="en-US" w:eastAsia="zh-CN"/>
              </w:rPr>
              <w:t>0.54</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178.2</w:t>
            </w:r>
            <w:r>
              <w:rPr>
                <w:rFonts w:hint="eastAsia"/>
                <w:color w:val="auto"/>
                <w:sz w:val="24"/>
                <w:highlight w:val="none"/>
              </w:rPr>
              <w:t>t</w:t>
            </w:r>
            <w:r>
              <w:rPr>
                <w:rFonts w:hint="eastAsia"/>
                <w:color w:val="auto"/>
                <w:sz w:val="24"/>
                <w:highlight w:val="none"/>
                <w:lang w:val="en-US" w:eastAsia="zh-CN"/>
              </w:rPr>
              <w:t>/a</w:t>
            </w:r>
            <w:r>
              <w:rPr>
                <w:color w:val="auto"/>
                <w:sz w:val="24"/>
                <w:highlight w:val="none"/>
              </w:rPr>
              <w:t>）。生活污水的排放系数按0.8计算，则生活污水的产生量为</w:t>
            </w:r>
            <w:r>
              <w:rPr>
                <w:rFonts w:hint="eastAsia"/>
                <w:color w:val="auto"/>
                <w:sz w:val="24"/>
                <w:highlight w:val="none"/>
                <w:lang w:val="en-US" w:eastAsia="zh-CN"/>
              </w:rPr>
              <w:t>0.432</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rPr>
              <w:t>（</w:t>
            </w:r>
            <w:r>
              <w:rPr>
                <w:rFonts w:hint="eastAsia"/>
                <w:color w:val="auto"/>
                <w:sz w:val="24"/>
                <w:highlight w:val="none"/>
                <w:lang w:val="en-US" w:eastAsia="zh-CN"/>
              </w:rPr>
              <w:t>142.56</w:t>
            </w:r>
            <w:r>
              <w:rPr>
                <w:rFonts w:hint="eastAsia"/>
                <w:color w:val="auto"/>
                <w:sz w:val="24"/>
                <w:highlight w:val="none"/>
              </w:rPr>
              <w:t>t</w:t>
            </w:r>
            <w:r>
              <w:rPr>
                <w:color w:val="auto"/>
                <w:sz w:val="24"/>
                <w:highlight w:val="none"/>
              </w:rPr>
              <w:t>/a</w:t>
            </w:r>
            <w:r>
              <w:rPr>
                <w:rFonts w:hint="eastAsia"/>
                <w:color w:val="auto"/>
                <w:sz w:val="24"/>
                <w:highlight w:val="none"/>
              </w:rPr>
              <w:t>）</w:t>
            </w:r>
            <w:r>
              <w:rPr>
                <w:color w:val="auto"/>
                <w:sz w:val="24"/>
                <w:highlight w:val="none"/>
              </w:rPr>
              <w:t>。</w:t>
            </w:r>
            <w:r>
              <w:rPr>
                <w:rFonts w:hint="eastAsia"/>
                <w:color w:val="auto"/>
                <w:sz w:val="24"/>
                <w:highlight w:val="none"/>
                <w:lang w:val="en-US" w:eastAsia="zh-CN"/>
              </w:rPr>
              <w:t>生活污水经园区化粪池处理后，接管排入内蒙古天河水务有限公司进一步处理。</w:t>
            </w:r>
          </w:p>
          <w:p w14:paraId="64D38AC6">
            <w:pPr>
              <w:autoSpaceDE w:val="0"/>
              <w:autoSpaceDN w:val="0"/>
              <w:adjustRightInd w:val="0"/>
              <w:snapToGrid w:val="0"/>
              <w:ind w:firstLine="964" w:firstLineChars="400"/>
              <w:rPr>
                <w:rFonts w:hint="default" w:eastAsia="宋体"/>
                <w:b/>
                <w:bCs/>
                <w:color w:val="auto"/>
                <w:kern w:val="0"/>
                <w:sz w:val="24"/>
                <w:lang w:val="en-US" w:eastAsia="zh-CN"/>
              </w:rPr>
            </w:pPr>
            <w:r>
              <w:rPr>
                <w:rFonts w:hint="eastAsia"/>
                <w:b/>
                <w:bCs/>
                <w:color w:val="auto"/>
                <w:kern w:val="0"/>
                <w:sz w:val="24"/>
              </w:rPr>
              <w:t>表2-</w:t>
            </w:r>
            <w:r>
              <w:rPr>
                <w:rFonts w:hint="eastAsia"/>
                <w:b/>
                <w:bCs/>
                <w:color w:val="auto"/>
                <w:kern w:val="0"/>
                <w:sz w:val="24"/>
                <w:lang w:val="en-US" w:eastAsia="zh-CN"/>
              </w:rPr>
              <w:t>12</w:t>
            </w:r>
            <w:r>
              <w:rPr>
                <w:rFonts w:hint="eastAsia"/>
                <w:b/>
                <w:bCs/>
                <w:color w:val="auto"/>
                <w:kern w:val="0"/>
                <w:sz w:val="24"/>
              </w:rPr>
              <w:t xml:space="preserve">    项目</w:t>
            </w:r>
            <w:r>
              <w:rPr>
                <w:rFonts w:hint="eastAsia"/>
                <w:b/>
                <w:bCs/>
                <w:color w:val="auto"/>
                <w:kern w:val="0"/>
                <w:sz w:val="24"/>
                <w:lang w:val="en-US" w:eastAsia="zh-CN"/>
              </w:rPr>
              <w:t>二期</w:t>
            </w:r>
            <w:r>
              <w:rPr>
                <w:rFonts w:hint="eastAsia"/>
                <w:b/>
                <w:bCs/>
                <w:color w:val="auto"/>
                <w:kern w:val="0"/>
                <w:sz w:val="24"/>
              </w:rPr>
              <w:t>水量平衡一览表</w:t>
            </w:r>
            <w:r>
              <w:rPr>
                <w:rFonts w:hint="eastAsia"/>
                <w:b/>
                <w:bCs/>
                <w:color w:val="auto"/>
                <w:kern w:val="0"/>
                <w:sz w:val="24"/>
                <w:lang w:val="en-US" w:eastAsia="zh-CN"/>
              </w:rPr>
              <w:t xml:space="preserve">       单位：</w:t>
            </w:r>
            <w:r>
              <w:rPr>
                <w:b/>
                <w:bCs w:val="0"/>
                <w:color w:val="auto"/>
                <w:sz w:val="24"/>
                <w:szCs w:val="24"/>
              </w:rPr>
              <w:t>m</w:t>
            </w:r>
            <w:r>
              <w:rPr>
                <w:b/>
                <w:bCs w:val="0"/>
                <w:color w:val="auto"/>
                <w:sz w:val="24"/>
                <w:szCs w:val="24"/>
                <w:vertAlign w:val="superscript"/>
              </w:rPr>
              <w:t>3</w:t>
            </w:r>
            <w:r>
              <w:rPr>
                <w:b/>
                <w:bCs w:val="0"/>
                <w:color w:val="auto"/>
                <w:sz w:val="24"/>
                <w:szCs w:val="24"/>
              </w:rPr>
              <w:t>/</w:t>
            </w:r>
            <w:r>
              <w:rPr>
                <w:rFonts w:hint="eastAsia"/>
                <w:b/>
                <w:bCs w:val="0"/>
                <w:color w:val="auto"/>
                <w:sz w:val="24"/>
                <w:szCs w:val="24"/>
              </w:rPr>
              <w:t>d</w:t>
            </w:r>
          </w:p>
          <w:tbl>
            <w:tblPr>
              <w:tblStyle w:val="23"/>
              <w:tblW w:w="8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065"/>
              <w:gridCol w:w="1080"/>
              <w:gridCol w:w="1668"/>
              <w:gridCol w:w="1135"/>
              <w:gridCol w:w="1548"/>
            </w:tblGrid>
            <w:tr w14:paraId="3698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587" w:type="dxa"/>
                  <w:vAlign w:val="center"/>
                </w:tcPr>
                <w:p w14:paraId="0258E5D7">
                  <w:pPr>
                    <w:snapToGrid w:val="0"/>
                    <w:jc w:val="center"/>
                    <w:rPr>
                      <w:bCs/>
                      <w:color w:val="auto"/>
                      <w:szCs w:val="21"/>
                    </w:rPr>
                  </w:pPr>
                  <w:r>
                    <w:rPr>
                      <w:bCs/>
                      <w:color w:val="auto"/>
                      <w:szCs w:val="21"/>
                    </w:rPr>
                    <w:t>用水工序</w:t>
                  </w:r>
                </w:p>
              </w:tc>
              <w:tc>
                <w:tcPr>
                  <w:tcW w:w="1065" w:type="dxa"/>
                  <w:vAlign w:val="center"/>
                </w:tcPr>
                <w:p w14:paraId="72229961">
                  <w:pPr>
                    <w:snapToGrid w:val="0"/>
                    <w:jc w:val="center"/>
                    <w:rPr>
                      <w:bCs/>
                      <w:color w:val="auto"/>
                      <w:szCs w:val="21"/>
                    </w:rPr>
                  </w:pPr>
                  <w:r>
                    <w:rPr>
                      <w:bCs/>
                      <w:color w:val="auto"/>
                      <w:szCs w:val="21"/>
                    </w:rPr>
                    <w:t>用水量</w:t>
                  </w:r>
                </w:p>
              </w:tc>
              <w:tc>
                <w:tcPr>
                  <w:tcW w:w="1080" w:type="dxa"/>
                  <w:vAlign w:val="center"/>
                </w:tcPr>
                <w:p w14:paraId="3A8EB62B">
                  <w:pPr>
                    <w:snapToGrid w:val="0"/>
                    <w:jc w:val="center"/>
                    <w:rPr>
                      <w:bCs/>
                      <w:color w:val="auto"/>
                      <w:szCs w:val="21"/>
                    </w:rPr>
                  </w:pPr>
                  <w:r>
                    <w:rPr>
                      <w:rFonts w:hint="eastAsia"/>
                      <w:bCs/>
                      <w:color w:val="auto"/>
                      <w:szCs w:val="21"/>
                    </w:rPr>
                    <w:t>损耗水量</w:t>
                  </w:r>
                </w:p>
              </w:tc>
              <w:tc>
                <w:tcPr>
                  <w:tcW w:w="1668" w:type="dxa"/>
                  <w:vAlign w:val="center"/>
                </w:tcPr>
                <w:p w14:paraId="7B1285CB">
                  <w:pPr>
                    <w:snapToGrid w:val="0"/>
                    <w:jc w:val="center"/>
                    <w:rPr>
                      <w:bCs/>
                      <w:color w:val="auto"/>
                      <w:szCs w:val="21"/>
                    </w:rPr>
                  </w:pPr>
                  <w:r>
                    <w:rPr>
                      <w:bCs/>
                      <w:color w:val="auto"/>
                      <w:szCs w:val="21"/>
                    </w:rPr>
                    <w:t>废水产生量</w:t>
                  </w:r>
                </w:p>
              </w:tc>
              <w:tc>
                <w:tcPr>
                  <w:tcW w:w="1135" w:type="dxa"/>
                  <w:vAlign w:val="center"/>
                </w:tcPr>
                <w:p w14:paraId="38E7EC3F">
                  <w:pPr>
                    <w:snapToGrid w:val="0"/>
                    <w:jc w:val="center"/>
                    <w:rPr>
                      <w:bCs/>
                      <w:color w:val="auto"/>
                      <w:szCs w:val="21"/>
                    </w:rPr>
                  </w:pPr>
                  <w:r>
                    <w:rPr>
                      <w:rFonts w:hint="eastAsia"/>
                      <w:bCs/>
                      <w:color w:val="auto"/>
                      <w:szCs w:val="21"/>
                    </w:rPr>
                    <w:t>用水来源</w:t>
                  </w:r>
                </w:p>
              </w:tc>
              <w:tc>
                <w:tcPr>
                  <w:tcW w:w="1548" w:type="dxa"/>
                  <w:vAlign w:val="center"/>
                </w:tcPr>
                <w:p w14:paraId="19152E6B">
                  <w:pPr>
                    <w:snapToGrid w:val="0"/>
                    <w:jc w:val="center"/>
                    <w:rPr>
                      <w:bCs/>
                      <w:color w:val="auto"/>
                      <w:szCs w:val="21"/>
                    </w:rPr>
                  </w:pPr>
                  <w:r>
                    <w:rPr>
                      <w:rFonts w:hint="eastAsia"/>
                      <w:bCs/>
                      <w:color w:val="auto"/>
                      <w:szCs w:val="21"/>
                    </w:rPr>
                    <w:t>排水去向</w:t>
                  </w:r>
                </w:p>
              </w:tc>
            </w:tr>
            <w:tr w14:paraId="5A5D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587" w:type="dxa"/>
                  <w:vAlign w:val="center"/>
                </w:tcPr>
                <w:p w14:paraId="0F401E50">
                  <w:pPr>
                    <w:snapToGrid w:val="0"/>
                    <w:jc w:val="center"/>
                    <w:rPr>
                      <w:bCs/>
                      <w:color w:val="auto"/>
                      <w:szCs w:val="21"/>
                    </w:rPr>
                  </w:pPr>
                  <w:r>
                    <w:rPr>
                      <w:rFonts w:hint="eastAsia"/>
                      <w:bCs/>
                      <w:color w:val="auto"/>
                      <w:szCs w:val="21"/>
                    </w:rPr>
                    <w:t>生活用水</w:t>
                  </w:r>
                </w:p>
              </w:tc>
              <w:tc>
                <w:tcPr>
                  <w:tcW w:w="1065" w:type="dxa"/>
                  <w:vAlign w:val="center"/>
                </w:tcPr>
                <w:p w14:paraId="7F6B460F">
                  <w:pPr>
                    <w:snapToGrid w:val="0"/>
                    <w:jc w:val="center"/>
                    <w:rPr>
                      <w:rFonts w:hint="default" w:eastAsia="宋体"/>
                      <w:bCs/>
                      <w:color w:val="auto"/>
                      <w:szCs w:val="21"/>
                      <w:lang w:val="en-US" w:eastAsia="zh-CN"/>
                    </w:rPr>
                  </w:pPr>
                  <w:r>
                    <w:rPr>
                      <w:rFonts w:hint="eastAsia"/>
                      <w:bCs/>
                      <w:color w:val="auto"/>
                      <w:szCs w:val="21"/>
                      <w:lang w:val="en-US" w:eastAsia="zh-CN"/>
                    </w:rPr>
                    <w:t>0.54</w:t>
                  </w:r>
                </w:p>
              </w:tc>
              <w:tc>
                <w:tcPr>
                  <w:tcW w:w="1080" w:type="dxa"/>
                  <w:vAlign w:val="center"/>
                </w:tcPr>
                <w:p w14:paraId="7DA982B4">
                  <w:pPr>
                    <w:snapToGrid w:val="0"/>
                    <w:jc w:val="center"/>
                    <w:rPr>
                      <w:rFonts w:hint="default" w:eastAsia="宋体"/>
                      <w:bCs/>
                      <w:color w:val="auto"/>
                      <w:szCs w:val="21"/>
                      <w:lang w:val="en-US" w:eastAsia="zh-CN"/>
                    </w:rPr>
                  </w:pPr>
                  <w:r>
                    <w:rPr>
                      <w:rFonts w:hint="eastAsia"/>
                      <w:bCs/>
                      <w:color w:val="auto"/>
                      <w:szCs w:val="21"/>
                      <w:lang w:val="en-US" w:eastAsia="zh-CN"/>
                    </w:rPr>
                    <w:t>0.108</w:t>
                  </w:r>
                </w:p>
              </w:tc>
              <w:tc>
                <w:tcPr>
                  <w:tcW w:w="1668" w:type="dxa"/>
                  <w:vAlign w:val="center"/>
                </w:tcPr>
                <w:p w14:paraId="354B188D">
                  <w:pPr>
                    <w:snapToGrid w:val="0"/>
                    <w:jc w:val="center"/>
                    <w:rPr>
                      <w:rFonts w:hint="default" w:eastAsia="宋体"/>
                      <w:bCs/>
                      <w:color w:val="auto"/>
                      <w:szCs w:val="21"/>
                      <w:lang w:val="en-US" w:eastAsia="zh-CN"/>
                    </w:rPr>
                  </w:pPr>
                  <w:r>
                    <w:rPr>
                      <w:rFonts w:hint="eastAsia"/>
                      <w:bCs/>
                      <w:color w:val="auto"/>
                      <w:szCs w:val="21"/>
                      <w:lang w:val="en-US" w:eastAsia="zh-CN"/>
                    </w:rPr>
                    <w:t>0.432</w:t>
                  </w:r>
                </w:p>
              </w:tc>
              <w:tc>
                <w:tcPr>
                  <w:tcW w:w="1135" w:type="dxa"/>
                  <w:vAlign w:val="center"/>
                </w:tcPr>
                <w:p w14:paraId="2DE24E41">
                  <w:pPr>
                    <w:snapToGrid w:val="0"/>
                    <w:jc w:val="center"/>
                    <w:rPr>
                      <w:rFonts w:hint="default" w:eastAsia="宋体"/>
                      <w:bCs/>
                      <w:color w:val="auto"/>
                      <w:szCs w:val="21"/>
                      <w:lang w:val="en-US" w:eastAsia="zh-CN"/>
                    </w:rPr>
                  </w:pPr>
                  <w:r>
                    <w:rPr>
                      <w:rFonts w:hint="eastAsia"/>
                      <w:bCs/>
                      <w:color w:val="auto"/>
                      <w:szCs w:val="21"/>
                      <w:lang w:val="en-US" w:eastAsia="zh-CN"/>
                    </w:rPr>
                    <w:t>园区管网</w:t>
                  </w:r>
                </w:p>
              </w:tc>
              <w:tc>
                <w:tcPr>
                  <w:tcW w:w="1548" w:type="dxa"/>
                  <w:vAlign w:val="center"/>
                </w:tcPr>
                <w:p w14:paraId="0C7E456B">
                  <w:pPr>
                    <w:snapToGrid w:val="0"/>
                    <w:jc w:val="center"/>
                    <w:rPr>
                      <w:bCs/>
                      <w:color w:val="auto"/>
                      <w:szCs w:val="21"/>
                    </w:rPr>
                  </w:pPr>
                  <w:r>
                    <w:rPr>
                      <w:rFonts w:hint="eastAsia"/>
                      <w:bCs/>
                      <w:color w:val="auto"/>
                      <w:szCs w:val="21"/>
                      <w:lang w:val="en-US" w:eastAsia="zh-CN"/>
                    </w:rPr>
                    <w:t>内蒙古天河水务有限公司</w:t>
                  </w:r>
                </w:p>
              </w:tc>
            </w:tr>
          </w:tbl>
          <w:p w14:paraId="04A58C8C">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center"/>
              <w:textAlignment w:val="auto"/>
              <w:rPr>
                <w:color w:val="auto"/>
              </w:rPr>
            </w:pPr>
          </w:p>
          <w:p w14:paraId="5206586D">
            <w:pPr>
              <w:keepNext w:val="0"/>
              <w:keepLines w:val="0"/>
              <w:pageBreakBefore w:val="0"/>
              <w:widowControl w:val="0"/>
              <w:kinsoku/>
              <w:wordWrap/>
              <w:overflowPunct/>
              <w:topLinePunct w:val="0"/>
              <w:autoSpaceDE/>
              <w:autoSpaceDN/>
              <w:bidi w:val="0"/>
              <w:adjustRightInd/>
              <w:snapToGrid w:val="0"/>
              <w:spacing w:line="240" w:lineRule="auto"/>
              <w:ind w:firstLine="420" w:firstLineChars="200"/>
              <w:jc w:val="center"/>
              <w:textAlignment w:val="auto"/>
              <w:rPr>
                <w:color w:val="auto"/>
              </w:rPr>
            </w:pPr>
            <w:r>
              <w:rPr>
                <w:color w:val="auto"/>
              </w:rPr>
              <w:drawing>
                <wp:inline distT="0" distB="0" distL="114300" distR="114300">
                  <wp:extent cx="3743325" cy="1390650"/>
                  <wp:effectExtent l="0" t="0" r="9525"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3743325" cy="1390650"/>
                          </a:xfrm>
                          <a:prstGeom prst="rect">
                            <a:avLst/>
                          </a:prstGeom>
                          <a:noFill/>
                          <a:ln>
                            <a:noFill/>
                          </a:ln>
                        </pic:spPr>
                      </pic:pic>
                    </a:graphicData>
                  </a:graphic>
                </wp:inline>
              </w:drawing>
            </w:r>
          </w:p>
          <w:p w14:paraId="3213D1B5">
            <w:pPr>
              <w:keepNext w:val="0"/>
              <w:keepLines w:val="0"/>
              <w:pageBreakBefore w:val="0"/>
              <w:widowControl w:val="0"/>
              <w:kinsoku/>
              <w:wordWrap/>
              <w:overflowPunct/>
              <w:topLinePunct w:val="0"/>
              <w:autoSpaceDE/>
              <w:autoSpaceDN/>
              <w:bidi w:val="0"/>
              <w:adjustRightInd/>
              <w:snapToGrid w:val="0"/>
              <w:spacing w:line="240" w:lineRule="auto"/>
              <w:ind w:firstLine="482" w:firstLineChars="200"/>
              <w:jc w:val="center"/>
              <w:textAlignment w:val="auto"/>
              <w:rPr>
                <w:b/>
                <w:color w:val="auto"/>
                <w:sz w:val="24"/>
              </w:rPr>
            </w:pPr>
            <w:r>
              <w:rPr>
                <w:b/>
                <w:color w:val="auto"/>
                <w:sz w:val="24"/>
              </w:rPr>
              <w:t>图2-</w:t>
            </w:r>
            <w:r>
              <w:rPr>
                <w:rFonts w:hint="eastAsia"/>
                <w:b/>
                <w:color w:val="auto"/>
                <w:sz w:val="24"/>
                <w:lang w:val="en-US" w:eastAsia="zh-CN"/>
              </w:rPr>
              <w:t>2</w:t>
            </w:r>
            <w:r>
              <w:rPr>
                <w:b/>
                <w:color w:val="auto"/>
                <w:sz w:val="24"/>
              </w:rPr>
              <w:t xml:space="preserve"> </w:t>
            </w:r>
            <w:r>
              <w:rPr>
                <w:rFonts w:hint="eastAsia"/>
                <w:b/>
                <w:color w:val="auto"/>
                <w:sz w:val="24"/>
              </w:rPr>
              <w:t xml:space="preserve"> </w:t>
            </w:r>
            <w:r>
              <w:rPr>
                <w:b/>
                <w:color w:val="auto"/>
                <w:sz w:val="24"/>
              </w:rPr>
              <w:t xml:space="preserve">  </w:t>
            </w:r>
            <w:r>
              <w:rPr>
                <w:rFonts w:hint="eastAsia"/>
                <w:b/>
                <w:color w:val="auto"/>
                <w:sz w:val="24"/>
                <w:lang w:val="en-US" w:eastAsia="zh-CN"/>
              </w:rPr>
              <w:t>本项目二期用水</w:t>
            </w:r>
            <w:r>
              <w:rPr>
                <w:b/>
                <w:color w:val="auto"/>
                <w:sz w:val="24"/>
              </w:rPr>
              <w:t>水平衡图（m</w:t>
            </w:r>
            <w:r>
              <w:rPr>
                <w:b/>
                <w:color w:val="auto"/>
                <w:sz w:val="24"/>
                <w:vertAlign w:val="superscript"/>
              </w:rPr>
              <w:t>3</w:t>
            </w:r>
            <w:r>
              <w:rPr>
                <w:b/>
                <w:color w:val="auto"/>
                <w:sz w:val="24"/>
              </w:rPr>
              <w:t>/d）</w:t>
            </w:r>
          </w:p>
          <w:p w14:paraId="74CD6930">
            <w:pPr>
              <w:snapToGrid w:val="0"/>
              <w:spacing w:line="360" w:lineRule="auto"/>
              <w:ind w:firstLine="480" w:firstLineChars="200"/>
              <w:rPr>
                <w:rFonts w:hint="eastAsia" w:ascii="Times New Roman" w:hAnsi="Times New Roman" w:eastAsia="宋体" w:cs="Times New Roman"/>
                <w:color w:val="auto"/>
                <w:sz w:val="24"/>
                <w:highlight w:val="yellow"/>
                <w:lang w:val="en-US" w:eastAsia="zh-CN"/>
              </w:rPr>
            </w:pPr>
            <w:r>
              <w:rPr>
                <w:rFonts w:hint="eastAsia" w:ascii="Times New Roman" w:hAnsi="Times New Roman" w:eastAsia="宋体" w:cs="Times New Roman"/>
                <w:color w:val="auto"/>
                <w:sz w:val="24"/>
                <w:highlight w:val="none"/>
                <w:lang w:val="en-US" w:eastAsia="zh-CN"/>
              </w:rPr>
              <w:t>本项目全部建成后劳动定员为64人，则</w:t>
            </w:r>
            <w:r>
              <w:rPr>
                <w:color w:val="auto"/>
                <w:sz w:val="24"/>
                <w:highlight w:val="none"/>
              </w:rPr>
              <w:t>生活用水量</w:t>
            </w:r>
            <w:r>
              <w:rPr>
                <w:rFonts w:hint="eastAsia"/>
                <w:color w:val="auto"/>
                <w:sz w:val="24"/>
                <w:highlight w:val="none"/>
                <w:lang w:val="en-US" w:eastAsia="zh-CN"/>
              </w:rPr>
              <w:t>1.28</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422.4</w:t>
            </w:r>
            <w:r>
              <w:rPr>
                <w:rFonts w:hint="eastAsia"/>
                <w:color w:val="auto"/>
                <w:sz w:val="24"/>
                <w:highlight w:val="none"/>
              </w:rPr>
              <w:t>t</w:t>
            </w:r>
            <w:r>
              <w:rPr>
                <w:rFonts w:hint="eastAsia"/>
                <w:color w:val="auto"/>
                <w:sz w:val="24"/>
                <w:highlight w:val="none"/>
                <w:lang w:val="en-US" w:eastAsia="zh-CN"/>
              </w:rPr>
              <w:t>/a</w:t>
            </w:r>
            <w:r>
              <w:rPr>
                <w:color w:val="auto"/>
                <w:sz w:val="24"/>
                <w:highlight w:val="none"/>
              </w:rPr>
              <w:t>）。生活污水的排放系数按0.8计算，则生活污水的产生量为</w:t>
            </w:r>
            <w:r>
              <w:rPr>
                <w:rFonts w:hint="eastAsia"/>
                <w:color w:val="auto"/>
                <w:sz w:val="24"/>
                <w:highlight w:val="none"/>
                <w:lang w:val="en-US" w:eastAsia="zh-CN"/>
              </w:rPr>
              <w:t>1.024</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rPr>
              <w:t>（</w:t>
            </w:r>
            <w:r>
              <w:rPr>
                <w:rFonts w:hint="eastAsia"/>
                <w:color w:val="auto"/>
                <w:sz w:val="24"/>
                <w:highlight w:val="none"/>
                <w:lang w:val="en-US" w:eastAsia="zh-CN"/>
              </w:rPr>
              <w:t>337.92</w:t>
            </w:r>
            <w:r>
              <w:rPr>
                <w:rFonts w:hint="eastAsia"/>
                <w:color w:val="auto"/>
                <w:sz w:val="24"/>
                <w:highlight w:val="none"/>
              </w:rPr>
              <w:t>t</w:t>
            </w:r>
            <w:r>
              <w:rPr>
                <w:color w:val="auto"/>
                <w:sz w:val="24"/>
                <w:highlight w:val="none"/>
              </w:rPr>
              <w:t>/a</w:t>
            </w:r>
            <w:r>
              <w:rPr>
                <w:rFonts w:hint="eastAsia"/>
                <w:color w:val="auto"/>
                <w:sz w:val="24"/>
                <w:highlight w:val="none"/>
              </w:rPr>
              <w:t>）</w:t>
            </w:r>
            <w:r>
              <w:rPr>
                <w:color w:val="auto"/>
                <w:sz w:val="24"/>
                <w:highlight w:val="none"/>
              </w:rPr>
              <w:t>。</w:t>
            </w:r>
            <w:r>
              <w:rPr>
                <w:rFonts w:hint="eastAsia"/>
                <w:color w:val="auto"/>
                <w:sz w:val="24"/>
                <w:highlight w:val="none"/>
                <w:lang w:val="en-US" w:eastAsia="zh-CN"/>
              </w:rPr>
              <w:t>生活污水经园区化粪池处理后，接管排入内蒙古天河水务有限公司进一步处理。</w:t>
            </w:r>
          </w:p>
          <w:p w14:paraId="3E1EC565">
            <w:pPr>
              <w:autoSpaceDE w:val="0"/>
              <w:autoSpaceDN w:val="0"/>
              <w:adjustRightInd w:val="0"/>
              <w:snapToGrid w:val="0"/>
              <w:ind w:firstLine="1928" w:firstLineChars="800"/>
              <w:rPr>
                <w:rFonts w:hint="default" w:eastAsia="宋体"/>
                <w:b/>
                <w:bCs/>
                <w:color w:val="auto"/>
                <w:kern w:val="0"/>
                <w:sz w:val="24"/>
                <w:lang w:val="en-US" w:eastAsia="zh-CN"/>
              </w:rPr>
            </w:pPr>
            <w:r>
              <w:rPr>
                <w:rFonts w:hint="eastAsia"/>
                <w:b/>
                <w:bCs/>
                <w:color w:val="auto"/>
                <w:kern w:val="0"/>
                <w:sz w:val="24"/>
              </w:rPr>
              <w:t>表2-</w:t>
            </w:r>
            <w:r>
              <w:rPr>
                <w:rFonts w:hint="eastAsia"/>
                <w:b/>
                <w:bCs/>
                <w:color w:val="auto"/>
                <w:kern w:val="0"/>
                <w:sz w:val="24"/>
                <w:lang w:val="en-US" w:eastAsia="zh-CN"/>
              </w:rPr>
              <w:t>13</w:t>
            </w:r>
            <w:r>
              <w:rPr>
                <w:rFonts w:hint="eastAsia"/>
                <w:b/>
                <w:bCs/>
                <w:color w:val="auto"/>
                <w:kern w:val="0"/>
                <w:sz w:val="24"/>
              </w:rPr>
              <w:t xml:space="preserve">    项目</w:t>
            </w:r>
            <w:r>
              <w:rPr>
                <w:rFonts w:hint="eastAsia"/>
                <w:b/>
                <w:bCs/>
                <w:color w:val="auto"/>
                <w:kern w:val="0"/>
                <w:sz w:val="24"/>
                <w:lang w:val="en-US" w:eastAsia="zh-CN"/>
              </w:rPr>
              <w:t>总</w:t>
            </w:r>
            <w:r>
              <w:rPr>
                <w:rFonts w:hint="eastAsia"/>
                <w:b/>
                <w:bCs/>
                <w:color w:val="auto"/>
                <w:kern w:val="0"/>
                <w:sz w:val="24"/>
              </w:rPr>
              <w:t>水量平衡一览表</w:t>
            </w:r>
            <w:r>
              <w:rPr>
                <w:rFonts w:hint="eastAsia"/>
                <w:b/>
                <w:bCs/>
                <w:color w:val="auto"/>
                <w:kern w:val="0"/>
                <w:sz w:val="24"/>
                <w:lang w:val="en-US" w:eastAsia="zh-CN"/>
              </w:rPr>
              <w:t xml:space="preserve">       单位：</w:t>
            </w:r>
            <w:r>
              <w:rPr>
                <w:b/>
                <w:bCs w:val="0"/>
                <w:color w:val="auto"/>
                <w:sz w:val="24"/>
                <w:szCs w:val="24"/>
              </w:rPr>
              <w:t>m</w:t>
            </w:r>
            <w:r>
              <w:rPr>
                <w:b/>
                <w:bCs w:val="0"/>
                <w:color w:val="auto"/>
                <w:sz w:val="24"/>
                <w:szCs w:val="24"/>
                <w:vertAlign w:val="superscript"/>
              </w:rPr>
              <w:t>3</w:t>
            </w:r>
            <w:r>
              <w:rPr>
                <w:b/>
                <w:bCs w:val="0"/>
                <w:color w:val="auto"/>
                <w:sz w:val="24"/>
                <w:szCs w:val="24"/>
              </w:rPr>
              <w:t>/</w:t>
            </w:r>
            <w:r>
              <w:rPr>
                <w:rFonts w:hint="eastAsia"/>
                <w:b/>
                <w:bCs w:val="0"/>
                <w:color w:val="auto"/>
                <w:sz w:val="24"/>
                <w:szCs w:val="24"/>
              </w:rPr>
              <w:t>d</w:t>
            </w:r>
          </w:p>
          <w:tbl>
            <w:tblPr>
              <w:tblStyle w:val="23"/>
              <w:tblW w:w="8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065"/>
              <w:gridCol w:w="1080"/>
              <w:gridCol w:w="1668"/>
              <w:gridCol w:w="1135"/>
              <w:gridCol w:w="1548"/>
            </w:tblGrid>
            <w:tr w14:paraId="1FA3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87" w:type="dxa"/>
                  <w:vAlign w:val="center"/>
                </w:tcPr>
                <w:p w14:paraId="40FB3D22">
                  <w:pPr>
                    <w:snapToGrid w:val="0"/>
                    <w:jc w:val="center"/>
                    <w:rPr>
                      <w:bCs/>
                      <w:color w:val="auto"/>
                      <w:szCs w:val="21"/>
                    </w:rPr>
                  </w:pPr>
                  <w:r>
                    <w:rPr>
                      <w:bCs/>
                      <w:color w:val="auto"/>
                      <w:szCs w:val="21"/>
                    </w:rPr>
                    <w:t>用水工序</w:t>
                  </w:r>
                </w:p>
              </w:tc>
              <w:tc>
                <w:tcPr>
                  <w:tcW w:w="1065" w:type="dxa"/>
                  <w:vAlign w:val="center"/>
                </w:tcPr>
                <w:p w14:paraId="700DA5F3">
                  <w:pPr>
                    <w:snapToGrid w:val="0"/>
                    <w:jc w:val="center"/>
                    <w:rPr>
                      <w:bCs/>
                      <w:color w:val="auto"/>
                      <w:szCs w:val="21"/>
                    </w:rPr>
                  </w:pPr>
                  <w:r>
                    <w:rPr>
                      <w:bCs/>
                      <w:color w:val="auto"/>
                      <w:szCs w:val="21"/>
                    </w:rPr>
                    <w:t>用水量</w:t>
                  </w:r>
                </w:p>
              </w:tc>
              <w:tc>
                <w:tcPr>
                  <w:tcW w:w="1080" w:type="dxa"/>
                  <w:vAlign w:val="center"/>
                </w:tcPr>
                <w:p w14:paraId="6E075F48">
                  <w:pPr>
                    <w:snapToGrid w:val="0"/>
                    <w:jc w:val="center"/>
                    <w:rPr>
                      <w:bCs/>
                      <w:color w:val="auto"/>
                      <w:szCs w:val="21"/>
                    </w:rPr>
                  </w:pPr>
                  <w:r>
                    <w:rPr>
                      <w:rFonts w:hint="eastAsia"/>
                      <w:bCs/>
                      <w:color w:val="auto"/>
                      <w:szCs w:val="21"/>
                    </w:rPr>
                    <w:t>损耗水量</w:t>
                  </w:r>
                </w:p>
              </w:tc>
              <w:tc>
                <w:tcPr>
                  <w:tcW w:w="1668" w:type="dxa"/>
                  <w:vAlign w:val="center"/>
                </w:tcPr>
                <w:p w14:paraId="0F8A7E40">
                  <w:pPr>
                    <w:snapToGrid w:val="0"/>
                    <w:jc w:val="center"/>
                    <w:rPr>
                      <w:bCs/>
                      <w:color w:val="auto"/>
                      <w:szCs w:val="21"/>
                    </w:rPr>
                  </w:pPr>
                  <w:r>
                    <w:rPr>
                      <w:bCs/>
                      <w:color w:val="auto"/>
                      <w:szCs w:val="21"/>
                    </w:rPr>
                    <w:t>废水产生量</w:t>
                  </w:r>
                </w:p>
              </w:tc>
              <w:tc>
                <w:tcPr>
                  <w:tcW w:w="1135" w:type="dxa"/>
                  <w:vAlign w:val="center"/>
                </w:tcPr>
                <w:p w14:paraId="0FD030B1">
                  <w:pPr>
                    <w:snapToGrid w:val="0"/>
                    <w:jc w:val="center"/>
                    <w:rPr>
                      <w:bCs/>
                      <w:color w:val="auto"/>
                      <w:szCs w:val="21"/>
                    </w:rPr>
                  </w:pPr>
                  <w:r>
                    <w:rPr>
                      <w:rFonts w:hint="eastAsia"/>
                      <w:bCs/>
                      <w:color w:val="auto"/>
                      <w:szCs w:val="21"/>
                    </w:rPr>
                    <w:t>用水来源</w:t>
                  </w:r>
                </w:p>
              </w:tc>
              <w:tc>
                <w:tcPr>
                  <w:tcW w:w="1548" w:type="dxa"/>
                  <w:vAlign w:val="center"/>
                </w:tcPr>
                <w:p w14:paraId="7ACCC6A4">
                  <w:pPr>
                    <w:snapToGrid w:val="0"/>
                    <w:jc w:val="center"/>
                    <w:rPr>
                      <w:bCs/>
                      <w:color w:val="auto"/>
                      <w:szCs w:val="21"/>
                    </w:rPr>
                  </w:pPr>
                  <w:r>
                    <w:rPr>
                      <w:rFonts w:hint="eastAsia"/>
                      <w:bCs/>
                      <w:color w:val="auto"/>
                      <w:szCs w:val="21"/>
                    </w:rPr>
                    <w:t>排水去向</w:t>
                  </w:r>
                </w:p>
              </w:tc>
            </w:tr>
            <w:tr w14:paraId="4819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587" w:type="dxa"/>
                  <w:vAlign w:val="center"/>
                </w:tcPr>
                <w:p w14:paraId="1A8A98B1">
                  <w:pPr>
                    <w:snapToGrid w:val="0"/>
                    <w:jc w:val="center"/>
                    <w:rPr>
                      <w:bCs/>
                      <w:color w:val="auto"/>
                      <w:szCs w:val="21"/>
                    </w:rPr>
                  </w:pPr>
                  <w:r>
                    <w:rPr>
                      <w:rFonts w:hint="eastAsia"/>
                      <w:bCs/>
                      <w:color w:val="auto"/>
                      <w:szCs w:val="21"/>
                    </w:rPr>
                    <w:t>生活用水</w:t>
                  </w:r>
                </w:p>
              </w:tc>
              <w:tc>
                <w:tcPr>
                  <w:tcW w:w="1065" w:type="dxa"/>
                  <w:vAlign w:val="center"/>
                </w:tcPr>
                <w:p w14:paraId="293FF78C">
                  <w:pPr>
                    <w:snapToGrid w:val="0"/>
                    <w:jc w:val="center"/>
                    <w:rPr>
                      <w:rFonts w:hint="default" w:eastAsia="宋体"/>
                      <w:bCs/>
                      <w:color w:val="auto"/>
                      <w:szCs w:val="21"/>
                      <w:lang w:val="en-US" w:eastAsia="zh-CN"/>
                    </w:rPr>
                  </w:pPr>
                  <w:r>
                    <w:rPr>
                      <w:rFonts w:hint="eastAsia"/>
                      <w:bCs/>
                      <w:color w:val="auto"/>
                      <w:szCs w:val="21"/>
                      <w:lang w:val="en-US" w:eastAsia="zh-CN"/>
                    </w:rPr>
                    <w:t>1.28</w:t>
                  </w:r>
                </w:p>
              </w:tc>
              <w:tc>
                <w:tcPr>
                  <w:tcW w:w="1080" w:type="dxa"/>
                  <w:vAlign w:val="center"/>
                </w:tcPr>
                <w:p w14:paraId="2D068248">
                  <w:pPr>
                    <w:snapToGrid w:val="0"/>
                    <w:jc w:val="center"/>
                    <w:rPr>
                      <w:rFonts w:hint="default" w:eastAsia="宋体"/>
                      <w:bCs/>
                      <w:color w:val="auto"/>
                      <w:szCs w:val="21"/>
                      <w:lang w:val="en-US" w:eastAsia="zh-CN"/>
                    </w:rPr>
                  </w:pPr>
                  <w:r>
                    <w:rPr>
                      <w:rFonts w:hint="eastAsia"/>
                      <w:bCs/>
                      <w:color w:val="auto"/>
                      <w:szCs w:val="21"/>
                      <w:lang w:val="en-US" w:eastAsia="zh-CN"/>
                    </w:rPr>
                    <w:t>0.256</w:t>
                  </w:r>
                </w:p>
              </w:tc>
              <w:tc>
                <w:tcPr>
                  <w:tcW w:w="1668" w:type="dxa"/>
                  <w:vAlign w:val="center"/>
                </w:tcPr>
                <w:p w14:paraId="3AD5570A">
                  <w:pPr>
                    <w:snapToGrid w:val="0"/>
                    <w:jc w:val="center"/>
                    <w:rPr>
                      <w:rFonts w:hint="default" w:eastAsia="宋体"/>
                      <w:bCs/>
                      <w:color w:val="auto"/>
                      <w:szCs w:val="21"/>
                      <w:lang w:val="en-US" w:eastAsia="zh-CN"/>
                    </w:rPr>
                  </w:pPr>
                  <w:r>
                    <w:rPr>
                      <w:rFonts w:hint="eastAsia"/>
                      <w:bCs/>
                      <w:color w:val="auto"/>
                      <w:szCs w:val="21"/>
                      <w:lang w:val="en-US" w:eastAsia="zh-CN"/>
                    </w:rPr>
                    <w:t>1.024</w:t>
                  </w:r>
                </w:p>
              </w:tc>
              <w:tc>
                <w:tcPr>
                  <w:tcW w:w="1135" w:type="dxa"/>
                  <w:vAlign w:val="center"/>
                </w:tcPr>
                <w:p w14:paraId="7EA73C47">
                  <w:pPr>
                    <w:snapToGrid w:val="0"/>
                    <w:jc w:val="center"/>
                    <w:rPr>
                      <w:rFonts w:hint="default" w:eastAsia="宋体"/>
                      <w:bCs/>
                      <w:color w:val="auto"/>
                      <w:szCs w:val="21"/>
                      <w:lang w:val="en-US" w:eastAsia="zh-CN"/>
                    </w:rPr>
                  </w:pPr>
                  <w:r>
                    <w:rPr>
                      <w:rFonts w:hint="eastAsia"/>
                      <w:bCs/>
                      <w:color w:val="auto"/>
                      <w:szCs w:val="21"/>
                      <w:lang w:val="en-US" w:eastAsia="zh-CN"/>
                    </w:rPr>
                    <w:t>园区管网</w:t>
                  </w:r>
                </w:p>
              </w:tc>
              <w:tc>
                <w:tcPr>
                  <w:tcW w:w="1548" w:type="dxa"/>
                  <w:vAlign w:val="center"/>
                </w:tcPr>
                <w:p w14:paraId="14DF7A01">
                  <w:pPr>
                    <w:snapToGrid w:val="0"/>
                    <w:jc w:val="center"/>
                    <w:rPr>
                      <w:bCs/>
                      <w:color w:val="auto"/>
                      <w:szCs w:val="21"/>
                    </w:rPr>
                  </w:pPr>
                  <w:r>
                    <w:rPr>
                      <w:rFonts w:hint="eastAsia"/>
                      <w:bCs/>
                      <w:color w:val="auto"/>
                      <w:szCs w:val="21"/>
                      <w:lang w:val="en-US" w:eastAsia="zh-CN"/>
                    </w:rPr>
                    <w:t>内蒙古天河水务有限公司</w:t>
                  </w:r>
                </w:p>
              </w:tc>
            </w:tr>
          </w:tbl>
          <w:p w14:paraId="57565131">
            <w:pPr>
              <w:bidi w:val="0"/>
              <w:jc w:val="center"/>
              <w:rPr>
                <w:color w:val="auto"/>
              </w:rPr>
            </w:pPr>
          </w:p>
          <w:p w14:paraId="0ED02056">
            <w:pPr>
              <w:bidi w:val="0"/>
              <w:jc w:val="center"/>
              <w:rPr>
                <w:color w:val="auto"/>
              </w:rPr>
            </w:pPr>
            <w:r>
              <w:rPr>
                <w:color w:val="auto"/>
              </w:rPr>
              <w:drawing>
                <wp:inline distT="0" distB="0" distL="114300" distR="114300">
                  <wp:extent cx="3990975" cy="1504950"/>
                  <wp:effectExtent l="0" t="0" r="9525"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0"/>
                          <a:stretch>
                            <a:fillRect/>
                          </a:stretch>
                        </pic:blipFill>
                        <pic:spPr>
                          <a:xfrm>
                            <a:off x="0" y="0"/>
                            <a:ext cx="3990975" cy="1504950"/>
                          </a:xfrm>
                          <a:prstGeom prst="rect">
                            <a:avLst/>
                          </a:prstGeom>
                          <a:noFill/>
                          <a:ln>
                            <a:noFill/>
                          </a:ln>
                        </pic:spPr>
                      </pic:pic>
                    </a:graphicData>
                  </a:graphic>
                </wp:inline>
              </w:drawing>
            </w:r>
          </w:p>
          <w:p w14:paraId="7BA8F6A7">
            <w:pPr>
              <w:pageBreakBefore w:val="0"/>
              <w:widowControl/>
              <w:kinsoku/>
              <w:wordWrap/>
              <w:overflowPunct/>
              <w:topLinePunct w:val="0"/>
              <w:autoSpaceDE/>
              <w:autoSpaceDN/>
              <w:bidi w:val="0"/>
              <w:adjustRightInd/>
              <w:snapToGrid/>
              <w:spacing w:line="240" w:lineRule="auto"/>
              <w:ind w:firstLine="2409" w:firstLineChars="1000"/>
              <w:jc w:val="both"/>
              <w:rPr>
                <w:b/>
                <w:color w:val="auto"/>
                <w:sz w:val="24"/>
              </w:rPr>
            </w:pPr>
            <w:r>
              <w:rPr>
                <w:b/>
                <w:color w:val="auto"/>
                <w:sz w:val="24"/>
              </w:rPr>
              <w:t>图2-</w:t>
            </w:r>
            <w:r>
              <w:rPr>
                <w:rFonts w:hint="eastAsia"/>
                <w:b/>
                <w:color w:val="auto"/>
                <w:sz w:val="24"/>
                <w:lang w:val="en-US" w:eastAsia="zh-CN"/>
              </w:rPr>
              <w:t>3</w:t>
            </w:r>
            <w:r>
              <w:rPr>
                <w:b/>
                <w:color w:val="auto"/>
                <w:sz w:val="24"/>
              </w:rPr>
              <w:t xml:space="preserve"> </w:t>
            </w:r>
            <w:r>
              <w:rPr>
                <w:rFonts w:hint="eastAsia"/>
                <w:b/>
                <w:color w:val="auto"/>
                <w:sz w:val="24"/>
              </w:rPr>
              <w:t xml:space="preserve"> </w:t>
            </w:r>
            <w:r>
              <w:rPr>
                <w:b/>
                <w:color w:val="auto"/>
                <w:sz w:val="24"/>
              </w:rPr>
              <w:t xml:space="preserve">  </w:t>
            </w:r>
            <w:r>
              <w:rPr>
                <w:rFonts w:hint="eastAsia"/>
                <w:b/>
                <w:color w:val="auto"/>
                <w:sz w:val="24"/>
                <w:lang w:val="en-US" w:eastAsia="zh-CN"/>
              </w:rPr>
              <w:t>本项目总用水</w:t>
            </w:r>
            <w:r>
              <w:rPr>
                <w:b/>
                <w:color w:val="auto"/>
                <w:sz w:val="24"/>
              </w:rPr>
              <w:t>水平衡图（m</w:t>
            </w:r>
            <w:r>
              <w:rPr>
                <w:b/>
                <w:color w:val="auto"/>
                <w:sz w:val="24"/>
                <w:vertAlign w:val="superscript"/>
              </w:rPr>
              <w:t>3</w:t>
            </w:r>
            <w:r>
              <w:rPr>
                <w:b/>
                <w:color w:val="auto"/>
                <w:sz w:val="24"/>
              </w:rPr>
              <w:t>/d）</w:t>
            </w:r>
          </w:p>
          <w:p w14:paraId="51D13691">
            <w:pPr>
              <w:widowControl/>
              <w:numPr>
                <w:ilvl w:val="0"/>
                <w:numId w:val="6"/>
              </w:numPr>
              <w:spacing w:line="360" w:lineRule="auto"/>
              <w:ind w:firstLine="480" w:firstLineChars="200"/>
              <w:rPr>
                <w:color w:val="auto"/>
                <w:sz w:val="24"/>
              </w:rPr>
            </w:pPr>
            <w:r>
              <w:rPr>
                <w:rFonts w:hint="eastAsia"/>
                <w:color w:val="auto"/>
                <w:sz w:val="24"/>
              </w:rPr>
              <w:t>供电</w:t>
            </w:r>
          </w:p>
          <w:p w14:paraId="20E0F504">
            <w:pPr>
              <w:widowControl/>
              <w:spacing w:line="360" w:lineRule="auto"/>
              <w:ind w:firstLine="480" w:firstLineChars="200"/>
              <w:rPr>
                <w:color w:val="auto"/>
                <w:sz w:val="24"/>
              </w:rPr>
            </w:pPr>
            <w:r>
              <w:rPr>
                <w:rFonts w:hint="eastAsia"/>
                <w:color w:val="auto"/>
                <w:sz w:val="24"/>
              </w:rPr>
              <w:t>本项目由市政供电站提供，厂区内自建变配电箱，生产车间用电由新建配电箱引入</w:t>
            </w:r>
            <w:r>
              <w:rPr>
                <w:rFonts w:hint="eastAsia"/>
                <w:color w:val="auto"/>
                <w:sz w:val="24"/>
                <w:lang w:eastAsia="zh-CN"/>
              </w:rPr>
              <w:t>，</w:t>
            </w:r>
            <w:r>
              <w:rPr>
                <w:rFonts w:hint="eastAsia"/>
                <w:color w:val="auto"/>
                <w:sz w:val="24"/>
              </w:rPr>
              <w:t>年用电量</w:t>
            </w:r>
            <w:r>
              <w:rPr>
                <w:rFonts w:hint="eastAsia"/>
                <w:color w:val="auto"/>
                <w:sz w:val="24"/>
                <w:lang w:val="en-US" w:eastAsia="zh-CN"/>
              </w:rPr>
              <w:t>3000</w:t>
            </w:r>
            <w:r>
              <w:rPr>
                <w:rFonts w:hint="eastAsia"/>
                <w:color w:val="auto"/>
                <w:sz w:val="24"/>
              </w:rPr>
              <w:t>万kWh，能满足生产需要。</w:t>
            </w:r>
          </w:p>
          <w:p w14:paraId="42DEEAF2">
            <w:pPr>
              <w:widowControl/>
              <w:numPr>
                <w:ilvl w:val="0"/>
                <w:numId w:val="6"/>
              </w:numPr>
              <w:spacing w:line="360" w:lineRule="auto"/>
              <w:ind w:firstLine="480" w:firstLineChars="200"/>
              <w:rPr>
                <w:color w:val="auto"/>
                <w:sz w:val="24"/>
              </w:rPr>
            </w:pPr>
            <w:r>
              <w:rPr>
                <w:rFonts w:hint="eastAsia"/>
                <w:color w:val="auto"/>
                <w:sz w:val="24"/>
              </w:rPr>
              <w:t>供热</w:t>
            </w:r>
          </w:p>
          <w:p w14:paraId="61DE3B7B">
            <w:pPr>
              <w:widowControl/>
              <w:spacing w:line="360" w:lineRule="auto"/>
              <w:ind w:firstLine="480" w:firstLineChars="200"/>
              <w:rPr>
                <w:b/>
                <w:bCs/>
                <w:color w:val="auto"/>
                <w:kern w:val="0"/>
                <w:sz w:val="24"/>
                <w:lang w:bidi="ar"/>
              </w:rPr>
            </w:pPr>
            <w:r>
              <w:rPr>
                <w:rFonts w:hint="eastAsia"/>
                <w:color w:val="auto"/>
                <w:sz w:val="24"/>
              </w:rPr>
              <w:t>本项目生产车间供热</w:t>
            </w:r>
            <w:r>
              <w:rPr>
                <w:rFonts w:hint="eastAsia"/>
                <w:color w:val="auto"/>
                <w:sz w:val="24"/>
                <w:lang w:val="en-US" w:eastAsia="zh-CN"/>
              </w:rPr>
              <w:t>由</w:t>
            </w:r>
            <w:r>
              <w:rPr>
                <w:rFonts w:hint="eastAsia"/>
                <w:color w:val="auto"/>
                <w:sz w:val="24"/>
              </w:rPr>
              <w:t>园区统一供热</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本项目生产工艺所需热能全部来源于电力</w:t>
            </w:r>
            <w:r>
              <w:rPr>
                <w:rFonts w:hint="eastAsia" w:ascii="Times New Roman" w:hAnsi="Times New Roman" w:eastAsia="宋体" w:cs="Times New Roman"/>
                <w:color w:val="auto"/>
                <w:sz w:val="24"/>
              </w:rPr>
              <w:t>。</w:t>
            </w:r>
          </w:p>
          <w:p w14:paraId="74FC37FB">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b/>
                <w:bCs/>
                <w:color w:val="auto"/>
                <w:kern w:val="0"/>
                <w:sz w:val="24"/>
                <w:szCs w:val="24"/>
                <w:lang w:val="en-US" w:eastAsia="zh-CN" w:bidi="ar"/>
              </w:rPr>
            </w:pPr>
            <w:r>
              <w:rPr>
                <w:rFonts w:hint="eastAsia"/>
                <w:b/>
                <w:bCs/>
                <w:color w:val="auto"/>
                <w:kern w:val="0"/>
                <w:sz w:val="24"/>
                <w:szCs w:val="24"/>
                <w:lang w:val="en-US" w:eastAsia="zh-CN" w:bidi="ar"/>
              </w:rPr>
              <w:t>八、劳动定员及工作制度</w:t>
            </w:r>
          </w:p>
          <w:p w14:paraId="1EBE9476">
            <w:pPr>
              <w:widowControl/>
              <w:spacing w:line="360" w:lineRule="auto"/>
              <w:ind w:firstLine="480" w:firstLineChars="200"/>
              <w:rPr>
                <w:color w:val="auto"/>
                <w:sz w:val="24"/>
              </w:rPr>
            </w:pPr>
            <w:r>
              <w:rPr>
                <w:rFonts w:hint="eastAsia"/>
                <w:color w:val="auto"/>
                <w:sz w:val="24"/>
              </w:rPr>
              <w:t>本项目劳动定员</w:t>
            </w:r>
            <w:r>
              <w:rPr>
                <w:rFonts w:hint="eastAsia"/>
                <w:color w:val="auto"/>
                <w:sz w:val="24"/>
                <w:lang w:val="en-US" w:eastAsia="zh-CN"/>
              </w:rPr>
              <w:t>一期37人，二期27人，共64人</w:t>
            </w:r>
            <w:r>
              <w:rPr>
                <w:rFonts w:hint="eastAsia"/>
                <w:color w:val="auto"/>
                <w:sz w:val="24"/>
              </w:rPr>
              <w:t>，为</w:t>
            </w:r>
            <w:r>
              <w:rPr>
                <w:rFonts w:hint="eastAsia"/>
                <w:color w:val="auto"/>
                <w:sz w:val="24"/>
                <w:lang w:val="en-US" w:eastAsia="zh-CN"/>
              </w:rPr>
              <w:t>三</w:t>
            </w:r>
            <w:r>
              <w:rPr>
                <w:rFonts w:hint="eastAsia"/>
                <w:color w:val="auto"/>
                <w:sz w:val="24"/>
              </w:rPr>
              <w:t>班</w:t>
            </w:r>
            <w:r>
              <w:rPr>
                <w:rFonts w:hint="eastAsia"/>
                <w:color w:val="auto"/>
                <w:sz w:val="24"/>
                <w:lang w:val="en-US" w:eastAsia="zh-CN"/>
              </w:rPr>
              <w:t>二倒</w:t>
            </w:r>
            <w:r>
              <w:rPr>
                <w:rFonts w:hint="eastAsia"/>
                <w:color w:val="auto"/>
                <w:sz w:val="24"/>
              </w:rPr>
              <w:t>运行制度，</w:t>
            </w:r>
            <w:r>
              <w:rPr>
                <w:rFonts w:hint="eastAsia"/>
                <w:color w:val="auto"/>
                <w:sz w:val="24"/>
                <w:lang w:val="en-US" w:eastAsia="zh-CN"/>
              </w:rPr>
              <w:t>全厂24h运行，每班8h，</w:t>
            </w:r>
            <w:r>
              <w:rPr>
                <w:rFonts w:hint="eastAsia"/>
                <w:color w:val="auto"/>
                <w:sz w:val="24"/>
              </w:rPr>
              <w:t>年工作时间33</w:t>
            </w:r>
            <w:r>
              <w:rPr>
                <w:rFonts w:hint="eastAsia"/>
                <w:color w:val="auto"/>
                <w:sz w:val="24"/>
                <w:lang w:val="en-US" w:eastAsia="zh-CN"/>
              </w:rPr>
              <w:t>0</w:t>
            </w:r>
            <w:r>
              <w:rPr>
                <w:rFonts w:hint="eastAsia"/>
                <w:color w:val="auto"/>
                <w:sz w:val="24"/>
              </w:rPr>
              <w:t>天。</w:t>
            </w:r>
          </w:p>
          <w:p w14:paraId="577C6B60">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rPr>
                <w:rFonts w:hint="eastAsia"/>
                <w:b/>
                <w:bCs/>
                <w:color w:val="auto"/>
                <w:kern w:val="0"/>
                <w:sz w:val="24"/>
                <w:szCs w:val="24"/>
                <w:lang w:eastAsia="zh-CN" w:bidi="ar"/>
              </w:rPr>
            </w:pPr>
            <w:r>
              <w:rPr>
                <w:rFonts w:hint="eastAsia"/>
                <w:b/>
                <w:bCs/>
                <w:color w:val="auto"/>
                <w:kern w:val="0"/>
                <w:sz w:val="24"/>
                <w:szCs w:val="24"/>
                <w:lang w:val="en-US" w:eastAsia="zh-CN" w:bidi="ar"/>
              </w:rPr>
              <w:t>九、</w:t>
            </w:r>
            <w:r>
              <w:rPr>
                <w:rFonts w:hint="eastAsia"/>
                <w:b/>
                <w:bCs/>
                <w:color w:val="auto"/>
                <w:kern w:val="0"/>
                <w:sz w:val="24"/>
                <w:szCs w:val="24"/>
                <w:lang w:eastAsia="zh-CN" w:bidi="ar"/>
              </w:rPr>
              <w:t>项目总平面布置</w:t>
            </w:r>
          </w:p>
          <w:p w14:paraId="0E2B52D9">
            <w:pPr>
              <w:pStyle w:val="47"/>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项目位于内蒙古自治区鄂尔多斯市准格尔经济开发区大路产业园新能源基地，已于园区签订相关协议（详见附件</w:t>
            </w:r>
            <w:r>
              <w:rPr>
                <w:rFonts w:hint="eastAsia" w:ascii="Times New Roman" w:hAnsi="Times New Roman" w:cs="Times New Roman"/>
                <w:color w:val="auto"/>
                <w:sz w:val="24"/>
                <w:szCs w:val="24"/>
                <w:lang w:val="en-US" w:eastAsia="zh-CN"/>
              </w:rPr>
              <w:t>5</w:t>
            </w:r>
            <w:r>
              <w:rPr>
                <w:rFonts w:hint="eastAsia" w:ascii="Times New Roman" w:hAnsi="Times New Roman" w:eastAsia="宋体" w:cs="Times New Roman"/>
                <w:color w:val="auto"/>
                <w:sz w:val="24"/>
                <w:szCs w:val="24"/>
                <w:lang w:val="en-US" w:eastAsia="zh-CN"/>
              </w:rPr>
              <w:t>），利用现有标准厂房进行建设，目前标准厂房均已建成，项目入驻前厂房空置没有遗留环境问题。</w:t>
            </w:r>
          </w:p>
          <w:p w14:paraId="36564347">
            <w:pPr>
              <w:pStyle w:val="47"/>
              <w:spacing w:line="360" w:lineRule="auto"/>
              <w:ind w:firstLine="480" w:firstLineChars="200"/>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项目在现有12号厂房内建设，</w:t>
            </w:r>
            <w:r>
              <w:rPr>
                <w:rFonts w:hint="eastAsia" w:ascii="Times New Roman" w:hAnsi="Times New Roman" w:eastAsia="宋体" w:cs="Times New Roman"/>
                <w:color w:val="auto"/>
                <w:sz w:val="24"/>
                <w:szCs w:val="24"/>
                <w:lang w:val="en-US" w:eastAsia="zh-CN"/>
              </w:rPr>
              <w:t>总占地面积</w:t>
            </w:r>
            <w:r>
              <w:rPr>
                <w:rFonts w:hint="default" w:ascii="Times New Roman" w:hAnsi="Times New Roman" w:cs="Times New Roman"/>
                <w:color w:val="auto"/>
                <w:spacing w:val="-13"/>
                <w:sz w:val="24"/>
                <w:szCs w:val="24"/>
                <w:lang w:val="en-US" w:eastAsia="zh-CN"/>
              </w:rPr>
              <w:t>1</w:t>
            </w:r>
            <w:r>
              <w:rPr>
                <w:rFonts w:hint="eastAsia" w:ascii="Times New Roman" w:hAnsi="Times New Roman" w:cs="Times New Roman"/>
                <w:color w:val="auto"/>
                <w:sz w:val="24"/>
                <w:szCs w:val="24"/>
                <w:lang w:val="en-US" w:eastAsia="zh-CN"/>
              </w:rPr>
              <w:t>6019.75</w:t>
            </w:r>
            <w:r>
              <w:rPr>
                <w:rFonts w:ascii="Times New Roman" w:hAnsi="Times New Roman" w:eastAsia="Times New Roman" w:cs="Times New Roman"/>
                <w:color w:val="auto"/>
                <w:spacing w:val="-13"/>
                <w:sz w:val="24"/>
                <w:szCs w:val="24"/>
              </w:rPr>
              <w:t>m</w:t>
            </w:r>
            <w:r>
              <w:rPr>
                <w:rFonts w:hint="eastAsia" w:ascii="Times New Roman" w:hAnsi="Times New Roman" w:eastAsia="宋体" w:cs="Times New Roman"/>
                <w:color w:val="auto"/>
                <w:spacing w:val="-13"/>
                <w:sz w:val="24"/>
                <w:szCs w:val="24"/>
                <w:vertAlign w:val="superscript"/>
                <w:lang w:val="en-US" w:eastAsia="zh-CN"/>
              </w:rPr>
              <w:t>2</w:t>
            </w:r>
            <w:r>
              <w:rPr>
                <w:rFonts w:hint="eastAsia" w:ascii="Times New Roman" w:hAnsi="Times New Roman" w:eastAsia="宋体" w:cs="Times New Roman"/>
                <w:color w:val="auto"/>
                <w:spacing w:val="-13"/>
                <w:sz w:val="24"/>
                <w:szCs w:val="24"/>
                <w:lang w:val="en-US" w:eastAsia="zh-CN"/>
              </w:rPr>
              <w:t>，</w:t>
            </w:r>
            <w:r>
              <w:rPr>
                <w:rFonts w:hint="eastAsia" w:ascii="Times New Roman" w:hAnsi="Times New Roman" w:cs="Times New Roman"/>
                <w:color w:val="auto"/>
                <w:sz w:val="24"/>
                <w:szCs w:val="24"/>
                <w:lang w:val="en-US" w:eastAsia="zh-CN"/>
              </w:rPr>
              <w:t>车间总建筑面积为6019.75m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lang w:val="en-US" w:eastAsia="zh-CN"/>
              </w:rPr>
              <w:t>，成品存放区为园区划拨给本项目的区域10000m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。12号车间位于</w:t>
            </w:r>
            <w:r>
              <w:rPr>
                <w:rFonts w:hint="eastAsia" w:ascii="Times New Roman" w:hAnsi="Times New Roman" w:eastAsia="宋体" w:cs="Times New Roman"/>
                <w:color w:val="auto"/>
                <w:sz w:val="24"/>
                <w:szCs w:val="24"/>
                <w:lang w:val="en-US" w:eastAsia="zh-CN"/>
              </w:rPr>
              <w:t>大路产业园新能源基地西侧，</w:t>
            </w:r>
            <w:r>
              <w:rPr>
                <w:rFonts w:hint="eastAsia"/>
                <w:color w:val="auto"/>
                <w:sz w:val="24"/>
              </w:rPr>
              <w:t>根据具体生产工艺划定各功能分</w:t>
            </w:r>
            <w:r>
              <w:rPr>
                <w:rFonts w:hint="eastAsia" w:ascii="Times New Roman" w:hAnsi="Times New Roman" w:eastAsia="宋体" w:cs="Times New Roman"/>
                <w:color w:val="auto"/>
                <w:sz w:val="24"/>
                <w:szCs w:val="24"/>
                <w:vertAlign w:val="baseline"/>
                <w:lang w:val="en-US" w:eastAsia="zh-CN"/>
              </w:rPr>
              <w:t>区，车间西侧由北到南依次布设</w:t>
            </w:r>
            <w:r>
              <w:rPr>
                <w:rFonts w:hint="eastAsia" w:ascii="Times New Roman" w:hAnsi="Times New Roman" w:cs="Times New Roman"/>
                <w:color w:val="auto"/>
                <w:sz w:val="24"/>
                <w:szCs w:val="24"/>
                <w:vertAlign w:val="baseline"/>
                <w:lang w:val="en-US" w:eastAsia="zh-CN"/>
              </w:rPr>
              <w:t>一般固废暂存间，</w:t>
            </w:r>
            <w:r>
              <w:rPr>
                <w:rFonts w:hint="eastAsia" w:ascii="Times New Roman" w:hAnsi="Times New Roman" w:eastAsia="宋体" w:cs="Times New Roman"/>
                <w:color w:val="auto"/>
                <w:sz w:val="24"/>
                <w:szCs w:val="24"/>
                <w:vertAlign w:val="baseline"/>
                <w:lang w:val="en-US" w:eastAsia="zh-CN"/>
              </w:rPr>
              <w:t>面积</w:t>
            </w:r>
            <w:r>
              <w:rPr>
                <w:rFonts w:hint="eastAsia" w:ascii="Times New Roman" w:hAnsi="Times New Roman" w:cs="Times New Roman"/>
                <w:color w:val="auto"/>
                <w:sz w:val="24"/>
                <w:szCs w:val="24"/>
                <w:vertAlign w:val="baseline"/>
                <w:lang w:val="en-US" w:eastAsia="zh-CN"/>
              </w:rPr>
              <w:t>25</w:t>
            </w:r>
            <w:r>
              <w:rPr>
                <w:rFonts w:hint="eastAsia" w:ascii="Times New Roman" w:hAnsi="Times New Roman" w:eastAsia="宋体" w:cs="Times New Roman"/>
                <w:color w:val="auto"/>
                <w:sz w:val="24"/>
                <w:szCs w:val="24"/>
                <w:vertAlign w:val="baseline"/>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vertAlign w:val="baseline"/>
                <w:lang w:val="en-US" w:eastAsia="zh-CN"/>
              </w:rPr>
              <w:t>；危废暂存间，面积</w:t>
            </w:r>
            <w:r>
              <w:rPr>
                <w:rFonts w:hint="eastAsia" w:ascii="Times New Roman" w:hAnsi="Times New Roman" w:cs="Times New Roman"/>
                <w:color w:val="auto"/>
                <w:sz w:val="24"/>
                <w:szCs w:val="24"/>
                <w:vertAlign w:val="baseline"/>
                <w:lang w:val="en-US" w:eastAsia="zh-CN"/>
              </w:rPr>
              <w:t>70</w:t>
            </w:r>
            <w:r>
              <w:rPr>
                <w:rFonts w:hint="eastAsia" w:ascii="Times New Roman" w:hAnsi="Times New Roman" w:eastAsia="宋体" w:cs="Times New Roman"/>
                <w:color w:val="auto"/>
                <w:sz w:val="24"/>
                <w:szCs w:val="24"/>
                <w:vertAlign w:val="baseline"/>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vertAlign w:val="baseline"/>
                <w:lang w:val="en-US" w:eastAsia="zh-CN"/>
              </w:rPr>
              <w:t>；玻璃纤维存放区</w:t>
            </w:r>
            <w:r>
              <w:rPr>
                <w:rFonts w:hint="eastAsia" w:ascii="Times New Roman" w:hAnsi="Times New Roman" w:cs="Times New Roman"/>
                <w:color w:val="auto"/>
                <w:sz w:val="24"/>
                <w:szCs w:val="24"/>
                <w:vertAlign w:val="baseline"/>
                <w:lang w:val="en-US" w:eastAsia="zh-CN"/>
              </w:rPr>
              <w:t>2处</w:t>
            </w:r>
            <w:r>
              <w:rPr>
                <w:rFonts w:hint="eastAsia" w:ascii="Times New Roman" w:hAnsi="Times New Roman" w:eastAsia="宋体" w:cs="Times New Roman"/>
                <w:color w:val="auto"/>
                <w:sz w:val="24"/>
                <w:szCs w:val="24"/>
                <w:vertAlign w:val="baseline"/>
                <w:lang w:val="en-US" w:eastAsia="zh-CN"/>
              </w:rPr>
              <w:t>，</w:t>
            </w:r>
            <w:r>
              <w:rPr>
                <w:rFonts w:hint="eastAsia" w:ascii="Times New Roman" w:hAnsi="Times New Roman" w:cs="Times New Roman"/>
                <w:color w:val="auto"/>
                <w:sz w:val="24"/>
                <w:szCs w:val="24"/>
                <w:vertAlign w:val="baseline"/>
                <w:lang w:val="en-US" w:eastAsia="zh-CN"/>
              </w:rPr>
              <w:t>各115m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，共230</w:t>
            </w:r>
            <w:r>
              <w:rPr>
                <w:rFonts w:hint="eastAsia" w:ascii="Times New Roman" w:hAnsi="Times New Roman" w:eastAsia="宋体" w:cs="Times New Roman"/>
                <w:color w:val="auto"/>
                <w:sz w:val="24"/>
                <w:szCs w:val="24"/>
                <w:vertAlign w:val="baseline"/>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vertAlign w:val="baseline"/>
                <w:lang w:val="en-US" w:eastAsia="zh-CN"/>
              </w:rPr>
              <w:t>；环氧树脂存放区，面积</w:t>
            </w:r>
            <w:r>
              <w:rPr>
                <w:rFonts w:hint="eastAsia" w:ascii="Times New Roman" w:hAnsi="Times New Roman" w:cs="Times New Roman"/>
                <w:color w:val="auto"/>
                <w:sz w:val="24"/>
                <w:szCs w:val="24"/>
                <w:vertAlign w:val="baseline"/>
                <w:lang w:val="en-US" w:eastAsia="zh-CN"/>
              </w:rPr>
              <w:t>115</w:t>
            </w:r>
            <w:r>
              <w:rPr>
                <w:rFonts w:hint="eastAsia" w:ascii="Times New Roman" w:hAnsi="Times New Roman" w:eastAsia="宋体" w:cs="Times New Roman"/>
                <w:color w:val="auto"/>
                <w:sz w:val="24"/>
                <w:szCs w:val="24"/>
                <w:vertAlign w:val="baseline"/>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原料仓库，</w:t>
            </w:r>
            <w:r>
              <w:rPr>
                <w:rFonts w:hint="eastAsia" w:ascii="Times New Roman" w:hAnsi="Times New Roman" w:eastAsia="宋体" w:cs="Times New Roman"/>
                <w:color w:val="auto"/>
                <w:sz w:val="24"/>
                <w:szCs w:val="24"/>
                <w:vertAlign w:val="baseline"/>
                <w:lang w:val="en-US" w:eastAsia="zh-CN"/>
              </w:rPr>
              <w:t>面积</w:t>
            </w:r>
            <w:r>
              <w:rPr>
                <w:rFonts w:hint="eastAsia" w:ascii="Times New Roman" w:hAnsi="Times New Roman" w:cs="Times New Roman"/>
                <w:color w:val="auto"/>
                <w:sz w:val="24"/>
                <w:szCs w:val="24"/>
                <w:vertAlign w:val="baseline"/>
                <w:lang w:val="en-US" w:eastAsia="zh-CN"/>
              </w:rPr>
              <w:t>70</w:t>
            </w:r>
            <w:r>
              <w:rPr>
                <w:rFonts w:hint="eastAsia" w:ascii="Times New Roman" w:hAnsi="Times New Roman" w:eastAsia="宋体" w:cs="Times New Roman"/>
                <w:color w:val="auto"/>
                <w:sz w:val="24"/>
                <w:szCs w:val="24"/>
                <w:vertAlign w:val="baseline"/>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vertAlign w:val="baseline"/>
                <w:lang w:val="en-US" w:eastAsia="zh-CN"/>
              </w:rPr>
              <w:t>；</w:t>
            </w:r>
            <w:r>
              <w:rPr>
                <w:rFonts w:hint="eastAsia" w:ascii="Times New Roman" w:hAnsi="Times New Roman" w:cs="Times New Roman"/>
                <w:color w:val="auto"/>
                <w:sz w:val="24"/>
                <w:szCs w:val="24"/>
                <w:lang w:val="en-US" w:eastAsia="zh-CN"/>
              </w:rPr>
              <w:t>配料车间，</w:t>
            </w:r>
            <w:r>
              <w:rPr>
                <w:rFonts w:hint="eastAsia" w:ascii="Times New Roman" w:hAnsi="Times New Roman" w:eastAsia="宋体" w:cs="Times New Roman"/>
                <w:color w:val="auto"/>
                <w:sz w:val="24"/>
                <w:szCs w:val="24"/>
                <w:vertAlign w:val="baseline"/>
                <w:lang w:val="en-US" w:eastAsia="zh-CN"/>
              </w:rPr>
              <w:t>面积</w:t>
            </w:r>
            <w:r>
              <w:rPr>
                <w:rFonts w:hint="eastAsia" w:ascii="Times New Roman" w:hAnsi="Times New Roman" w:cs="Times New Roman"/>
                <w:color w:val="auto"/>
                <w:sz w:val="24"/>
                <w:szCs w:val="24"/>
                <w:vertAlign w:val="baseline"/>
                <w:lang w:val="en-US" w:eastAsia="zh-CN"/>
              </w:rPr>
              <w:t>25</w:t>
            </w:r>
            <w:r>
              <w:rPr>
                <w:rFonts w:hint="eastAsia" w:ascii="Times New Roman" w:hAnsi="Times New Roman" w:eastAsia="宋体" w:cs="Times New Roman"/>
                <w:color w:val="auto"/>
                <w:sz w:val="24"/>
                <w:szCs w:val="24"/>
                <w:vertAlign w:val="baseline"/>
                <w:lang w:val="en-US" w:eastAsia="zh-CN"/>
              </w:rPr>
              <w:t>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vertAlign w:val="baseline"/>
                <w:lang w:val="en-US" w:eastAsia="zh-CN"/>
              </w:rPr>
              <w:t>；配料车间东侧为生产区域，布设编织生产线、纺纱作业区、打压及法兰安装区等；车间东北侧由东向西依次布设</w:t>
            </w:r>
            <w:r>
              <w:rPr>
                <w:rFonts w:hint="eastAsia" w:ascii="Times New Roman" w:hAnsi="Times New Roman" w:cs="Times New Roman"/>
                <w:color w:val="auto"/>
                <w:sz w:val="24"/>
                <w:szCs w:val="24"/>
                <w:vertAlign w:val="baseline"/>
                <w:lang w:val="en-US" w:eastAsia="zh-CN"/>
              </w:rPr>
              <w:t>检测室</w:t>
            </w:r>
            <w:r>
              <w:rPr>
                <w:rFonts w:hint="eastAsia" w:ascii="Times New Roman" w:hAnsi="Times New Roman" w:eastAsia="宋体" w:cs="Times New Roman"/>
                <w:color w:val="auto"/>
                <w:sz w:val="24"/>
                <w:szCs w:val="24"/>
                <w:vertAlign w:val="baseline"/>
                <w:lang w:val="en-US" w:eastAsia="zh-CN"/>
              </w:rPr>
              <w:t>，面积50m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eastAsia="宋体" w:cs="Times New Roman"/>
                <w:color w:val="auto"/>
                <w:sz w:val="24"/>
                <w:szCs w:val="24"/>
                <w:vertAlign w:val="baseline"/>
                <w:lang w:val="en-US" w:eastAsia="zh-CN"/>
              </w:rPr>
              <w:t>；资料及库管办公室，面积60m</w:t>
            </w:r>
            <w:r>
              <w:rPr>
                <w:rFonts w:hint="eastAsia" w:ascii="Times New Roman" w:hAnsi="Times New Roman" w:eastAsia="宋体" w:cs="Times New Roman"/>
                <w:color w:val="auto"/>
                <w:sz w:val="24"/>
                <w:szCs w:val="24"/>
                <w:vertAlign w:val="superscript"/>
                <w:lang w:val="en-US" w:eastAsia="zh-CN"/>
              </w:rPr>
              <w:t>2</w:t>
            </w:r>
            <w:r>
              <w:rPr>
                <w:rFonts w:hint="eastAsia" w:ascii="Times New Roman" w:hAnsi="Times New Roman" w:cs="Times New Roman"/>
                <w:color w:val="auto"/>
                <w:sz w:val="24"/>
                <w:szCs w:val="24"/>
                <w:vertAlign w:val="baseline"/>
                <w:lang w:val="en-US" w:eastAsia="zh-CN"/>
              </w:rPr>
              <w:t>，北侧</w:t>
            </w:r>
            <w:r>
              <w:rPr>
                <w:rFonts w:hint="eastAsia" w:ascii="Times New Roman" w:hAnsi="Times New Roman" w:eastAsia="宋体" w:cs="Times New Roman"/>
                <w:color w:val="auto"/>
                <w:sz w:val="24"/>
                <w:szCs w:val="24"/>
                <w:vertAlign w:val="baseline"/>
                <w:lang w:val="en-US" w:eastAsia="zh-CN"/>
              </w:rPr>
              <w:t>预留二期生产区域后期建设。</w:t>
            </w:r>
          </w:p>
          <w:p w14:paraId="76C2CB92">
            <w:pPr>
              <w:pStyle w:val="47"/>
              <w:spacing w:line="360" w:lineRule="auto"/>
              <w:ind w:firstLine="496" w:firstLineChars="200"/>
              <w:rPr>
                <w:rFonts w:hint="eastAsia"/>
                <w:color w:val="auto"/>
                <w:lang w:eastAsia="zh-CN"/>
              </w:rPr>
            </w:pPr>
            <w:r>
              <w:rPr>
                <w:rFonts w:ascii="Times New Roman" w:hAnsi="Times New Roman" w:cs="Times New Roman"/>
                <w:color w:val="auto"/>
                <w:spacing w:val="4"/>
                <w:sz w:val="24"/>
                <w:szCs w:val="24"/>
                <w:lang w:eastAsia="zh-CN"/>
              </w:rPr>
              <w:t>项目厂区平面布置见附图</w:t>
            </w:r>
            <w:r>
              <w:rPr>
                <w:rFonts w:hint="eastAsia" w:ascii="Times New Roman" w:hAnsi="Times New Roman" w:cs="Times New Roman"/>
                <w:color w:val="auto"/>
                <w:spacing w:val="4"/>
                <w:sz w:val="24"/>
                <w:szCs w:val="24"/>
                <w:lang w:val="en-US" w:eastAsia="zh-CN"/>
              </w:rPr>
              <w:t>8</w:t>
            </w:r>
            <w:r>
              <w:rPr>
                <w:rFonts w:ascii="Times New Roman" w:hAnsi="Times New Roman" w:cs="Times New Roman"/>
                <w:color w:val="auto"/>
                <w:spacing w:val="4"/>
                <w:sz w:val="24"/>
                <w:szCs w:val="24"/>
                <w:lang w:eastAsia="zh-CN"/>
              </w:rPr>
              <w:t>。</w:t>
            </w:r>
          </w:p>
        </w:tc>
      </w:tr>
      <w:tr w14:paraId="59A618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823" w:type="dxa"/>
            <w:vAlign w:val="center"/>
          </w:tcPr>
          <w:p w14:paraId="788F20E6">
            <w:pPr>
              <w:pStyle w:val="19"/>
              <w:adjustRightInd w:val="0"/>
              <w:snapToGrid w:val="0"/>
              <w:spacing w:before="0" w:beforeAutospacing="0" w:after="0" w:afterAutospacing="0"/>
              <w:jc w:val="center"/>
              <w:rPr>
                <w:rFonts w:hint="eastAsia" w:cs="宋体"/>
                <w:color w:val="auto"/>
                <w:sz w:val="21"/>
                <w:szCs w:val="21"/>
              </w:rPr>
            </w:pPr>
            <w:r>
              <w:rPr>
                <w:rFonts w:hint="eastAsia" w:cs="宋体"/>
                <w:color w:val="auto"/>
                <w:sz w:val="21"/>
                <w:szCs w:val="21"/>
              </w:rPr>
              <w:t>工艺流程和产排污环节</w:t>
            </w:r>
          </w:p>
        </w:tc>
        <w:tc>
          <w:tcPr>
            <w:tcW w:w="8258" w:type="dxa"/>
          </w:tcPr>
          <w:p w14:paraId="7E4E1D6A">
            <w:pPr>
              <w:numPr>
                <w:ilvl w:val="0"/>
                <w:numId w:val="7"/>
              </w:numPr>
              <w:adjustRightInd w:val="0"/>
              <w:snapToGrid w:val="0"/>
              <w:spacing w:line="360" w:lineRule="auto"/>
              <w:ind w:firstLine="482" w:firstLineChars="200"/>
              <w:rPr>
                <w:b/>
                <w:color w:val="auto"/>
                <w:sz w:val="24"/>
              </w:rPr>
            </w:pPr>
            <w:r>
              <w:rPr>
                <w:b/>
                <w:color w:val="auto"/>
                <w:sz w:val="24"/>
              </w:rPr>
              <w:t>施工期</w:t>
            </w:r>
            <w:r>
              <w:rPr>
                <w:rFonts w:hint="eastAsia"/>
                <w:b/>
                <w:color w:val="auto"/>
                <w:sz w:val="24"/>
              </w:rPr>
              <w:t>工艺流程及产污环节</w:t>
            </w:r>
          </w:p>
          <w:p w14:paraId="2F5FF110">
            <w:pPr>
              <w:pStyle w:val="47"/>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本项目租用准格尔经济开发区大路产业园新能源基地B3地块12号厂房车间，车间现已建成，因此本项目施工期主要为车间内部装修与设备安装。施工过程会产生少量建筑垃圾、噪声、扬尘、生活污水，施工期工艺流程及产污节点见下图：</w:t>
            </w:r>
          </w:p>
          <w:p w14:paraId="22F2ECB2">
            <w:pPr>
              <w:pStyle w:val="47"/>
              <w:keepNext w:val="0"/>
              <w:keepLines w:val="0"/>
              <w:pageBreakBefore w:val="0"/>
              <w:widowControl w:val="0"/>
              <w:kinsoku/>
              <w:wordWrap/>
              <w:overflowPunct/>
              <w:topLinePunct w:val="0"/>
              <w:autoSpaceDE/>
              <w:autoSpaceDN/>
              <w:bidi w:val="0"/>
              <w:spacing w:line="240" w:lineRule="auto"/>
              <w:textAlignment w:val="auto"/>
              <w:rPr>
                <w:rFonts w:ascii="Times New Roman" w:hAnsi="Times New Roman" w:cs="Times New Roman"/>
                <w:color w:val="auto"/>
                <w:spacing w:val="4"/>
                <w:sz w:val="24"/>
                <w:szCs w:val="24"/>
                <w:lang w:eastAsia="zh-CN"/>
              </w:rPr>
            </w:pPr>
            <w:r>
              <w:rPr>
                <w:color w:val="auto"/>
                <w:position w:val="-65"/>
              </w:rPr>
              <w:drawing>
                <wp:inline distT="0" distB="0" distL="0" distR="0">
                  <wp:extent cx="5106670" cy="2076450"/>
                  <wp:effectExtent l="0" t="0" r="17780" b="0"/>
                  <wp:docPr id="12" name="IM 28"/>
                  <wp:cNvGraphicFramePr/>
                  <a:graphic xmlns:a="http://schemas.openxmlformats.org/drawingml/2006/main">
                    <a:graphicData uri="http://schemas.openxmlformats.org/drawingml/2006/picture">
                      <pic:pic xmlns:pic="http://schemas.openxmlformats.org/drawingml/2006/picture">
                        <pic:nvPicPr>
                          <pic:cNvPr id="12" name="IM 28"/>
                          <pic:cNvPicPr/>
                        </pic:nvPicPr>
                        <pic:blipFill>
                          <a:blip r:embed="rId21"/>
                          <a:stretch>
                            <a:fillRect/>
                          </a:stretch>
                        </pic:blipFill>
                        <pic:spPr>
                          <a:xfrm>
                            <a:off x="0" y="0"/>
                            <a:ext cx="5106923" cy="2077007"/>
                          </a:xfrm>
                          <a:prstGeom prst="rect">
                            <a:avLst/>
                          </a:prstGeom>
                        </pic:spPr>
                      </pic:pic>
                    </a:graphicData>
                  </a:graphic>
                </wp:inline>
              </w:drawing>
            </w:r>
          </w:p>
          <w:p w14:paraId="4D2877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bCs/>
                <w:color w:val="auto"/>
                <w:sz w:val="24"/>
                <w:szCs w:val="24"/>
                <w:lang w:eastAsia="zh-CN"/>
              </w:rPr>
            </w:pPr>
            <w:r>
              <w:rPr>
                <w:rFonts w:hint="eastAsia" w:ascii="Times New Roman" w:hAnsi="Times New Roman" w:eastAsia="宋体" w:cs="Times New Roman"/>
                <w:b/>
                <w:bCs/>
                <w:color w:val="auto"/>
                <w:kern w:val="2"/>
                <w:sz w:val="24"/>
                <w:szCs w:val="24"/>
                <w:lang w:val="en-US" w:eastAsia="zh-CN" w:bidi="ar-SA"/>
              </w:rPr>
              <w:t>图2-</w:t>
            </w:r>
            <w:r>
              <w:rPr>
                <w:rFonts w:hint="eastAsia" w:cs="Times New Roman"/>
                <w:b/>
                <w:bCs/>
                <w:color w:val="auto"/>
                <w:kern w:val="2"/>
                <w:sz w:val="24"/>
                <w:szCs w:val="24"/>
                <w:lang w:val="en-US" w:eastAsia="zh-CN" w:bidi="ar-SA"/>
              </w:rPr>
              <w:t>4</w:t>
            </w:r>
            <w:r>
              <w:rPr>
                <w:rFonts w:hint="eastAsia" w:ascii="Times New Roman" w:hAnsi="Times New Roman" w:eastAsia="宋体" w:cs="Times New Roman"/>
                <w:b/>
                <w:bCs/>
                <w:color w:val="auto"/>
                <w:kern w:val="2"/>
                <w:sz w:val="24"/>
                <w:szCs w:val="24"/>
                <w:lang w:val="en-US" w:eastAsia="zh-CN" w:bidi="ar-SA"/>
              </w:rPr>
              <w:t xml:space="preserve">  施工期工艺流程</w:t>
            </w:r>
            <w:r>
              <w:rPr>
                <w:rFonts w:hint="eastAsia" w:ascii="Times New Roman" w:hAnsi="Times New Roman" w:cs="Times New Roman"/>
                <w:b/>
                <w:bCs/>
                <w:color w:val="auto"/>
                <w:sz w:val="24"/>
                <w:szCs w:val="24"/>
                <w:lang w:eastAsia="zh-CN"/>
              </w:rPr>
              <w:t>及产污示意图</w:t>
            </w:r>
          </w:p>
          <w:p w14:paraId="77914CDC">
            <w:pPr>
              <w:pStyle w:val="47"/>
              <w:keepNext w:val="0"/>
              <w:keepLines w:val="0"/>
              <w:pageBreakBefore w:val="0"/>
              <w:widowControl w:val="0"/>
              <w:kinsoku/>
              <w:wordWrap/>
              <w:overflowPunct/>
              <w:topLinePunct w:val="0"/>
              <w:autoSpaceDE/>
              <w:autoSpaceDN/>
              <w:bidi w:val="0"/>
              <w:adjustRightInd/>
              <w:snapToGrid/>
              <w:spacing w:before="95" w:beforeLines="3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施工期工程建设主要产污位置及污染物种类如下：</w:t>
            </w:r>
          </w:p>
          <w:p w14:paraId="1E9C1ED6">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（1）废气</w:t>
            </w:r>
          </w:p>
          <w:p w14:paraId="27E738FC">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该项目施工粉尘主要为运输车辆道路扬尘、开挖粉尘、装卸材料等作业扬尘以及建筑垃圾堆放和清运过程产生的粉尘以及施工机械及运输车辆的发动机排放的尾气中含有 NO</w:t>
            </w:r>
            <w:r>
              <w:rPr>
                <w:rFonts w:hint="eastAsia" w:ascii="Times New Roman" w:hAnsi="Times New Roman" w:eastAsia="宋体" w:cs="Times New Roman"/>
                <w:color w:val="auto"/>
                <w:kern w:val="2"/>
                <w:sz w:val="24"/>
                <w:szCs w:val="24"/>
                <w:vertAlign w:val="subscript"/>
                <w:lang w:val="en-US" w:eastAsia="zh-CN" w:bidi="ar-SA"/>
              </w:rPr>
              <w:t>2</w:t>
            </w:r>
            <w:r>
              <w:rPr>
                <w:rFonts w:hint="eastAsia" w:ascii="Times New Roman" w:hAnsi="Times New Roman" w:eastAsia="宋体" w:cs="Times New Roman"/>
                <w:color w:val="auto"/>
                <w:kern w:val="2"/>
                <w:sz w:val="24"/>
                <w:szCs w:val="24"/>
                <w:lang w:val="en-US" w:eastAsia="zh-CN" w:bidi="ar-SA"/>
              </w:rPr>
              <w:t>、CO、THC等污染物。</w:t>
            </w:r>
          </w:p>
          <w:p w14:paraId="0489FD25">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（2）废水</w:t>
            </w:r>
          </w:p>
          <w:p w14:paraId="7AD3A5CE">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废水主要为施工期施工人员产生的生活污水，以及施工过程中产生的含泥浆或沙石的工程废水，主要污染物为SS。</w:t>
            </w:r>
          </w:p>
          <w:p w14:paraId="1CF6EF9D">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（3）噪声</w:t>
            </w:r>
          </w:p>
          <w:p w14:paraId="3DD6EA3D">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本项目施工过程产生的噪声主要为施工机械设备噪声和运输车辆的交通噪声。</w:t>
            </w:r>
          </w:p>
          <w:p w14:paraId="6FCBC007">
            <w:pPr>
              <w:pStyle w:val="47"/>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（4）固废</w:t>
            </w:r>
          </w:p>
          <w:p w14:paraId="66875077">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both"/>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本项目施工期固体废物主要来自施工人员的生活垃圾及施工设备废包装材料等。</w:t>
            </w:r>
          </w:p>
          <w:p w14:paraId="484942F0">
            <w:pPr>
              <w:numPr>
                <w:ilvl w:val="0"/>
                <w:numId w:val="7"/>
              </w:numPr>
              <w:adjustRightInd w:val="0"/>
              <w:snapToGrid w:val="0"/>
              <w:spacing w:line="360" w:lineRule="auto"/>
              <w:ind w:firstLine="482" w:firstLineChars="200"/>
              <w:rPr>
                <w:b/>
                <w:color w:val="auto"/>
                <w:sz w:val="24"/>
              </w:rPr>
            </w:pPr>
            <w:r>
              <w:rPr>
                <w:rFonts w:hint="eastAsia"/>
                <w:b/>
                <w:color w:val="auto"/>
                <w:sz w:val="24"/>
              </w:rPr>
              <w:t>运营</w:t>
            </w:r>
            <w:r>
              <w:rPr>
                <w:b/>
                <w:color w:val="auto"/>
                <w:sz w:val="24"/>
              </w:rPr>
              <w:t>期</w:t>
            </w:r>
            <w:r>
              <w:rPr>
                <w:rFonts w:hint="eastAsia"/>
                <w:b/>
                <w:color w:val="auto"/>
                <w:sz w:val="24"/>
              </w:rPr>
              <w:t>工艺流程及产污环节</w:t>
            </w:r>
          </w:p>
          <w:p w14:paraId="4BA49E64">
            <w:pPr>
              <w:widowControl/>
              <w:spacing w:line="360" w:lineRule="auto"/>
              <w:rPr>
                <w:rFonts w:hint="eastAsia" w:eastAsia="宋体"/>
                <w:b/>
                <w:bCs/>
                <w:color w:val="auto"/>
                <w:sz w:val="24"/>
                <w:lang w:val="en-US" w:eastAsia="zh-CN"/>
              </w:rPr>
            </w:pPr>
          </w:p>
        </w:tc>
      </w:tr>
      <w:tr w14:paraId="1EC09D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14:paraId="65A438D5">
            <w:pPr>
              <w:pStyle w:val="19"/>
              <w:adjustRightInd w:val="0"/>
              <w:snapToGrid w:val="0"/>
              <w:spacing w:before="0" w:beforeAutospacing="0" w:after="0" w:afterAutospacing="0"/>
              <w:jc w:val="center"/>
              <w:rPr>
                <w:rFonts w:hint="eastAsia" w:cs="宋体"/>
                <w:color w:val="auto"/>
                <w:sz w:val="21"/>
                <w:szCs w:val="21"/>
              </w:rPr>
            </w:pPr>
            <w:r>
              <w:rPr>
                <w:rFonts w:hint="eastAsia" w:cs="宋体"/>
                <w:bCs/>
                <w:color w:val="auto"/>
                <w:kern w:val="2"/>
                <w:sz w:val="21"/>
                <w:szCs w:val="21"/>
              </w:rPr>
              <w:t>与项目有关的原有环境污染问题</w:t>
            </w:r>
          </w:p>
        </w:tc>
        <w:tc>
          <w:tcPr>
            <w:tcW w:w="8258" w:type="dxa"/>
            <w:vAlign w:val="center"/>
          </w:tcPr>
          <w:p w14:paraId="4B87F347">
            <w:pPr>
              <w:keepNext w:val="0"/>
              <w:keepLines w:val="0"/>
              <w:widowControl/>
              <w:suppressLineNumbers w:val="0"/>
              <w:jc w:val="left"/>
              <w:rPr>
                <w:color w:val="auto"/>
              </w:rPr>
            </w:pPr>
          </w:p>
          <w:p w14:paraId="7271ABC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Times New Roman" w:hAnsi="Times New Roman" w:eastAsia="宋体" w:cs="Times New Roman"/>
                <w:color w:val="auto"/>
                <w:kern w:val="0"/>
                <w:sz w:val="24"/>
                <w:lang w:val="en-US" w:eastAsia="zh-CN" w:bidi="ar"/>
              </w:rPr>
              <w:t>本项目</w:t>
            </w:r>
            <w:r>
              <w:rPr>
                <w:rFonts w:ascii="Times New Roman" w:hAnsi="Times New Roman" w:eastAsia="宋体" w:cs="Times New Roman"/>
                <w:color w:val="auto"/>
                <w:kern w:val="0"/>
                <w:sz w:val="24"/>
                <w:lang w:bidi="ar"/>
              </w:rPr>
              <w:t>位于鄂尔多斯市准格尔经济开发区大路产业园新能源科技产业基地</w:t>
            </w:r>
            <w:r>
              <w:rPr>
                <w:rFonts w:hint="eastAsia"/>
                <w:color w:val="auto"/>
                <w:sz w:val="24"/>
              </w:rPr>
              <w:t>B3地块12号厂房</w:t>
            </w:r>
            <w:r>
              <w:rPr>
                <w:rFonts w:ascii="Times New Roman" w:hAnsi="Times New Roman" w:eastAsia="宋体" w:cs="Times New Roman"/>
                <w:color w:val="auto"/>
                <w:kern w:val="0"/>
                <w:sz w:val="24"/>
                <w:lang w:bidi="ar"/>
              </w:rPr>
              <w:t>，项目建设性质为新建，项目厂</w:t>
            </w:r>
            <w:r>
              <w:rPr>
                <w:rFonts w:hint="eastAsia" w:cs="Times New Roman"/>
                <w:color w:val="auto"/>
                <w:kern w:val="0"/>
                <w:sz w:val="24"/>
                <w:lang w:val="en-US" w:eastAsia="zh-CN" w:bidi="ar"/>
              </w:rPr>
              <w:t>房</w:t>
            </w:r>
            <w:r>
              <w:rPr>
                <w:rFonts w:ascii="Times New Roman" w:hAnsi="Times New Roman" w:eastAsia="宋体" w:cs="Times New Roman"/>
                <w:color w:val="auto"/>
                <w:kern w:val="0"/>
                <w:sz w:val="24"/>
                <w:lang w:bidi="ar"/>
              </w:rPr>
              <w:t>目前为</w:t>
            </w:r>
            <w:r>
              <w:rPr>
                <w:rFonts w:hint="eastAsia" w:cs="Times New Roman"/>
                <w:color w:val="auto"/>
                <w:kern w:val="0"/>
                <w:sz w:val="24"/>
                <w:lang w:val="en-US" w:eastAsia="zh-CN" w:bidi="ar"/>
              </w:rPr>
              <w:t>空置</w:t>
            </w:r>
            <w:r>
              <w:rPr>
                <w:rFonts w:ascii="Times New Roman" w:hAnsi="Times New Roman" w:eastAsia="宋体" w:cs="Times New Roman"/>
                <w:color w:val="auto"/>
                <w:kern w:val="0"/>
                <w:sz w:val="24"/>
                <w:lang w:bidi="ar"/>
              </w:rPr>
              <w:t>车间，</w:t>
            </w:r>
            <w:r>
              <w:rPr>
                <w:rFonts w:hint="eastAsia"/>
                <w:color w:val="auto"/>
                <w:sz w:val="24"/>
                <w:lang w:val="en-US" w:eastAsia="zh-CN"/>
              </w:rPr>
              <w:t>未开展过生产活动，</w:t>
            </w:r>
            <w:r>
              <w:rPr>
                <w:rFonts w:hint="eastAsia" w:cs="Times New Roman"/>
                <w:color w:val="auto"/>
                <w:kern w:val="0"/>
                <w:sz w:val="24"/>
                <w:lang w:val="en-US" w:eastAsia="zh-CN" w:bidi="ar"/>
              </w:rPr>
              <w:t>成品区域为园区划拨使</w:t>
            </w:r>
            <w:r>
              <w:rPr>
                <w:rFonts w:hint="eastAsia" w:ascii="Times New Roman" w:hAnsi="Times New Roman" w:eastAsia="宋体" w:cs="Times New Roman"/>
                <w:color w:val="auto"/>
                <w:kern w:val="0"/>
                <w:sz w:val="24"/>
                <w:lang w:val="en-US" w:eastAsia="zh-CN" w:bidi="ar"/>
              </w:rPr>
              <w:t>用，均已做一般地面硬化</w:t>
            </w:r>
            <w:r>
              <w:rPr>
                <w:rFonts w:hint="eastAsia" w:cs="Times New Roman"/>
                <w:color w:val="auto"/>
                <w:kern w:val="0"/>
                <w:sz w:val="24"/>
                <w:lang w:val="en-US" w:eastAsia="zh-CN" w:bidi="ar"/>
              </w:rPr>
              <w:t>，</w:t>
            </w:r>
            <w:r>
              <w:rPr>
                <w:rFonts w:ascii="Times New Roman" w:hAnsi="Times New Roman" w:eastAsia="宋体" w:cs="Times New Roman"/>
                <w:color w:val="auto"/>
                <w:kern w:val="0"/>
                <w:sz w:val="24"/>
                <w:lang w:bidi="ar"/>
              </w:rPr>
              <w:t>不存在与项目有关的原有环境污染问题</w:t>
            </w:r>
            <w:r>
              <w:rPr>
                <w:rFonts w:hint="eastAsia" w:cs="Times New Roman"/>
                <w:color w:val="auto"/>
                <w:kern w:val="0"/>
                <w:sz w:val="24"/>
                <w:lang w:eastAsia="zh-CN" w:bidi="ar"/>
              </w:rPr>
              <w:t>。</w:t>
            </w:r>
          </w:p>
          <w:tbl>
            <w:tblPr>
              <w:tblStyle w:val="23"/>
              <w:tblW w:w="80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1"/>
              <w:gridCol w:w="4021"/>
            </w:tblGrid>
            <w:tr w14:paraId="4719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1" w:type="dxa"/>
                </w:tcPr>
                <w:p w14:paraId="259190E1">
                  <w:pPr>
                    <w:bidi w:val="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392680" cy="1794510"/>
                        <wp:effectExtent l="0" t="0" r="7620" b="15240"/>
                        <wp:docPr id="15" name="图片 15" descr="f5f75aceb1e70c78850bfe5306a91b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5f75aceb1e70c78850bfe5306a91b15"/>
                                <pic:cNvPicPr>
                                  <a:picLocks noChangeAspect="1"/>
                                </pic:cNvPicPr>
                              </pic:nvPicPr>
                              <pic:blipFill>
                                <a:blip r:embed="rId22"/>
                                <a:stretch>
                                  <a:fillRect/>
                                </a:stretch>
                              </pic:blipFill>
                              <pic:spPr>
                                <a:xfrm>
                                  <a:off x="0" y="0"/>
                                  <a:ext cx="2392680" cy="1794510"/>
                                </a:xfrm>
                                <a:prstGeom prst="rect">
                                  <a:avLst/>
                                </a:prstGeom>
                              </pic:spPr>
                            </pic:pic>
                          </a:graphicData>
                        </a:graphic>
                      </wp:inline>
                    </w:drawing>
                  </w:r>
                </w:p>
              </w:tc>
              <w:tc>
                <w:tcPr>
                  <w:tcW w:w="4021" w:type="dxa"/>
                </w:tcPr>
                <w:p w14:paraId="79413D15">
                  <w:pPr>
                    <w:bidi w:val="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392680" cy="1794510"/>
                        <wp:effectExtent l="0" t="0" r="7620" b="15240"/>
                        <wp:docPr id="16" name="图片 16" descr="7610773545045601e6347ef1eaac2f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610773545045601e6347ef1eaac2fba"/>
                                <pic:cNvPicPr>
                                  <a:picLocks noChangeAspect="1"/>
                                </pic:cNvPicPr>
                              </pic:nvPicPr>
                              <pic:blipFill>
                                <a:blip r:embed="rId23"/>
                                <a:stretch>
                                  <a:fillRect/>
                                </a:stretch>
                              </pic:blipFill>
                              <pic:spPr>
                                <a:xfrm>
                                  <a:off x="0" y="0"/>
                                  <a:ext cx="2392680" cy="1794510"/>
                                </a:xfrm>
                                <a:prstGeom prst="rect">
                                  <a:avLst/>
                                </a:prstGeom>
                              </pic:spPr>
                            </pic:pic>
                          </a:graphicData>
                        </a:graphic>
                      </wp:inline>
                    </w:drawing>
                  </w:r>
                </w:p>
              </w:tc>
            </w:tr>
            <w:tr w14:paraId="7AB4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2" w:type="dxa"/>
                  <w:gridSpan w:val="2"/>
                  <w:vAlign w:val="center"/>
                </w:tcPr>
                <w:p w14:paraId="22C85A40">
                  <w:pPr>
                    <w:bidi w:val="0"/>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厂房内部现状图</w:t>
                  </w:r>
                </w:p>
              </w:tc>
            </w:tr>
            <w:tr w14:paraId="3893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1" w:type="dxa"/>
                  <w:vAlign w:val="center"/>
                </w:tcPr>
                <w:p w14:paraId="24B8C621">
                  <w:pPr>
                    <w:bidi w:val="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404745" cy="1802765"/>
                        <wp:effectExtent l="0" t="0" r="14605" b="6985"/>
                        <wp:docPr id="20" name="图片 20" descr="05b056e08623477b229d29d31ec1b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5b056e08623477b229d29d31ec1b647"/>
                                <pic:cNvPicPr>
                                  <a:picLocks noChangeAspect="1"/>
                                </pic:cNvPicPr>
                              </pic:nvPicPr>
                              <pic:blipFill>
                                <a:blip r:embed="rId24"/>
                                <a:stretch>
                                  <a:fillRect/>
                                </a:stretch>
                              </pic:blipFill>
                              <pic:spPr>
                                <a:xfrm>
                                  <a:off x="0" y="0"/>
                                  <a:ext cx="2404745" cy="1802765"/>
                                </a:xfrm>
                                <a:prstGeom prst="rect">
                                  <a:avLst/>
                                </a:prstGeom>
                              </pic:spPr>
                            </pic:pic>
                          </a:graphicData>
                        </a:graphic>
                      </wp:inline>
                    </w:drawing>
                  </w:r>
                </w:p>
              </w:tc>
              <w:tc>
                <w:tcPr>
                  <w:tcW w:w="4021" w:type="dxa"/>
                  <w:vAlign w:val="center"/>
                </w:tcPr>
                <w:p w14:paraId="2A931BFB">
                  <w:pPr>
                    <w:bidi w:val="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drawing>
                      <wp:inline distT="0" distB="0" distL="114300" distR="114300">
                        <wp:extent cx="2404745" cy="1802765"/>
                        <wp:effectExtent l="0" t="0" r="14605" b="6985"/>
                        <wp:docPr id="21" name="图片 21" descr="00c64633eb03b3c1a6c360029b7b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c64633eb03b3c1a6c360029b7b6619"/>
                                <pic:cNvPicPr>
                                  <a:picLocks noChangeAspect="1"/>
                                </pic:cNvPicPr>
                              </pic:nvPicPr>
                              <pic:blipFill>
                                <a:blip r:embed="rId25"/>
                                <a:stretch>
                                  <a:fillRect/>
                                </a:stretch>
                              </pic:blipFill>
                              <pic:spPr>
                                <a:xfrm>
                                  <a:off x="0" y="0"/>
                                  <a:ext cx="2404745" cy="1802765"/>
                                </a:xfrm>
                                <a:prstGeom prst="rect">
                                  <a:avLst/>
                                </a:prstGeom>
                              </pic:spPr>
                            </pic:pic>
                          </a:graphicData>
                        </a:graphic>
                      </wp:inline>
                    </w:drawing>
                  </w:r>
                </w:p>
              </w:tc>
            </w:tr>
            <w:tr w14:paraId="3270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2" w:type="dxa"/>
                  <w:gridSpan w:val="2"/>
                  <w:vAlign w:val="center"/>
                </w:tcPr>
                <w:p w14:paraId="7B01B827">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厂房外部现状图</w:t>
                  </w:r>
                </w:p>
              </w:tc>
            </w:tr>
          </w:tbl>
          <w:p w14:paraId="2D2FF0C4">
            <w:pPr>
              <w:pStyle w:val="47"/>
              <w:ind w:firstLine="2650" w:firstLineChars="1100"/>
              <w:jc w:val="both"/>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图2-7    本项目现状图</w:t>
            </w:r>
          </w:p>
          <w:p w14:paraId="657F214D">
            <w:pPr>
              <w:jc w:val="left"/>
              <w:rPr>
                <w:rFonts w:hint="default"/>
                <w:color w:val="auto"/>
                <w:lang w:val="en-US" w:eastAsia="zh-CN"/>
              </w:rPr>
            </w:pPr>
          </w:p>
        </w:tc>
      </w:tr>
    </w:tbl>
    <w:p w14:paraId="7D43B9CE">
      <w:pPr>
        <w:pStyle w:val="19"/>
        <w:jc w:val="center"/>
        <w:rPr>
          <w:rFonts w:hint="eastAsia" w:ascii="黑体" w:hAnsi="黑体" w:eastAsia="黑体"/>
          <w:snapToGrid w:val="0"/>
          <w:color w:val="auto"/>
          <w:sz w:val="36"/>
          <w:szCs w:val="36"/>
        </w:rPr>
        <w:sectPr>
          <w:footerReference r:id="rId5" w:type="default"/>
          <w:pgSz w:w="11906" w:h="16838"/>
          <w:pgMar w:top="1701" w:right="1531" w:bottom="1701" w:left="1531" w:header="851" w:footer="851" w:gutter="0"/>
          <w:cols w:space="720" w:num="1"/>
          <w:docGrid w:linePitch="312" w:charSpace="0"/>
        </w:sectPr>
      </w:pPr>
    </w:p>
    <w:bookmarkEnd w:id="0"/>
    <w:bookmarkEnd w:id="1"/>
    <w:p w14:paraId="0B158E1A">
      <w:pPr>
        <w:pStyle w:val="19"/>
        <w:spacing w:before="0" w:beforeAutospacing="0" w:after="0" w:afterAutospacing="0"/>
        <w:jc w:val="center"/>
        <w:outlineLvl w:val="0"/>
        <w:rPr>
          <w:rFonts w:ascii="Times New Roman" w:hAnsi="Times New Roman"/>
          <w:b/>
          <w:bCs/>
          <w:snapToGrid w:val="0"/>
          <w:color w:val="auto"/>
          <w:sz w:val="30"/>
          <w:szCs w:val="30"/>
        </w:rPr>
      </w:pPr>
      <w:bookmarkStart w:id="3" w:name="_Toc18111"/>
      <w:r>
        <w:rPr>
          <w:rFonts w:hint="eastAsia" w:ascii="Times New Roman" w:hAnsi="Times New Roman"/>
          <w:b/>
          <w:bCs/>
          <w:snapToGrid w:val="0"/>
          <w:color w:val="auto"/>
          <w:sz w:val="30"/>
          <w:szCs w:val="30"/>
        </w:rPr>
        <w:t>三、区域环境质量现状、环境保护目标及评价标准</w:t>
      </w:r>
      <w:bookmarkEnd w:id="3"/>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48C9FA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00" w:type="dxa"/>
            <w:vAlign w:val="center"/>
          </w:tcPr>
          <w:p w14:paraId="54F93284">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区域</w:t>
            </w:r>
          </w:p>
          <w:p w14:paraId="7713DF32">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环境</w:t>
            </w:r>
          </w:p>
          <w:p w14:paraId="50667AE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质量</w:t>
            </w:r>
          </w:p>
          <w:p w14:paraId="06869005">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现状</w:t>
            </w:r>
          </w:p>
        </w:tc>
        <w:tc>
          <w:tcPr>
            <w:tcW w:w="8190" w:type="dxa"/>
            <w:vAlign w:val="center"/>
          </w:tcPr>
          <w:p w14:paraId="734FD2F3">
            <w:pPr>
              <w:numPr>
                <w:ilvl w:val="0"/>
                <w:numId w:val="8"/>
              </w:numPr>
              <w:adjustRightInd w:val="0"/>
              <w:snapToGrid w:val="0"/>
              <w:spacing w:line="360" w:lineRule="auto"/>
              <w:ind w:firstLine="480" w:firstLineChars="200"/>
              <w:jc w:val="left"/>
              <w:rPr>
                <w:color w:val="auto"/>
                <w:kern w:val="0"/>
                <w:sz w:val="24"/>
              </w:rPr>
            </w:pPr>
            <w:r>
              <w:rPr>
                <w:color w:val="auto"/>
                <w:kern w:val="0"/>
                <w:sz w:val="24"/>
              </w:rPr>
              <w:t>环境</w:t>
            </w:r>
            <w:r>
              <w:rPr>
                <w:rFonts w:hint="eastAsia"/>
                <w:color w:val="auto"/>
                <w:kern w:val="0"/>
                <w:sz w:val="24"/>
              </w:rPr>
              <w:t>空气</w:t>
            </w:r>
            <w:r>
              <w:rPr>
                <w:color w:val="auto"/>
                <w:kern w:val="0"/>
                <w:sz w:val="24"/>
              </w:rPr>
              <w:t>质量现状</w:t>
            </w:r>
          </w:p>
          <w:p w14:paraId="585CAAE3">
            <w:pPr>
              <w:adjustRightInd w:val="0"/>
              <w:snapToGrid w:val="0"/>
              <w:spacing w:line="360" w:lineRule="auto"/>
              <w:ind w:firstLine="480" w:firstLineChars="200"/>
              <w:jc w:val="left"/>
              <w:rPr>
                <w:color w:val="auto"/>
                <w:kern w:val="0"/>
                <w:sz w:val="24"/>
              </w:rPr>
            </w:pPr>
            <w:r>
              <w:rPr>
                <w:rFonts w:hint="eastAsia"/>
                <w:color w:val="auto"/>
                <w:kern w:val="0"/>
                <w:sz w:val="24"/>
              </w:rPr>
              <w:t>（1）达标区判定</w:t>
            </w:r>
          </w:p>
          <w:p w14:paraId="136FFE51">
            <w:pPr>
              <w:widowControl/>
              <w:spacing w:line="360" w:lineRule="auto"/>
              <w:ind w:firstLine="480" w:firstLineChars="200"/>
              <w:jc w:val="left"/>
              <w:rPr>
                <w:color w:val="auto"/>
                <w:kern w:val="0"/>
                <w:sz w:val="24"/>
              </w:rPr>
            </w:pPr>
            <w:r>
              <w:rPr>
                <w:rFonts w:hint="eastAsia"/>
                <w:color w:val="auto"/>
                <w:kern w:val="0"/>
                <w:sz w:val="24"/>
                <w:lang w:bidi="ar"/>
              </w:rPr>
              <w:t>根据内蒙古自治区生态环境厅202</w:t>
            </w:r>
            <w:r>
              <w:rPr>
                <w:rFonts w:hint="eastAsia"/>
                <w:color w:val="auto"/>
                <w:kern w:val="0"/>
                <w:sz w:val="24"/>
                <w:lang w:val="en-US" w:eastAsia="zh-CN" w:bidi="ar"/>
              </w:rPr>
              <w:t>6</w:t>
            </w:r>
            <w:r>
              <w:rPr>
                <w:rFonts w:hint="eastAsia"/>
                <w:color w:val="auto"/>
                <w:kern w:val="0"/>
                <w:sz w:val="24"/>
                <w:lang w:bidi="ar"/>
              </w:rPr>
              <w:t>年6月发布的《内蒙古自治区生态环境状况公报（202</w:t>
            </w:r>
            <w:r>
              <w:rPr>
                <w:rFonts w:hint="eastAsia"/>
                <w:color w:val="auto"/>
                <w:kern w:val="0"/>
                <w:sz w:val="24"/>
                <w:lang w:val="en-US" w:eastAsia="zh-CN" w:bidi="ar"/>
              </w:rPr>
              <w:t>5</w:t>
            </w:r>
            <w:r>
              <w:rPr>
                <w:rFonts w:hint="eastAsia"/>
                <w:color w:val="auto"/>
                <w:kern w:val="0"/>
                <w:sz w:val="24"/>
                <w:lang w:bidi="ar"/>
              </w:rPr>
              <w:t>年）》“202</w:t>
            </w:r>
            <w:r>
              <w:rPr>
                <w:rFonts w:hint="eastAsia"/>
                <w:color w:val="auto"/>
                <w:kern w:val="0"/>
                <w:sz w:val="24"/>
                <w:lang w:val="en-US" w:eastAsia="zh-CN" w:bidi="ar"/>
              </w:rPr>
              <w:t>5</w:t>
            </w:r>
            <w:r>
              <w:rPr>
                <w:rFonts w:hint="eastAsia"/>
                <w:color w:val="auto"/>
                <w:kern w:val="0"/>
                <w:sz w:val="24"/>
                <w:lang w:bidi="ar"/>
              </w:rPr>
              <w:t>年，全区环境空气六项污染物年均浓度均达标。”，因此</w:t>
            </w:r>
            <w:r>
              <w:rPr>
                <w:rFonts w:hint="eastAsia"/>
                <w:color w:val="auto"/>
                <w:kern w:val="0"/>
                <w:sz w:val="24"/>
                <w:lang w:eastAsia="zh-CN" w:bidi="ar"/>
              </w:rPr>
              <w:t>，</w:t>
            </w:r>
            <w:r>
              <w:rPr>
                <w:rFonts w:hint="eastAsia"/>
                <w:color w:val="auto"/>
                <w:kern w:val="0"/>
                <w:sz w:val="24"/>
                <w:lang w:val="en-US" w:eastAsia="zh-CN" w:bidi="ar"/>
              </w:rPr>
              <w:t>本</w:t>
            </w:r>
            <w:r>
              <w:rPr>
                <w:rFonts w:hint="eastAsia"/>
                <w:color w:val="auto"/>
                <w:kern w:val="0"/>
                <w:sz w:val="24"/>
                <w:lang w:bidi="ar"/>
              </w:rPr>
              <w:t>项目所在区域为城市环境空气质量达标区域。</w:t>
            </w:r>
          </w:p>
          <w:p w14:paraId="4A7C2A17">
            <w:pPr>
              <w:widowControl/>
              <w:spacing w:line="360" w:lineRule="auto"/>
              <w:ind w:firstLine="480" w:firstLineChars="200"/>
              <w:jc w:val="left"/>
              <w:rPr>
                <w:color w:val="auto"/>
                <w:kern w:val="0"/>
                <w:sz w:val="24"/>
              </w:rPr>
            </w:pPr>
            <w:r>
              <w:rPr>
                <w:rFonts w:hint="eastAsia"/>
                <w:color w:val="auto"/>
                <w:kern w:val="0"/>
                <w:sz w:val="24"/>
              </w:rPr>
              <w:t>（2）环境空气质量特征因子现状监测</w:t>
            </w:r>
          </w:p>
          <w:p w14:paraId="186784D5">
            <w:pPr>
              <w:widowControl/>
              <w:spacing w:line="360" w:lineRule="auto"/>
              <w:ind w:firstLine="480" w:firstLineChars="200"/>
              <w:jc w:val="left"/>
              <w:rPr>
                <w:color w:val="auto"/>
                <w:kern w:val="0"/>
                <w:sz w:val="24"/>
                <w:lang w:bidi="ar"/>
              </w:rPr>
            </w:pPr>
            <w:r>
              <w:rPr>
                <w:rFonts w:hint="eastAsia"/>
                <w:color w:val="auto"/>
                <w:kern w:val="0"/>
                <w:sz w:val="24"/>
                <w:lang w:bidi="ar"/>
              </w:rPr>
              <w:t>本项目中涉及的废气污染特征因子为总悬浮颗粒物（</w:t>
            </w:r>
            <w:r>
              <w:rPr>
                <w:color w:val="auto"/>
                <w:kern w:val="0"/>
                <w:sz w:val="24"/>
                <w:lang w:bidi="ar"/>
              </w:rPr>
              <w:t>TSP</w:t>
            </w:r>
            <w:r>
              <w:rPr>
                <w:rFonts w:hint="eastAsia"/>
                <w:color w:val="auto"/>
                <w:kern w:val="0"/>
                <w:sz w:val="24"/>
                <w:lang w:bidi="ar"/>
              </w:rPr>
              <w:t>）</w:t>
            </w:r>
            <w:r>
              <w:rPr>
                <w:rFonts w:hint="eastAsia"/>
                <w:color w:val="auto"/>
                <w:kern w:val="0"/>
                <w:sz w:val="24"/>
                <w:lang w:val="en-US" w:eastAsia="zh-CN" w:bidi="ar"/>
              </w:rPr>
              <w:t>和</w:t>
            </w:r>
            <w:r>
              <w:rPr>
                <w:rFonts w:hint="eastAsia"/>
                <w:color w:val="auto"/>
                <w:sz w:val="24"/>
                <w:u w:val="none"/>
              </w:rPr>
              <w:t>非甲烷总烃</w:t>
            </w:r>
            <w:r>
              <w:rPr>
                <w:rFonts w:hint="eastAsia"/>
                <w:color w:val="auto"/>
                <w:sz w:val="24"/>
                <w:u w:val="none"/>
                <w:lang w:eastAsia="zh-CN"/>
              </w:rPr>
              <w:t>（</w:t>
            </w:r>
            <w:r>
              <w:rPr>
                <w:rFonts w:hint="eastAsia" w:ascii="Times New Roman" w:hAnsi="Times New Roman" w:eastAsia="宋体" w:cs="Times New Roman"/>
                <w:color w:val="auto"/>
                <w:kern w:val="0"/>
                <w:sz w:val="24"/>
                <w:lang w:bidi="ar"/>
              </w:rPr>
              <w:t>NMHC</w:t>
            </w:r>
            <w:r>
              <w:rPr>
                <w:rFonts w:hint="eastAsia" w:ascii="Times New Roman" w:hAnsi="Times New Roman" w:eastAsia="宋体" w:cs="Times New Roman"/>
                <w:color w:val="auto"/>
                <w:kern w:val="0"/>
                <w:sz w:val="24"/>
                <w:lang w:eastAsia="zh-CN" w:bidi="ar"/>
              </w:rPr>
              <w:t>）</w:t>
            </w:r>
            <w:r>
              <w:rPr>
                <w:rFonts w:hint="eastAsia"/>
                <w:color w:val="auto"/>
                <w:kern w:val="0"/>
                <w:sz w:val="24"/>
                <w:lang w:bidi="ar"/>
              </w:rPr>
              <w:t>，针对特征因子，</w:t>
            </w:r>
            <w:r>
              <w:rPr>
                <w:rFonts w:hint="eastAsia"/>
                <w:color w:val="auto"/>
                <w:kern w:val="0"/>
                <w:sz w:val="24"/>
                <w:lang w:eastAsia="zh-CN" w:bidi="ar"/>
              </w:rPr>
              <w:t>《建设项目</w:t>
            </w:r>
            <w:r>
              <w:rPr>
                <w:color w:val="auto"/>
                <w:kern w:val="0"/>
                <w:sz w:val="24"/>
                <w:lang w:bidi="ar"/>
              </w:rPr>
              <w:t>环境影响报告表编制技术指南（污染影响类）》</w:t>
            </w:r>
            <w:r>
              <w:rPr>
                <w:rFonts w:hint="eastAsia"/>
                <w:color w:val="auto"/>
                <w:kern w:val="0"/>
                <w:sz w:val="24"/>
                <w:lang w:bidi="ar"/>
              </w:rPr>
              <w:t>中给出的要求为：排放国家、地方环境空气质量标准中有标准限值要求的特征污染物时，引用建设项目周边5千米范围内近3年的现有监测数据，无相关数据的选择当季主导风向下风向1个点位补充不少于3天的监测数据。</w:t>
            </w:r>
          </w:p>
          <w:p w14:paraId="565F9600">
            <w:pPr>
              <w:widowControl/>
              <w:spacing w:line="360" w:lineRule="auto"/>
              <w:ind w:firstLine="480" w:firstLineChars="200"/>
              <w:jc w:val="left"/>
              <w:rPr>
                <w:color w:val="auto"/>
                <w:sz w:val="24"/>
              </w:rPr>
            </w:pPr>
            <w:r>
              <w:rPr>
                <w:rFonts w:hint="eastAsia"/>
                <w:color w:val="auto"/>
                <w:kern w:val="0"/>
                <w:sz w:val="24"/>
                <w:lang w:bidi="ar"/>
              </w:rPr>
              <w:t>本次评价引用《先进 6 英寸硅基工业级功率半导体芯片项目环境影响报告</w:t>
            </w:r>
            <w:r>
              <w:rPr>
                <w:rFonts w:hint="eastAsia"/>
                <w:color w:val="auto"/>
                <w:kern w:val="0"/>
                <w:sz w:val="24"/>
                <w:lang w:val="en-US" w:eastAsia="zh-CN" w:bidi="ar"/>
              </w:rPr>
              <w:t>表</w:t>
            </w:r>
            <w:r>
              <w:rPr>
                <w:rFonts w:hint="eastAsia"/>
                <w:color w:val="auto"/>
                <w:kern w:val="0"/>
                <w:sz w:val="24"/>
                <w:lang w:bidi="ar"/>
              </w:rPr>
              <w:t>》中现状监测数据，</w:t>
            </w:r>
            <w:r>
              <w:rPr>
                <w:rFonts w:hint="eastAsia"/>
                <w:color w:val="auto"/>
                <w:sz w:val="24"/>
              </w:rPr>
              <w:t>该项目位于本项目</w:t>
            </w:r>
            <w:r>
              <w:rPr>
                <w:rFonts w:hint="eastAsia"/>
                <w:color w:val="auto"/>
                <w:sz w:val="24"/>
                <w:lang w:val="en-US" w:eastAsia="zh-CN"/>
              </w:rPr>
              <w:t>东</w:t>
            </w:r>
            <w:r>
              <w:rPr>
                <w:rFonts w:hint="eastAsia"/>
                <w:color w:val="auto"/>
                <w:sz w:val="24"/>
              </w:rPr>
              <w:t>北侧，</w:t>
            </w:r>
            <w:r>
              <w:rPr>
                <w:rFonts w:hint="eastAsia"/>
                <w:color w:val="auto"/>
                <w:sz w:val="24"/>
                <w:lang w:val="en-US" w:eastAsia="zh-CN"/>
              </w:rPr>
              <w:t>监测点</w:t>
            </w:r>
            <w:r>
              <w:rPr>
                <w:rFonts w:hint="eastAsia"/>
                <w:color w:val="auto"/>
                <w:kern w:val="0"/>
                <w:sz w:val="24"/>
                <w:lang w:val="en-US" w:eastAsia="zh-CN" w:bidi="ar"/>
              </w:rPr>
              <w:t>位</w:t>
            </w:r>
            <w:r>
              <w:rPr>
                <w:rFonts w:hint="eastAsia"/>
                <w:color w:val="auto"/>
                <w:kern w:val="0"/>
                <w:sz w:val="24"/>
                <w:lang w:bidi="ar"/>
              </w:rPr>
              <w:t>距离</w:t>
            </w:r>
            <w:r>
              <w:rPr>
                <w:rFonts w:hint="eastAsia"/>
                <w:color w:val="auto"/>
                <w:kern w:val="0"/>
                <w:sz w:val="24"/>
                <w:lang w:val="en-US" w:eastAsia="zh-CN" w:bidi="ar"/>
              </w:rPr>
              <w:t>本项目0.37</w:t>
            </w:r>
            <w:r>
              <w:rPr>
                <w:rFonts w:hint="eastAsia"/>
                <w:color w:val="auto"/>
                <w:kern w:val="0"/>
                <w:sz w:val="24"/>
                <w:lang w:bidi="ar"/>
              </w:rPr>
              <w:t>km。</w:t>
            </w:r>
            <w:r>
              <w:rPr>
                <w:rFonts w:hint="eastAsia"/>
                <w:color w:val="auto"/>
                <w:sz w:val="24"/>
              </w:rPr>
              <w:t>由内蒙古泽铭技术检测有限公司于2025年3月</w:t>
            </w:r>
            <w:r>
              <w:rPr>
                <w:rFonts w:hint="eastAsia"/>
                <w:color w:val="auto"/>
                <w:sz w:val="24"/>
                <w:lang w:val="en-US" w:eastAsia="zh-CN"/>
              </w:rPr>
              <w:t>7</w:t>
            </w:r>
            <w:r>
              <w:rPr>
                <w:rFonts w:hint="eastAsia"/>
                <w:color w:val="auto"/>
                <w:sz w:val="24"/>
              </w:rPr>
              <w:t>日~2025年3月</w:t>
            </w:r>
            <w:r>
              <w:rPr>
                <w:rFonts w:hint="eastAsia"/>
                <w:color w:val="auto"/>
                <w:sz w:val="24"/>
                <w:lang w:val="en-US" w:eastAsia="zh-CN"/>
              </w:rPr>
              <w:t>9</w:t>
            </w:r>
            <w:r>
              <w:rPr>
                <w:rFonts w:hint="eastAsia"/>
                <w:color w:val="auto"/>
                <w:sz w:val="24"/>
              </w:rPr>
              <w:t>日开展</w:t>
            </w:r>
            <w:r>
              <w:rPr>
                <w:rFonts w:hint="eastAsia"/>
                <w:color w:val="auto"/>
                <w:sz w:val="24"/>
                <w:lang w:val="en-US" w:eastAsia="zh-CN"/>
              </w:rPr>
              <w:t>3</w:t>
            </w:r>
            <w:r>
              <w:rPr>
                <w:rFonts w:hint="eastAsia"/>
                <w:color w:val="auto"/>
                <w:sz w:val="24"/>
              </w:rPr>
              <w:t>天现状监测。监测结果见表3-1。</w:t>
            </w:r>
          </w:p>
          <w:p w14:paraId="2C0A67CD">
            <w:pPr>
              <w:pStyle w:val="58"/>
              <w:rPr>
                <w:color w:val="auto"/>
                <w:kern w:val="0"/>
                <w:sz w:val="24"/>
                <w:szCs w:val="21"/>
              </w:rPr>
            </w:pPr>
            <w:r>
              <w:rPr>
                <w:rFonts w:hint="eastAsia"/>
                <w:color w:val="auto"/>
                <w:kern w:val="0"/>
                <w:sz w:val="24"/>
                <w:szCs w:val="21"/>
              </w:rPr>
              <w:t>表3-1   环境空气质量现状监测结果评价一览表</w:t>
            </w:r>
          </w:p>
          <w:tbl>
            <w:tblPr>
              <w:tblStyle w:val="23"/>
              <w:tblW w:w="77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9"/>
              <w:gridCol w:w="1397"/>
              <w:gridCol w:w="1569"/>
              <w:gridCol w:w="1225"/>
              <w:gridCol w:w="1067"/>
              <w:gridCol w:w="910"/>
            </w:tblGrid>
            <w:tr w14:paraId="06EF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89" w:type="dxa"/>
                  <w:vAlign w:val="center"/>
                </w:tcPr>
                <w:p w14:paraId="263CE93C">
                  <w:pPr>
                    <w:jc w:val="center"/>
                    <w:rPr>
                      <w:color w:val="auto"/>
                      <w:szCs w:val="21"/>
                    </w:rPr>
                  </w:pPr>
                  <w:r>
                    <w:rPr>
                      <w:color w:val="auto"/>
                      <w:szCs w:val="21"/>
                    </w:rPr>
                    <w:t>污染物</w:t>
                  </w:r>
                </w:p>
              </w:tc>
              <w:tc>
                <w:tcPr>
                  <w:tcW w:w="1397" w:type="dxa"/>
                  <w:vAlign w:val="center"/>
                </w:tcPr>
                <w:p w14:paraId="7FB4A5FC">
                  <w:pPr>
                    <w:widowControl/>
                    <w:jc w:val="center"/>
                    <w:rPr>
                      <w:color w:val="auto"/>
                      <w:szCs w:val="21"/>
                    </w:rPr>
                  </w:pPr>
                  <w:r>
                    <w:rPr>
                      <w:color w:val="auto"/>
                      <w:kern w:val="0"/>
                      <w:szCs w:val="21"/>
                      <w:lang w:bidi="ar"/>
                    </w:rPr>
                    <w:t>评价标准</w:t>
                  </w:r>
                </w:p>
                <w:p w14:paraId="5050B7D2">
                  <w:pPr>
                    <w:widowControl/>
                    <w:jc w:val="center"/>
                    <w:rPr>
                      <w:color w:val="auto"/>
                      <w:szCs w:val="21"/>
                    </w:rPr>
                  </w:pPr>
                  <w:r>
                    <w:rPr>
                      <w:color w:val="auto"/>
                      <w:kern w:val="0"/>
                      <w:szCs w:val="21"/>
                      <w:lang w:bidi="ar"/>
                    </w:rPr>
                    <w:t>（mg/m</w:t>
                  </w:r>
                  <w:r>
                    <w:rPr>
                      <w:color w:val="auto"/>
                      <w:kern w:val="0"/>
                      <w:szCs w:val="21"/>
                      <w:vertAlign w:val="superscript"/>
                      <w:lang w:bidi="ar"/>
                    </w:rPr>
                    <w:t>3</w:t>
                  </w:r>
                  <w:r>
                    <w:rPr>
                      <w:color w:val="auto"/>
                      <w:kern w:val="0"/>
                      <w:szCs w:val="21"/>
                      <w:lang w:bidi="ar"/>
                    </w:rPr>
                    <w:t>）</w:t>
                  </w:r>
                </w:p>
              </w:tc>
              <w:tc>
                <w:tcPr>
                  <w:tcW w:w="1569" w:type="dxa"/>
                  <w:vAlign w:val="center"/>
                </w:tcPr>
                <w:p w14:paraId="43A8D61F">
                  <w:pPr>
                    <w:widowControl/>
                    <w:jc w:val="center"/>
                    <w:rPr>
                      <w:color w:val="auto"/>
                      <w:szCs w:val="21"/>
                    </w:rPr>
                  </w:pPr>
                  <w:r>
                    <w:rPr>
                      <w:color w:val="auto"/>
                      <w:kern w:val="0"/>
                      <w:szCs w:val="21"/>
                      <w:lang w:bidi="ar"/>
                    </w:rPr>
                    <w:t>浓度范围</w:t>
                  </w:r>
                </w:p>
                <w:p w14:paraId="3F2B2D24">
                  <w:pPr>
                    <w:widowControl/>
                    <w:jc w:val="center"/>
                    <w:rPr>
                      <w:color w:val="auto"/>
                      <w:szCs w:val="21"/>
                    </w:rPr>
                  </w:pPr>
                  <w:r>
                    <w:rPr>
                      <w:color w:val="auto"/>
                      <w:kern w:val="0"/>
                      <w:szCs w:val="21"/>
                      <w:lang w:bidi="ar"/>
                    </w:rPr>
                    <w:t>（mg/m</w:t>
                  </w:r>
                  <w:r>
                    <w:rPr>
                      <w:color w:val="auto"/>
                      <w:kern w:val="0"/>
                      <w:szCs w:val="21"/>
                      <w:vertAlign w:val="superscript"/>
                      <w:lang w:bidi="ar"/>
                    </w:rPr>
                    <w:t>3</w:t>
                  </w:r>
                  <w:r>
                    <w:rPr>
                      <w:color w:val="auto"/>
                      <w:kern w:val="0"/>
                      <w:szCs w:val="21"/>
                      <w:lang w:bidi="ar"/>
                    </w:rPr>
                    <w:t>）</w:t>
                  </w:r>
                </w:p>
              </w:tc>
              <w:tc>
                <w:tcPr>
                  <w:tcW w:w="1225" w:type="dxa"/>
                  <w:vAlign w:val="center"/>
                </w:tcPr>
                <w:p w14:paraId="766F9BA9">
                  <w:pPr>
                    <w:widowControl/>
                    <w:jc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最大浓度占标率%</w:t>
                  </w:r>
                </w:p>
              </w:tc>
              <w:tc>
                <w:tcPr>
                  <w:tcW w:w="1067" w:type="dxa"/>
                  <w:vAlign w:val="center"/>
                </w:tcPr>
                <w:p w14:paraId="32B39D94">
                  <w:pPr>
                    <w:widowControl/>
                    <w:jc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超标率</w:t>
                  </w:r>
                </w:p>
                <w:p w14:paraId="2FB101EC">
                  <w:pPr>
                    <w:widowControl/>
                    <w:jc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w:t>
                  </w:r>
                </w:p>
              </w:tc>
              <w:tc>
                <w:tcPr>
                  <w:tcW w:w="910" w:type="dxa"/>
                  <w:vAlign w:val="center"/>
                </w:tcPr>
                <w:p w14:paraId="34A37554">
                  <w:pPr>
                    <w:widowControl/>
                    <w:jc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达标</w:t>
                  </w:r>
                </w:p>
                <w:p w14:paraId="7DD8F300">
                  <w:pPr>
                    <w:widowControl/>
                    <w:jc w:val="center"/>
                    <w:rPr>
                      <w:rFonts w:ascii="Times New Roman" w:hAnsi="Times New Roman" w:eastAsia="宋体" w:cs="Times New Roman"/>
                      <w:color w:val="auto"/>
                      <w:kern w:val="0"/>
                      <w:szCs w:val="21"/>
                      <w:lang w:bidi="ar"/>
                    </w:rPr>
                  </w:pPr>
                  <w:r>
                    <w:rPr>
                      <w:rFonts w:ascii="Times New Roman" w:hAnsi="Times New Roman" w:eastAsia="宋体" w:cs="Times New Roman"/>
                      <w:color w:val="auto"/>
                      <w:kern w:val="0"/>
                      <w:szCs w:val="21"/>
                      <w:lang w:bidi="ar"/>
                    </w:rPr>
                    <w:t>情况</w:t>
                  </w:r>
                </w:p>
              </w:tc>
            </w:tr>
            <w:tr w14:paraId="2B66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89" w:type="dxa"/>
                  <w:vAlign w:val="center"/>
                </w:tcPr>
                <w:p w14:paraId="234C55EB">
                  <w:pPr>
                    <w:jc w:val="center"/>
                    <w:rPr>
                      <w:color w:val="auto"/>
                    </w:rPr>
                  </w:pPr>
                  <w:r>
                    <w:rPr>
                      <w:rFonts w:hint="eastAsia"/>
                      <w:color w:val="auto"/>
                    </w:rPr>
                    <w:t>颗粒物</w:t>
                  </w:r>
                </w:p>
              </w:tc>
              <w:tc>
                <w:tcPr>
                  <w:tcW w:w="1397" w:type="dxa"/>
                  <w:vAlign w:val="center"/>
                </w:tcPr>
                <w:p w14:paraId="1A3F791C">
                  <w:pPr>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0.3</w:t>
                  </w:r>
                </w:p>
              </w:tc>
              <w:tc>
                <w:tcPr>
                  <w:tcW w:w="1569" w:type="dxa"/>
                  <w:vAlign w:val="center"/>
                </w:tcPr>
                <w:p w14:paraId="1015FA32">
                  <w:pPr>
                    <w:jc w:val="center"/>
                    <w:rPr>
                      <w:color w:val="auto"/>
                    </w:rPr>
                  </w:pPr>
                  <w:r>
                    <w:rPr>
                      <w:rFonts w:ascii="Times New Roman" w:hAnsi="Times New Roman" w:eastAsia="Times New Roman" w:cs="Times New Roman"/>
                      <w:color w:val="auto"/>
                      <w:spacing w:val="2"/>
                      <w:sz w:val="20"/>
                      <w:szCs w:val="20"/>
                    </w:rPr>
                    <w:t>0.096-0.108</w:t>
                  </w:r>
                </w:p>
              </w:tc>
              <w:tc>
                <w:tcPr>
                  <w:tcW w:w="1225" w:type="dxa"/>
                  <w:vAlign w:val="center"/>
                </w:tcPr>
                <w:p w14:paraId="362C0D88">
                  <w:pPr>
                    <w:widowControl/>
                    <w:jc w:val="center"/>
                    <w:rPr>
                      <w:rFonts w:hint="default"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36%</w:t>
                  </w:r>
                </w:p>
              </w:tc>
              <w:tc>
                <w:tcPr>
                  <w:tcW w:w="1067" w:type="dxa"/>
                  <w:vAlign w:val="center"/>
                </w:tcPr>
                <w:p w14:paraId="530FEB2E">
                  <w:pPr>
                    <w:widowControl/>
                    <w:jc w:val="center"/>
                    <w:rPr>
                      <w:rFonts w:ascii="Times New Roman" w:hAnsi="Times New Roman" w:eastAsia="宋体" w:cs="Times New Roman"/>
                      <w:color w:val="auto"/>
                      <w:kern w:val="0"/>
                      <w:szCs w:val="21"/>
                      <w:lang w:bidi="ar"/>
                    </w:rPr>
                  </w:pPr>
                  <w:r>
                    <w:rPr>
                      <w:rFonts w:hint="eastAsia" w:ascii="Times New Roman" w:hAnsi="Times New Roman" w:eastAsia="宋体" w:cs="Times New Roman"/>
                      <w:color w:val="auto"/>
                      <w:kern w:val="0"/>
                      <w:szCs w:val="21"/>
                      <w:lang w:bidi="ar"/>
                    </w:rPr>
                    <w:t>0</w:t>
                  </w:r>
                </w:p>
              </w:tc>
              <w:tc>
                <w:tcPr>
                  <w:tcW w:w="910" w:type="dxa"/>
                  <w:vAlign w:val="center"/>
                </w:tcPr>
                <w:p w14:paraId="24BE1635">
                  <w:pPr>
                    <w:widowControl/>
                    <w:jc w:val="center"/>
                    <w:rPr>
                      <w:rFonts w:ascii="Times New Roman" w:hAnsi="Times New Roman" w:eastAsia="宋体" w:cs="Times New Roman"/>
                      <w:color w:val="auto"/>
                      <w:kern w:val="0"/>
                      <w:szCs w:val="21"/>
                      <w:lang w:bidi="ar"/>
                    </w:rPr>
                  </w:pPr>
                  <w:r>
                    <w:rPr>
                      <w:rFonts w:hint="eastAsia" w:ascii="Times New Roman" w:hAnsi="Times New Roman" w:eastAsia="宋体" w:cs="Times New Roman"/>
                      <w:color w:val="auto"/>
                      <w:kern w:val="0"/>
                      <w:szCs w:val="21"/>
                      <w:lang w:bidi="ar"/>
                    </w:rPr>
                    <w:t>达标</w:t>
                  </w:r>
                </w:p>
              </w:tc>
            </w:tr>
            <w:tr w14:paraId="23D3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589" w:type="dxa"/>
                  <w:vAlign w:val="center"/>
                </w:tcPr>
                <w:p w14:paraId="0611DCC0">
                  <w:pPr>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非甲烷总烃</w:t>
                  </w:r>
                </w:p>
              </w:tc>
              <w:tc>
                <w:tcPr>
                  <w:tcW w:w="1397" w:type="dxa"/>
                  <w:vAlign w:val="center"/>
                </w:tcPr>
                <w:p w14:paraId="507DBC10">
                  <w:pPr>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w:t>
                  </w:r>
                </w:p>
              </w:tc>
              <w:tc>
                <w:tcPr>
                  <w:tcW w:w="1569" w:type="dxa"/>
                  <w:vAlign w:val="center"/>
                </w:tcPr>
                <w:p w14:paraId="1F41D6F1">
                  <w:pPr>
                    <w:jc w:val="center"/>
                    <w:rPr>
                      <w:rFonts w:hint="eastAsia"/>
                      <w:color w:val="auto"/>
                    </w:rPr>
                  </w:pPr>
                  <w:r>
                    <w:rPr>
                      <w:rFonts w:ascii="Times New Roman" w:hAnsi="Times New Roman" w:eastAsia="Times New Roman" w:cs="Times New Roman"/>
                      <w:color w:val="auto"/>
                      <w:spacing w:val="2"/>
                      <w:sz w:val="20"/>
                      <w:szCs w:val="20"/>
                    </w:rPr>
                    <w:t>0.63-0.81</w:t>
                  </w:r>
                </w:p>
              </w:tc>
              <w:tc>
                <w:tcPr>
                  <w:tcW w:w="1225" w:type="dxa"/>
                  <w:vAlign w:val="center"/>
                </w:tcPr>
                <w:p w14:paraId="463678B6">
                  <w:pPr>
                    <w:widowControl/>
                    <w:jc w:val="center"/>
                    <w:rPr>
                      <w:rFonts w:hint="default"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40.5</w:t>
                  </w:r>
                </w:p>
              </w:tc>
              <w:tc>
                <w:tcPr>
                  <w:tcW w:w="1067" w:type="dxa"/>
                  <w:vAlign w:val="center"/>
                </w:tcPr>
                <w:p w14:paraId="7233AB37">
                  <w:pPr>
                    <w:widowControl/>
                    <w:jc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0</w:t>
                  </w:r>
                </w:p>
              </w:tc>
              <w:tc>
                <w:tcPr>
                  <w:tcW w:w="910" w:type="dxa"/>
                  <w:vAlign w:val="center"/>
                </w:tcPr>
                <w:p w14:paraId="1D17167C">
                  <w:pPr>
                    <w:widowControl/>
                    <w:jc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达标</w:t>
                  </w:r>
                </w:p>
              </w:tc>
            </w:tr>
          </w:tbl>
          <w:p w14:paraId="48FA437C">
            <w:pPr>
              <w:widowControl/>
              <w:spacing w:line="360" w:lineRule="auto"/>
              <w:ind w:firstLine="480" w:firstLineChars="200"/>
              <w:jc w:val="left"/>
              <w:rPr>
                <w:rFonts w:hint="eastAsia" w:eastAsia="宋体"/>
                <w:color w:val="auto"/>
                <w:sz w:val="24"/>
                <w:lang w:eastAsia="zh-CN"/>
              </w:rPr>
            </w:pPr>
            <w:r>
              <w:rPr>
                <w:rFonts w:hint="eastAsia"/>
                <w:color w:val="auto"/>
                <w:kern w:val="0"/>
                <w:sz w:val="24"/>
                <w:lang w:bidi="ar"/>
              </w:rPr>
              <w:t>根据引用监测结果可知，本项目周边TSP24小时平均值监测结果满足《环境空气质量标准》（GB3095-2026）表2的二级标准浓度限值</w:t>
            </w:r>
            <w:r>
              <w:rPr>
                <w:rFonts w:hint="eastAsia" w:ascii="Times New Roman" w:hAnsi="Times New Roman" w:eastAsia="宋体" w:cs="Times New Roman"/>
                <w:color w:val="auto"/>
                <w:kern w:val="0"/>
                <w:sz w:val="24"/>
                <w:lang w:eastAsia="zh-CN" w:bidi="ar"/>
              </w:rPr>
              <w:t>，</w:t>
            </w:r>
            <w:r>
              <w:rPr>
                <w:rFonts w:hint="eastAsia" w:ascii="Times New Roman" w:hAnsi="Times New Roman" w:eastAsia="宋体" w:cs="Times New Roman"/>
                <w:color w:val="auto"/>
                <w:kern w:val="0"/>
                <w:sz w:val="24"/>
                <w:lang w:bidi="ar"/>
              </w:rPr>
              <w:t>非甲烷总烃</w:t>
            </w:r>
            <w:r>
              <w:rPr>
                <w:rFonts w:hint="eastAsia"/>
                <w:color w:val="auto"/>
                <w:sz w:val="24"/>
                <w:u w:val="none"/>
              </w:rPr>
              <w:t>参照执行</w:t>
            </w:r>
            <w:r>
              <w:rPr>
                <w:rFonts w:hint="eastAsia"/>
                <w:color w:val="auto"/>
                <w:sz w:val="24"/>
                <w:u w:val="none"/>
                <w:lang w:val="en-US" w:eastAsia="zh-CN"/>
              </w:rPr>
              <w:t>满足</w:t>
            </w:r>
            <w:r>
              <w:rPr>
                <w:rFonts w:hint="eastAsia"/>
                <w:color w:val="auto"/>
                <w:sz w:val="24"/>
                <w:u w:val="none"/>
              </w:rPr>
              <w:t>《大气污染物综合排放标准详解》中的标准值</w:t>
            </w:r>
            <w:r>
              <w:rPr>
                <w:color w:val="auto"/>
                <w:sz w:val="24"/>
              </w:rPr>
              <w:t>。</w:t>
            </w:r>
          </w:p>
          <w:p w14:paraId="2AC13FB6">
            <w:pPr>
              <w:pStyle w:val="28"/>
              <w:keepNext/>
              <w:keepLines/>
              <w:pageBreakBefore w:val="0"/>
              <w:widowControl w:val="0"/>
              <w:kinsoku/>
              <w:wordWrap/>
              <w:overflowPunct/>
              <w:topLinePunct w:val="0"/>
              <w:autoSpaceDE/>
              <w:autoSpaceDN/>
              <w:bidi w:val="0"/>
              <w:adjustRightInd/>
              <w:snapToGrid/>
              <w:spacing w:before="0" w:after="0" w:line="240" w:lineRule="auto"/>
              <w:ind w:left="0" w:firstLine="0" w:firstLineChars="0"/>
              <w:jc w:val="center"/>
              <w:textAlignment w:val="baseline"/>
              <w:rPr>
                <w:rFonts w:hint="default" w:ascii="Times New Roman" w:hAnsi="Times New Roman" w:cs="Times New Roman"/>
                <w:color w:val="auto"/>
                <w:sz w:val="24"/>
              </w:rPr>
            </w:pPr>
            <w:r>
              <w:rPr>
                <w:rFonts w:hint="default" w:ascii="Times New Roman" w:hAnsi="Times New Roman" w:cs="Times New Roman"/>
                <w:color w:val="auto"/>
              </w:rPr>
              <mc:AlternateContent>
                <mc:Choice Requires="wps">
                  <w:drawing>
                    <wp:anchor distT="0" distB="0" distL="114300" distR="114300" simplePos="0" relativeHeight="251665408" behindDoc="0" locked="0" layoutInCell="1" allowOverlap="1">
                      <wp:simplePos x="0" y="0"/>
                      <wp:positionH relativeFrom="column">
                        <wp:posOffset>1842770</wp:posOffset>
                      </wp:positionH>
                      <wp:positionV relativeFrom="paragraph">
                        <wp:posOffset>1016000</wp:posOffset>
                      </wp:positionV>
                      <wp:extent cx="760730" cy="975360"/>
                      <wp:effectExtent l="15240" t="0" r="5080" b="15240"/>
                      <wp:wrapNone/>
                      <wp:docPr id="8" name="直接箭头连接符 8"/>
                      <wp:cNvGraphicFramePr/>
                      <a:graphic xmlns:a="http://schemas.openxmlformats.org/drawingml/2006/main">
                        <a:graphicData uri="http://schemas.microsoft.com/office/word/2010/wordprocessingShape">
                          <wps:wsp>
                            <wps:cNvCnPr/>
                            <wps:spPr>
                              <a:xfrm flipV="1">
                                <a:off x="2823210" y="2748280"/>
                                <a:ext cx="760730" cy="975360"/>
                              </a:xfrm>
                              <a:prstGeom prst="straightConnector1">
                                <a:avLst/>
                              </a:prstGeom>
                              <a:ln>
                                <a:tailEnd type="arrow" w="med" len="med"/>
                              </a:ln>
                            </wps:spPr>
                            <wps:style>
                              <a:lnRef idx="3">
                                <a:schemeClr val="accent6"/>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5.1pt;margin-top:80pt;height:76.8pt;width:59.9pt;z-index:251665408;mso-width-relative:page;mso-height-relative:page;" filled="f" stroked="t" coordsize="21600,21600" o:gfxdata="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2k3ma9oA&#10;AAALAQAADwAAAAAAAAABACAAAAAiAAAAZHJzL2Rvd25yZXYueG1sUEsBAhQAFAAAAAgAh07iQMOx&#10;QhcdAgAA9AMAAA4AAAAAAAAAAQAgAAAAKQEAAGRycy9lMm9Eb2MueG1sUEsFBgAAAAAGAAYAWQEA&#10;ALgFAAAAAA==&#10;">
                      <v:fill on="f" focussize="0,0"/>
                      <v:stroke weight="3pt" color="#F79646 [3209]" joinstyle="round" endarrow="open"/>
                      <v:imagedata o:title=""/>
                      <o:lock v:ext="edit" aspectratio="f"/>
                    </v:shape>
                  </w:pict>
                </mc:Fallback>
              </mc:AlternateContent>
            </w:r>
            <w:r>
              <w:rPr>
                <w:rFonts w:hint="eastAsia" w:eastAsia="宋体"/>
                <w:color w:val="auto"/>
                <w:sz w:val="24"/>
                <w:lang w:eastAsia="zh-CN"/>
              </w:rPr>
              <w:drawing>
                <wp:anchor distT="0" distB="0" distL="114300" distR="114300" simplePos="0" relativeHeight="251671552" behindDoc="0" locked="0" layoutInCell="1" allowOverlap="1">
                  <wp:simplePos x="0" y="0"/>
                  <wp:positionH relativeFrom="column">
                    <wp:posOffset>4566920</wp:posOffset>
                  </wp:positionH>
                  <wp:positionV relativeFrom="paragraph">
                    <wp:posOffset>3175</wp:posOffset>
                  </wp:positionV>
                  <wp:extent cx="548005" cy="733425"/>
                  <wp:effectExtent l="0" t="0" r="4445" b="9525"/>
                  <wp:wrapNone/>
                  <wp:docPr id="6" name="图片 6" descr="0dfc7aaa5fd0e9c2cd000195931bc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dfc7aaa5fd0e9c2cd000195931bc0b0"/>
                          <pic:cNvPicPr>
                            <a:picLocks noChangeAspect="1"/>
                          </pic:cNvPicPr>
                        </pic:nvPicPr>
                        <pic:blipFill>
                          <a:blip r:embed="rId26"/>
                          <a:stretch>
                            <a:fillRect/>
                          </a:stretch>
                        </pic:blipFill>
                        <pic:spPr>
                          <a:xfrm>
                            <a:off x="0" y="0"/>
                            <a:ext cx="548005" cy="733425"/>
                          </a:xfrm>
                          <a:prstGeom prst="rect">
                            <a:avLst/>
                          </a:prstGeom>
                        </pic:spPr>
                      </pic:pic>
                    </a:graphicData>
                  </a:graphic>
                </wp:anchor>
              </w:drawing>
            </w:r>
            <w:r>
              <w:rPr>
                <w:rFonts w:hint="default" w:ascii="Times New Roman" w:hAnsi="Times New Roman" w:cs="Times New Roman"/>
                <w:color w:val="auto"/>
              </w:rPr>
              <mc:AlternateContent>
                <mc:Choice Requires="wps">
                  <w:drawing>
                    <wp:anchor distT="0" distB="0" distL="114300" distR="114300" simplePos="0" relativeHeight="251666432" behindDoc="0" locked="0" layoutInCell="1" allowOverlap="1">
                      <wp:simplePos x="0" y="0"/>
                      <wp:positionH relativeFrom="column">
                        <wp:posOffset>2433320</wp:posOffset>
                      </wp:positionH>
                      <wp:positionV relativeFrom="paragraph">
                        <wp:posOffset>1567815</wp:posOffset>
                      </wp:positionV>
                      <wp:extent cx="904240" cy="375920"/>
                      <wp:effectExtent l="4445" t="4445" r="5715" b="19685"/>
                      <wp:wrapNone/>
                      <wp:docPr id="9" name="文本框 9"/>
                      <wp:cNvGraphicFramePr/>
                      <a:graphic xmlns:a="http://schemas.openxmlformats.org/drawingml/2006/main">
                        <a:graphicData uri="http://schemas.microsoft.com/office/word/2010/wordprocessingShape">
                          <wps:wsp>
                            <wps:cNvSpPr txBox="1"/>
                            <wps:spPr>
                              <a:xfrm>
                                <a:off x="2684780" y="2757170"/>
                                <a:ext cx="904240" cy="3759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7D69D3">
                                  <w:pPr>
                                    <w:rPr>
                                      <w:sz w:val="30"/>
                                      <w:szCs w:val="30"/>
                                    </w:rPr>
                                  </w:pPr>
                                  <w:r>
                                    <w:rPr>
                                      <w:rFonts w:hint="eastAsia"/>
                                      <w:sz w:val="30"/>
                                      <w:szCs w:val="30"/>
                                      <w:lang w:val="en-US" w:eastAsia="zh-CN"/>
                                    </w:rPr>
                                    <w:t>0.37km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6pt;margin-top:123.45pt;height:29.6pt;width:71.2pt;z-index:251666432;mso-width-relative:page;mso-height-relative:page;" fillcolor="#FFFFFF [3201]" filled="t" stroked="t" coordsize="21600,21600" o:gfxdata="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2bL5/dgAAAALAQAADwAAAAAAAAABACAAAAAiAAAAZHJzL2Rvd25yZXYueG1sUEsBAhQA&#10;FAAAAAgAh07iQGEOhEFkAgAAwgQAAA4AAAAAAAAAAQAgAAAAJwEAAGRycy9lMm9Eb2MueG1sUEsF&#10;BgAAAAAGAAYAWQEAAP0FAAAAAA==&#10;">
                      <v:fill on="t" focussize="0,0"/>
                      <v:stroke weight="0.5pt" color="#000000 [3204]" joinstyle="round"/>
                      <v:imagedata o:title=""/>
                      <o:lock v:ext="edit" aspectratio="f"/>
                      <v:textbox>
                        <w:txbxContent>
                          <w:p w14:paraId="747D69D3">
                            <w:pPr>
                              <w:rPr>
                                <w:sz w:val="30"/>
                                <w:szCs w:val="30"/>
                              </w:rPr>
                            </w:pPr>
                            <w:r>
                              <w:rPr>
                                <w:rFonts w:hint="eastAsia"/>
                                <w:sz w:val="30"/>
                                <w:szCs w:val="30"/>
                                <w:lang w:val="en-US" w:eastAsia="zh-CN"/>
                              </w:rPr>
                              <w:t>0.37km</w:t>
                            </w:r>
                          </w:p>
                        </w:txbxContent>
                      </v:textbox>
                    </v:shape>
                  </w:pict>
                </mc:Fallback>
              </mc:AlternateContent>
            </w:r>
            <w:r>
              <w:rPr>
                <w:color w:val="auto"/>
              </w:rPr>
              <w:drawing>
                <wp:inline distT="0" distB="0" distL="114300" distR="114300">
                  <wp:extent cx="5062220" cy="3006090"/>
                  <wp:effectExtent l="0" t="0" r="5080" b="3810"/>
                  <wp:docPr id="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
                          <pic:cNvPicPr>
                            <a:picLocks noChangeAspect="1"/>
                          </pic:cNvPicPr>
                        </pic:nvPicPr>
                        <pic:blipFill>
                          <a:blip r:embed="rId27"/>
                          <a:stretch>
                            <a:fillRect/>
                          </a:stretch>
                        </pic:blipFill>
                        <pic:spPr>
                          <a:xfrm>
                            <a:off x="0" y="0"/>
                            <a:ext cx="5062220" cy="3006090"/>
                          </a:xfrm>
                          <a:prstGeom prst="rect">
                            <a:avLst/>
                          </a:prstGeom>
                          <a:noFill/>
                          <a:ln>
                            <a:noFill/>
                          </a:ln>
                        </pic:spPr>
                      </pic:pic>
                    </a:graphicData>
                  </a:graphic>
                </wp:inline>
              </w:drawing>
            </w:r>
            <w:r>
              <w:rPr>
                <w:rFonts w:hint="default" w:ascii="Times New Roman" w:hAnsi="Times New Roman" w:eastAsia="宋体" w:cs="Times New Roman"/>
                <w:b/>
                <w:color w:val="auto"/>
                <w:kern w:val="0"/>
                <w:sz w:val="24"/>
                <w:szCs w:val="21"/>
              </w:rPr>
              <w:t xml:space="preserve">图3-1   </w:t>
            </w:r>
            <w:r>
              <w:rPr>
                <w:rFonts w:hint="eastAsia" w:ascii="Times New Roman" w:hAnsi="Times New Roman" w:eastAsia="宋体" w:cs="Times New Roman"/>
                <w:b/>
                <w:color w:val="auto"/>
                <w:kern w:val="0"/>
                <w:sz w:val="24"/>
                <w:szCs w:val="21"/>
                <w:lang w:val="en-US" w:eastAsia="zh-CN"/>
              </w:rPr>
              <w:t xml:space="preserve">   </w:t>
            </w:r>
            <w:r>
              <w:rPr>
                <w:rFonts w:hint="default" w:ascii="Times New Roman" w:hAnsi="Times New Roman" w:eastAsia="宋体" w:cs="Times New Roman"/>
                <w:b/>
                <w:color w:val="auto"/>
                <w:kern w:val="0"/>
                <w:sz w:val="24"/>
                <w:szCs w:val="21"/>
              </w:rPr>
              <w:t>大气监测布点图</w:t>
            </w:r>
          </w:p>
          <w:p w14:paraId="52B5EBE1">
            <w:pPr>
              <w:widowControl/>
              <w:numPr>
                <w:ilvl w:val="0"/>
                <w:numId w:val="8"/>
              </w:numPr>
              <w:spacing w:line="360" w:lineRule="auto"/>
              <w:ind w:firstLine="480" w:firstLineChars="200"/>
              <w:jc w:val="left"/>
              <w:rPr>
                <w:color w:val="auto"/>
                <w:kern w:val="0"/>
                <w:sz w:val="24"/>
              </w:rPr>
            </w:pPr>
            <w:r>
              <w:rPr>
                <w:rFonts w:hint="eastAsia"/>
                <w:color w:val="auto"/>
                <w:kern w:val="0"/>
                <w:sz w:val="24"/>
              </w:rPr>
              <w:t>声环境质量</w:t>
            </w:r>
          </w:p>
          <w:p w14:paraId="7660AB19">
            <w:pPr>
              <w:widowControl/>
              <w:adjustRightInd w:val="0"/>
              <w:snapToGrid w:val="0"/>
              <w:spacing w:line="360" w:lineRule="auto"/>
              <w:ind w:firstLine="480" w:firstLineChars="200"/>
              <w:rPr>
                <w:rFonts w:hint="eastAsia" w:ascii="Times New Roman" w:hAnsi="Times New Roman" w:eastAsia="宋体" w:cs="Times New Roman"/>
                <w:color w:val="auto"/>
                <w:kern w:val="0"/>
                <w:sz w:val="24"/>
                <w:lang w:val="en-US" w:eastAsia="zh-CN"/>
              </w:rPr>
            </w:pPr>
            <w:r>
              <w:rPr>
                <w:rFonts w:hint="default" w:ascii="Times New Roman" w:hAnsi="Times New Roman" w:cs="Times New Roman"/>
                <w:color w:val="auto"/>
                <w:kern w:val="0"/>
                <w:sz w:val="24"/>
              </w:rPr>
              <w:t>根据鄂尔多斯市生态环境局准格尔旗分局</w:t>
            </w:r>
            <w:r>
              <w:rPr>
                <w:rFonts w:hint="eastAsia" w:cs="Times New Roman"/>
                <w:color w:val="auto"/>
                <w:kern w:val="0"/>
                <w:sz w:val="24"/>
                <w:lang w:val="en-US" w:eastAsia="zh-CN"/>
              </w:rPr>
              <w:t>编制的</w:t>
            </w:r>
            <w:r>
              <w:rPr>
                <w:rFonts w:hint="default" w:ascii="Times New Roman" w:hAnsi="Times New Roman" w:cs="Times New Roman"/>
                <w:color w:val="auto"/>
                <w:kern w:val="0"/>
                <w:sz w:val="24"/>
              </w:rPr>
              <w:t>《准格尔旗薛家湾镇中心城区(大路区)声环境功能区划》，本项目部分区域属于声环境功能区划中的范围。</w:t>
            </w:r>
            <w:r>
              <w:rPr>
                <w:rFonts w:hint="default" w:ascii="Times New Roman" w:hAnsi="Times New Roman" w:cs="Times New Roman"/>
                <w:color w:val="auto"/>
                <w:kern w:val="0"/>
                <w:sz w:val="24"/>
                <w:lang w:val="en-US" w:eastAsia="zh-CN"/>
              </w:rPr>
              <w:t>本项目</w:t>
            </w:r>
            <w:r>
              <w:rPr>
                <w:rFonts w:hint="default" w:ascii="Times New Roman" w:hAnsi="Times New Roman" w:cs="Times New Roman"/>
                <w:color w:val="auto"/>
                <w:kern w:val="0"/>
                <w:sz w:val="24"/>
              </w:rPr>
              <w:t>拟建厂址位于鄂尔多斯市准格尔旗大路产业园新能源基地，位于《声环境质量标准》（GB 3096－2008）的3类声环境功能区。</w:t>
            </w:r>
            <w:r>
              <w:rPr>
                <w:rFonts w:hint="eastAsia" w:ascii="Times New Roman" w:hAnsi="Times New Roman" w:cs="Times New Roman"/>
                <w:color w:val="auto"/>
                <w:kern w:val="0"/>
                <w:sz w:val="24"/>
                <w:lang w:eastAsia="zh-CN"/>
              </w:rPr>
              <w:t>（项目在声功能区划中的位置见附图</w:t>
            </w:r>
            <w:r>
              <w:rPr>
                <w:rFonts w:hint="eastAsia" w:ascii="Times New Roman" w:hAnsi="Times New Roman" w:cs="Times New Roman"/>
                <w:color w:val="auto"/>
                <w:kern w:val="0"/>
                <w:sz w:val="24"/>
                <w:lang w:val="en-US" w:eastAsia="zh-CN"/>
              </w:rPr>
              <w:t>5</w:t>
            </w:r>
            <w:r>
              <w:rPr>
                <w:rFonts w:hint="eastAsia" w:ascii="Times New Roman" w:hAnsi="Times New Roman" w:cs="Times New Roman"/>
                <w:color w:val="auto"/>
                <w:kern w:val="0"/>
                <w:sz w:val="24"/>
                <w:lang w:eastAsia="zh-CN"/>
              </w:rPr>
              <w:t>）</w:t>
            </w:r>
          </w:p>
          <w:p w14:paraId="2826EA83">
            <w:pPr>
              <w:widowControl/>
              <w:spacing w:line="360" w:lineRule="auto"/>
              <w:ind w:firstLine="480" w:firstLineChars="200"/>
              <w:jc w:val="left"/>
              <w:rPr>
                <w:color w:val="auto"/>
                <w:kern w:val="0"/>
                <w:sz w:val="24"/>
              </w:rPr>
            </w:pPr>
            <w:r>
              <w:rPr>
                <w:rFonts w:hint="eastAsia"/>
                <w:color w:val="auto"/>
                <w:kern w:val="0"/>
                <w:sz w:val="24"/>
              </w:rPr>
              <w:t>根据《建设项目环境影响报告表编制技术指南（污染影响类）（试行）》提出“厂界外周围50米范围内存在声环境保护目标的建设项目，应监测保护目标声环境质量现状并评价达标情况。各点位应监测昼夜间噪声，监测时间不少于1天，项目夜间不生产则仅监测昼间噪声”。</w:t>
            </w:r>
          </w:p>
          <w:p w14:paraId="77FF59E9">
            <w:pPr>
              <w:widowControl/>
              <w:spacing w:line="360" w:lineRule="auto"/>
              <w:ind w:firstLine="480" w:firstLineChars="200"/>
              <w:jc w:val="left"/>
              <w:rPr>
                <w:color w:val="auto"/>
                <w:kern w:val="0"/>
                <w:sz w:val="24"/>
              </w:rPr>
            </w:pPr>
            <w:r>
              <w:rPr>
                <w:rFonts w:hint="eastAsia"/>
                <w:color w:val="auto"/>
                <w:kern w:val="0"/>
                <w:sz w:val="24"/>
              </w:rPr>
              <w:t>根据现场勘察项目周边</w:t>
            </w:r>
            <w:r>
              <w:rPr>
                <w:color w:val="auto"/>
                <w:kern w:val="0"/>
                <w:sz w:val="24"/>
              </w:rPr>
              <w:t>50m</w:t>
            </w:r>
            <w:r>
              <w:rPr>
                <w:rFonts w:hint="eastAsia"/>
                <w:color w:val="auto"/>
                <w:kern w:val="0"/>
                <w:sz w:val="24"/>
              </w:rPr>
              <w:t>范围内不存在声环境保护目标，可不开展声环境质量现状调查。</w:t>
            </w:r>
          </w:p>
          <w:p w14:paraId="1A2933F0">
            <w:pPr>
              <w:widowControl/>
              <w:numPr>
                <w:ilvl w:val="0"/>
                <w:numId w:val="8"/>
              </w:numPr>
              <w:spacing w:line="360" w:lineRule="auto"/>
              <w:ind w:firstLine="480" w:firstLineChars="200"/>
              <w:jc w:val="left"/>
              <w:rPr>
                <w:color w:val="auto"/>
                <w:kern w:val="0"/>
                <w:sz w:val="24"/>
              </w:rPr>
            </w:pPr>
            <w:r>
              <w:rPr>
                <w:rFonts w:hint="eastAsia"/>
                <w:color w:val="auto"/>
                <w:kern w:val="0"/>
                <w:sz w:val="24"/>
              </w:rPr>
              <w:t>地下水、土壤环境质量现状</w:t>
            </w:r>
          </w:p>
          <w:p w14:paraId="39BA2E11">
            <w:pPr>
              <w:widowControl/>
              <w:spacing w:line="360" w:lineRule="auto"/>
              <w:ind w:firstLine="480" w:firstLineChars="200"/>
              <w:jc w:val="left"/>
              <w:rPr>
                <w:color w:val="auto"/>
                <w:kern w:val="0"/>
                <w:sz w:val="24"/>
              </w:rPr>
            </w:pPr>
            <w:r>
              <w:rPr>
                <w:rFonts w:hint="eastAsia"/>
                <w:color w:val="auto"/>
                <w:kern w:val="0"/>
                <w:sz w:val="24"/>
              </w:rPr>
              <w:t>根据《建设项目环境影响报告表编制技术指南（污染影响类）（试行）》可知“原则上不开展环境质量现状调查。建设项目存在土壤、地下水环境污染途径的，应结合污染源、保护目标分布情况开展现状调查以留作背景值。”</w:t>
            </w:r>
          </w:p>
          <w:p w14:paraId="36861EA3">
            <w:pPr>
              <w:widowControl/>
              <w:spacing w:line="360" w:lineRule="auto"/>
              <w:ind w:firstLine="480" w:firstLineChars="200"/>
              <w:jc w:val="left"/>
              <w:rPr>
                <w:color w:val="auto"/>
                <w:kern w:val="0"/>
                <w:sz w:val="24"/>
              </w:rPr>
            </w:pPr>
            <w:r>
              <w:rPr>
                <w:rFonts w:hint="eastAsia"/>
                <w:color w:val="auto"/>
                <w:kern w:val="0"/>
                <w:sz w:val="24"/>
              </w:rPr>
              <w:t>项目选址周边无地下水集中式饮用水水源和热水、矿泉水、温泉等特殊地下水资源，本项目用地类型为工业用地，无地下水及土壤环境保护目标。</w:t>
            </w:r>
          </w:p>
          <w:p w14:paraId="52523299">
            <w:pPr>
              <w:widowControl/>
              <w:spacing w:line="360" w:lineRule="auto"/>
              <w:ind w:firstLine="480" w:firstLineChars="200"/>
              <w:jc w:val="left"/>
              <w:rPr>
                <w:color w:val="auto"/>
                <w:kern w:val="0"/>
                <w:sz w:val="24"/>
              </w:rPr>
            </w:pPr>
            <w:r>
              <w:rPr>
                <w:rFonts w:hint="eastAsia"/>
                <w:color w:val="auto"/>
                <w:kern w:val="0"/>
                <w:sz w:val="24"/>
              </w:rPr>
              <w:t>本项目无生产废水，职工生活污水排入经</w:t>
            </w:r>
            <w:r>
              <w:rPr>
                <w:rFonts w:hint="eastAsia"/>
                <w:color w:val="auto"/>
                <w:kern w:val="0"/>
                <w:sz w:val="24"/>
                <w:lang w:eastAsia="zh-CN"/>
              </w:rPr>
              <w:t>园区化粪池</w:t>
            </w:r>
            <w:r>
              <w:rPr>
                <w:rFonts w:hint="eastAsia"/>
                <w:color w:val="auto"/>
                <w:kern w:val="0"/>
                <w:sz w:val="24"/>
              </w:rPr>
              <w:t>处理后，接管排入</w:t>
            </w:r>
            <w:r>
              <w:rPr>
                <w:rFonts w:hint="eastAsia"/>
                <w:color w:val="auto"/>
                <w:kern w:val="0"/>
                <w:sz w:val="24"/>
                <w:lang w:eastAsia="zh-CN"/>
              </w:rPr>
              <w:t>内蒙古天河水务有限公司。</w:t>
            </w:r>
            <w:r>
              <w:rPr>
                <w:rFonts w:hint="eastAsia"/>
                <w:color w:val="auto"/>
                <w:kern w:val="0"/>
                <w:sz w:val="24"/>
                <w:lang w:val="en-US" w:eastAsia="zh-CN"/>
              </w:rPr>
              <w:t>危废暂存</w:t>
            </w:r>
            <w:r>
              <w:rPr>
                <w:rFonts w:hint="eastAsia" w:ascii="Times New Roman" w:hAnsi="Times New Roman" w:eastAsia="宋体" w:cs="Times New Roman"/>
                <w:color w:val="auto"/>
                <w:kern w:val="0"/>
                <w:sz w:val="24"/>
                <w:lang w:val="en-US" w:eastAsia="zh-CN"/>
              </w:rPr>
              <w:t>间为重点防渗区，一般固废暂存间为一般防渗区，其他区域为简单防渗区域，</w:t>
            </w:r>
            <w:r>
              <w:rPr>
                <w:rFonts w:hint="eastAsia" w:ascii="Times New Roman" w:hAnsi="Times New Roman" w:eastAsia="宋体" w:cs="Times New Roman"/>
                <w:color w:val="auto"/>
                <w:kern w:val="0"/>
                <w:sz w:val="24"/>
                <w:lang w:eastAsia="zh-CN"/>
              </w:rPr>
              <w:t>不存在地下水和土壤污染途径。项目处在工业园区内部，周围以工业用地为主，因此，不开展地下水、土壤环境质量现状调查。</w:t>
            </w:r>
          </w:p>
          <w:p w14:paraId="366BFA30">
            <w:pPr>
              <w:widowControl/>
              <w:numPr>
                <w:ilvl w:val="0"/>
                <w:numId w:val="8"/>
              </w:numPr>
              <w:spacing w:line="360" w:lineRule="auto"/>
              <w:ind w:firstLine="480" w:firstLineChars="200"/>
              <w:jc w:val="left"/>
              <w:rPr>
                <w:color w:val="auto"/>
                <w:kern w:val="0"/>
                <w:sz w:val="24"/>
              </w:rPr>
            </w:pPr>
            <w:r>
              <w:rPr>
                <w:rFonts w:hint="eastAsia"/>
                <w:color w:val="auto"/>
                <w:kern w:val="0"/>
                <w:sz w:val="24"/>
              </w:rPr>
              <w:t>生态环境现状</w:t>
            </w:r>
          </w:p>
          <w:p w14:paraId="6769DEC6">
            <w:pPr>
              <w:widowControl/>
              <w:spacing w:line="360" w:lineRule="auto"/>
              <w:ind w:firstLine="480" w:firstLineChars="200"/>
              <w:jc w:val="left"/>
              <w:rPr>
                <w:color w:val="auto"/>
                <w:kern w:val="0"/>
                <w:sz w:val="24"/>
              </w:rPr>
            </w:pPr>
            <w:r>
              <w:rPr>
                <w:rFonts w:hint="eastAsia"/>
                <w:color w:val="auto"/>
                <w:kern w:val="0"/>
                <w:sz w:val="24"/>
              </w:rPr>
              <w:t xml:space="preserve">依照指南要求，“产业园区外建设项目新增用地且用地范围内含有生态环境保护目标时，应开展现状调查”。 </w:t>
            </w:r>
          </w:p>
          <w:p w14:paraId="63943BE0">
            <w:pPr>
              <w:widowControl/>
              <w:spacing w:line="360" w:lineRule="auto"/>
              <w:ind w:firstLine="480" w:firstLineChars="200"/>
              <w:jc w:val="left"/>
              <w:rPr>
                <w:color w:val="auto"/>
              </w:rPr>
            </w:pPr>
            <w:r>
              <w:rPr>
                <w:rFonts w:hint="eastAsia" w:ascii="Times New Roman" w:hAnsi="Times New Roman" w:eastAsia="宋体" w:cs="Times New Roman"/>
                <w:color w:val="auto"/>
                <w:kern w:val="0"/>
                <w:sz w:val="24"/>
              </w:rPr>
              <w:t>本项目位于鄂尔多斯市</w:t>
            </w:r>
            <w:r>
              <w:rPr>
                <w:rFonts w:hint="eastAsia" w:ascii="Times New Roman" w:hAnsi="Times New Roman" w:eastAsia="宋体" w:cs="Times New Roman"/>
                <w:color w:val="auto"/>
                <w:kern w:val="0"/>
                <w:sz w:val="24"/>
                <w:lang w:val="en-US" w:eastAsia="zh-CN"/>
              </w:rPr>
              <w:t>准格尔旗大路产业园新能源基地</w:t>
            </w:r>
            <w:r>
              <w:rPr>
                <w:rFonts w:hint="eastAsia" w:ascii="Times New Roman" w:hAnsi="Times New Roman" w:eastAsia="宋体" w:cs="Times New Roman"/>
                <w:color w:val="auto"/>
                <w:kern w:val="0"/>
                <w:sz w:val="24"/>
              </w:rPr>
              <w:t>，</w:t>
            </w:r>
            <w:r>
              <w:rPr>
                <w:rFonts w:hint="eastAsia"/>
                <w:color w:val="auto"/>
                <w:kern w:val="0"/>
                <w:sz w:val="24"/>
              </w:rPr>
              <w:t>在产业园区内部，不含生态环境保护目标，因此不开展生态环境现状调查。</w:t>
            </w:r>
          </w:p>
        </w:tc>
      </w:tr>
      <w:tr w14:paraId="57BAC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800" w:type="dxa"/>
            <w:vAlign w:val="center"/>
          </w:tcPr>
          <w:p w14:paraId="07994A0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环境</w:t>
            </w:r>
          </w:p>
          <w:p w14:paraId="1EBA5A0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保护</w:t>
            </w:r>
          </w:p>
          <w:p w14:paraId="6E1D2DDD">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目标</w:t>
            </w:r>
          </w:p>
        </w:tc>
        <w:tc>
          <w:tcPr>
            <w:tcW w:w="8190" w:type="dxa"/>
            <w:vAlign w:val="center"/>
          </w:tcPr>
          <w:p w14:paraId="70755744">
            <w:pPr>
              <w:widowControl/>
              <w:spacing w:line="360" w:lineRule="auto"/>
              <w:ind w:firstLine="480" w:firstLineChars="200"/>
              <w:jc w:val="left"/>
              <w:rPr>
                <w:color w:val="auto"/>
              </w:rPr>
            </w:pPr>
            <w:r>
              <w:rPr>
                <w:color w:val="auto"/>
                <w:kern w:val="0"/>
                <w:sz w:val="24"/>
                <w:lang w:bidi="ar"/>
              </w:rPr>
              <w:t>根据《建设项目环境影响报告表编制技术指南（污染影响类）》关于环境保护目标的要求：大气环境保护目标为厂界外500米范围内的自然保护区、风景名胜区、居住区、文化区和农村地区中人群较集中的区域；声环境保护目标为厂界外50米范围内依据法律、法规、标准政策等确定的需要保持安静的建筑物及建筑物集中区；地下水环境保护目标为厂界外500米范围内的地下水集中式饮用水水源和热水、矿泉水、温泉等特殊地下水资源。</w:t>
            </w:r>
          </w:p>
          <w:p w14:paraId="12EC8A92">
            <w:pPr>
              <w:widowControl/>
              <w:spacing w:line="360" w:lineRule="auto"/>
              <w:ind w:firstLine="480" w:firstLineChars="200"/>
              <w:jc w:val="left"/>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val="en-US" w:eastAsia="zh-CN" w:bidi="ar"/>
              </w:rPr>
              <w:t>本项目厂界东侧距黄河流域约4400米，空间距离较远。在严格落实各项环保措施的前提下，项目运营期无生产废水</w:t>
            </w:r>
            <w:r>
              <w:rPr>
                <w:rFonts w:hint="eastAsia" w:ascii="Times New Roman" w:hAnsi="Times New Roman" w:eastAsia="宋体" w:cs="Times New Roman"/>
                <w:color w:val="auto"/>
                <w:kern w:val="0"/>
                <w:sz w:val="24"/>
                <w:lang w:val="en-US" w:eastAsia="zh-CN" w:bidi="ar"/>
              </w:rPr>
              <w:t>产生</w:t>
            </w:r>
            <w:r>
              <w:rPr>
                <w:rFonts w:hint="default" w:ascii="Times New Roman" w:hAnsi="Times New Roman" w:eastAsia="宋体" w:cs="Times New Roman"/>
                <w:color w:val="auto"/>
                <w:kern w:val="0"/>
                <w:sz w:val="24"/>
                <w:lang w:val="en-US" w:eastAsia="zh-CN" w:bidi="ar"/>
              </w:rPr>
              <w:t>及生活污水外排，各类固体废物均得到妥善、合规处置，废气经有效收集处理后达标排放。综上，本项目污染物排放对黄河流域的影响可控，不会产生显著不良影响。</w:t>
            </w:r>
          </w:p>
          <w:p w14:paraId="60A1BFC4">
            <w:pPr>
              <w:widowControl/>
              <w:spacing w:line="360" w:lineRule="auto"/>
              <w:ind w:firstLine="480" w:firstLineChars="200"/>
              <w:jc w:val="left"/>
              <w:rPr>
                <w:color w:val="auto"/>
                <w:kern w:val="0"/>
                <w:sz w:val="24"/>
                <w:lang w:bidi="ar"/>
              </w:rPr>
            </w:pPr>
            <w:r>
              <w:rPr>
                <w:rFonts w:hint="eastAsia"/>
                <w:color w:val="auto"/>
                <w:kern w:val="0"/>
                <w:sz w:val="24"/>
                <w:lang w:bidi="ar"/>
              </w:rPr>
              <w:t>根据现场踏勘，</w:t>
            </w:r>
            <w:r>
              <w:rPr>
                <w:rFonts w:hint="eastAsia"/>
                <w:color w:val="auto"/>
                <w:kern w:val="0"/>
                <w:sz w:val="24"/>
                <w:lang w:val="en-US" w:eastAsia="zh-CN" w:bidi="ar"/>
              </w:rPr>
              <w:t>本</w:t>
            </w:r>
            <w:r>
              <w:rPr>
                <w:rFonts w:hint="eastAsia"/>
                <w:color w:val="auto"/>
                <w:kern w:val="0"/>
                <w:sz w:val="24"/>
                <w:lang w:bidi="ar"/>
              </w:rPr>
              <w:t>项目评价范围内环境保护目标见下表。</w:t>
            </w:r>
          </w:p>
          <w:p w14:paraId="3846A9FB">
            <w:pPr>
              <w:widowControl/>
              <w:jc w:val="center"/>
              <w:rPr>
                <w:b/>
                <w:bCs/>
                <w:color w:val="auto"/>
                <w:kern w:val="0"/>
                <w:sz w:val="24"/>
                <w:lang w:bidi="ar"/>
              </w:rPr>
            </w:pPr>
            <w:r>
              <w:rPr>
                <w:rFonts w:hint="eastAsia"/>
                <w:b/>
                <w:bCs/>
                <w:color w:val="auto"/>
                <w:kern w:val="0"/>
                <w:sz w:val="24"/>
                <w:lang w:bidi="ar"/>
              </w:rPr>
              <w:t>表3-2   环境保护目标一览表</w:t>
            </w:r>
          </w:p>
          <w:tbl>
            <w:tblPr>
              <w:tblStyle w:val="23"/>
              <w:tblW w:w="80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3831"/>
              <w:gridCol w:w="3094"/>
            </w:tblGrid>
            <w:tr w14:paraId="52AA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103" w:type="dxa"/>
                  <w:vAlign w:val="center"/>
                </w:tcPr>
                <w:p w14:paraId="09F3CB9E">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b w:val="0"/>
                      <w:bCs w:val="0"/>
                      <w:color w:val="auto"/>
                      <w:sz w:val="21"/>
                      <w:szCs w:val="21"/>
                    </w:rPr>
                  </w:pPr>
                  <w:r>
                    <w:rPr>
                      <w:rFonts w:hint="eastAsia" w:ascii="Times New Roman" w:hAnsi="Times New Roman"/>
                      <w:b w:val="0"/>
                      <w:bCs w:val="0"/>
                      <w:color w:val="auto"/>
                      <w:sz w:val="21"/>
                      <w:szCs w:val="21"/>
                    </w:rPr>
                    <w:t>环境</w:t>
                  </w:r>
                </w:p>
                <w:p w14:paraId="68D7202C">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b w:val="0"/>
                      <w:bCs w:val="0"/>
                      <w:color w:val="auto"/>
                      <w:sz w:val="21"/>
                      <w:szCs w:val="21"/>
                    </w:rPr>
                  </w:pPr>
                  <w:r>
                    <w:rPr>
                      <w:rFonts w:hint="eastAsia" w:ascii="Times New Roman" w:hAnsi="Times New Roman"/>
                      <w:b w:val="0"/>
                      <w:bCs w:val="0"/>
                      <w:color w:val="auto"/>
                      <w:sz w:val="21"/>
                      <w:szCs w:val="21"/>
                    </w:rPr>
                    <w:t>要素</w:t>
                  </w:r>
                </w:p>
              </w:tc>
              <w:tc>
                <w:tcPr>
                  <w:tcW w:w="3831" w:type="dxa"/>
                  <w:vAlign w:val="center"/>
                </w:tcPr>
                <w:p w14:paraId="46191BC9">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b w:val="0"/>
                      <w:bCs w:val="0"/>
                      <w:color w:val="auto"/>
                      <w:sz w:val="21"/>
                      <w:szCs w:val="21"/>
                    </w:rPr>
                  </w:pPr>
                  <w:r>
                    <w:rPr>
                      <w:rFonts w:hint="eastAsia" w:ascii="Times New Roman" w:hAnsi="Times New Roman"/>
                      <w:b w:val="0"/>
                      <w:bCs w:val="0"/>
                      <w:color w:val="auto"/>
                      <w:sz w:val="21"/>
                      <w:szCs w:val="21"/>
                    </w:rPr>
                    <w:t>保护内容</w:t>
                  </w:r>
                </w:p>
              </w:tc>
              <w:tc>
                <w:tcPr>
                  <w:tcW w:w="3094" w:type="dxa"/>
                  <w:vAlign w:val="center"/>
                </w:tcPr>
                <w:p w14:paraId="4C4BD20C">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b w:val="0"/>
                      <w:bCs w:val="0"/>
                      <w:color w:val="auto"/>
                      <w:sz w:val="21"/>
                      <w:szCs w:val="21"/>
                    </w:rPr>
                  </w:pPr>
                  <w:r>
                    <w:rPr>
                      <w:rFonts w:hint="eastAsia" w:ascii="Times New Roman" w:hAnsi="Times New Roman"/>
                      <w:b w:val="0"/>
                      <w:bCs w:val="0"/>
                      <w:color w:val="auto"/>
                      <w:sz w:val="21"/>
                      <w:szCs w:val="21"/>
                    </w:rPr>
                    <w:t>环境功能区</w:t>
                  </w:r>
                </w:p>
              </w:tc>
            </w:tr>
            <w:tr w14:paraId="2624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103" w:type="dxa"/>
                  <w:vAlign w:val="center"/>
                </w:tcPr>
                <w:p w14:paraId="60485383">
                  <w:pPr>
                    <w:widowControl/>
                    <w:jc w:val="center"/>
                    <w:rPr>
                      <w:rFonts w:ascii="Times New Roman" w:hAnsi="Times New Roman"/>
                      <w:color w:val="auto"/>
                      <w:sz w:val="21"/>
                      <w:szCs w:val="21"/>
                    </w:rPr>
                  </w:pPr>
                  <w:r>
                    <w:rPr>
                      <w:color w:val="auto"/>
                      <w:kern w:val="0"/>
                      <w:szCs w:val="21"/>
                      <w:lang w:bidi="ar"/>
                    </w:rPr>
                    <w:t>环境空气</w:t>
                  </w:r>
                </w:p>
              </w:tc>
              <w:tc>
                <w:tcPr>
                  <w:tcW w:w="3831" w:type="dxa"/>
                  <w:vAlign w:val="center"/>
                </w:tcPr>
                <w:p w14:paraId="1F90E9C9">
                  <w:pPr>
                    <w:widowControl/>
                    <w:jc w:val="center"/>
                    <w:rPr>
                      <w:rFonts w:hint="eastAsia" w:ascii="Times New Roman" w:hAnsi="Times New Roman"/>
                      <w:color w:val="auto"/>
                      <w:sz w:val="21"/>
                      <w:szCs w:val="21"/>
                      <w:lang w:val="en-US" w:eastAsia="zh-CN"/>
                    </w:rPr>
                  </w:pPr>
                  <w:r>
                    <w:rPr>
                      <w:color w:val="auto"/>
                      <w:kern w:val="0"/>
                      <w:szCs w:val="21"/>
                      <w:lang w:bidi="ar"/>
                    </w:rPr>
                    <w:t>厂界外500m范围内无</w:t>
                  </w:r>
                  <w:r>
                    <w:rPr>
                      <w:rFonts w:hint="eastAsia"/>
                      <w:color w:val="auto"/>
                      <w:kern w:val="0"/>
                      <w:szCs w:val="21"/>
                      <w:lang w:bidi="ar"/>
                    </w:rPr>
                    <w:t>自然保护区、风景名胜区、居住区、文化区和农村地区中人群较集中的区域等保护目标</w:t>
                  </w:r>
                </w:p>
              </w:tc>
              <w:tc>
                <w:tcPr>
                  <w:tcW w:w="3094" w:type="dxa"/>
                  <w:vAlign w:val="center"/>
                </w:tcPr>
                <w:p w14:paraId="37F9310F">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color w:val="auto"/>
                      <w:sz w:val="21"/>
                      <w:szCs w:val="21"/>
                    </w:rPr>
                  </w:pPr>
                  <w:r>
                    <w:rPr>
                      <w:rFonts w:ascii="Times New Roman" w:hAnsi="Times New Roman"/>
                      <w:color w:val="auto"/>
                      <w:sz w:val="21"/>
                      <w:szCs w:val="21"/>
                    </w:rPr>
                    <w:t>《环境空气质量标准》（GB3095—20</w:t>
                  </w:r>
                  <w:r>
                    <w:rPr>
                      <w:rFonts w:hint="eastAsia" w:ascii="Times New Roman" w:hAnsi="Times New Roman"/>
                      <w:color w:val="auto"/>
                      <w:sz w:val="21"/>
                      <w:szCs w:val="21"/>
                    </w:rPr>
                    <w:t>26</w:t>
                  </w:r>
                  <w:r>
                    <w:rPr>
                      <w:rFonts w:ascii="Times New Roman" w:hAnsi="Times New Roman"/>
                      <w:color w:val="auto"/>
                      <w:sz w:val="21"/>
                      <w:szCs w:val="21"/>
                    </w:rPr>
                    <w:t>）2类区</w:t>
                  </w:r>
                </w:p>
              </w:tc>
            </w:tr>
            <w:tr w14:paraId="1CD8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103" w:type="dxa"/>
                  <w:vAlign w:val="center"/>
                </w:tcPr>
                <w:p w14:paraId="634E325E">
                  <w:pPr>
                    <w:widowControl/>
                    <w:jc w:val="center"/>
                    <w:rPr>
                      <w:rFonts w:ascii="Times New Roman" w:hAnsi="Times New Roman"/>
                      <w:color w:val="auto"/>
                      <w:sz w:val="21"/>
                      <w:szCs w:val="21"/>
                    </w:rPr>
                  </w:pPr>
                  <w:r>
                    <w:rPr>
                      <w:color w:val="auto"/>
                      <w:kern w:val="0"/>
                      <w:szCs w:val="21"/>
                      <w:lang w:bidi="ar"/>
                    </w:rPr>
                    <w:t>声环境</w:t>
                  </w:r>
                </w:p>
              </w:tc>
              <w:tc>
                <w:tcPr>
                  <w:tcW w:w="3831" w:type="dxa"/>
                  <w:vAlign w:val="center"/>
                </w:tcPr>
                <w:p w14:paraId="49EF271A">
                  <w:pPr>
                    <w:widowControl/>
                    <w:jc w:val="center"/>
                    <w:rPr>
                      <w:rFonts w:hint="eastAsia" w:ascii="Times New Roman" w:hAnsi="Times New Roman" w:eastAsia="宋体"/>
                      <w:color w:val="auto"/>
                      <w:sz w:val="21"/>
                      <w:szCs w:val="21"/>
                      <w:lang w:val="en-US" w:eastAsia="zh-CN"/>
                    </w:rPr>
                  </w:pPr>
                  <w:r>
                    <w:rPr>
                      <w:color w:val="auto"/>
                      <w:kern w:val="0"/>
                      <w:szCs w:val="21"/>
                      <w:lang w:bidi="ar"/>
                    </w:rPr>
                    <w:t>厂界外50m范围内无声</w:t>
                  </w:r>
                  <w:r>
                    <w:rPr>
                      <w:rFonts w:hint="eastAsia"/>
                      <w:color w:val="auto"/>
                      <w:kern w:val="0"/>
                      <w:szCs w:val="21"/>
                      <w:lang w:bidi="ar"/>
                    </w:rPr>
                    <w:t>环境保护目标</w:t>
                  </w:r>
                </w:p>
              </w:tc>
              <w:tc>
                <w:tcPr>
                  <w:tcW w:w="3094" w:type="dxa"/>
                  <w:vAlign w:val="center"/>
                </w:tcPr>
                <w:p w14:paraId="76BBD9F2">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color w:val="auto"/>
                      <w:sz w:val="21"/>
                      <w:szCs w:val="21"/>
                    </w:rPr>
                  </w:pPr>
                  <w:r>
                    <w:rPr>
                      <w:rFonts w:ascii="Times New Roman" w:hAnsi="Times New Roman"/>
                      <w:color w:val="auto"/>
                      <w:sz w:val="21"/>
                      <w:szCs w:val="21"/>
                    </w:rPr>
                    <w:t>《声环境质量标准》（GB3096-2008）</w:t>
                  </w:r>
                  <w:r>
                    <w:rPr>
                      <w:rFonts w:hint="eastAsia" w:ascii="Times New Roman" w:hAnsi="Times New Roman"/>
                      <w:color w:val="auto"/>
                      <w:sz w:val="21"/>
                      <w:szCs w:val="21"/>
                    </w:rPr>
                    <w:t>3</w:t>
                  </w:r>
                  <w:r>
                    <w:rPr>
                      <w:rFonts w:ascii="Times New Roman" w:hAnsi="Times New Roman"/>
                      <w:color w:val="auto"/>
                      <w:sz w:val="21"/>
                      <w:szCs w:val="21"/>
                    </w:rPr>
                    <w:t>类</w:t>
                  </w:r>
                  <w:r>
                    <w:rPr>
                      <w:rFonts w:hint="eastAsia" w:ascii="Times New Roman" w:hAnsi="Times New Roman"/>
                      <w:color w:val="auto"/>
                      <w:sz w:val="21"/>
                      <w:szCs w:val="21"/>
                    </w:rPr>
                    <w:t>声环境功能区</w:t>
                  </w:r>
                </w:p>
              </w:tc>
            </w:tr>
            <w:tr w14:paraId="45D3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103" w:type="dxa"/>
                  <w:vAlign w:val="center"/>
                </w:tcPr>
                <w:p w14:paraId="2479749C">
                  <w:pPr>
                    <w:widowControl/>
                    <w:jc w:val="center"/>
                    <w:rPr>
                      <w:rFonts w:hint="eastAsia" w:ascii="Times New Roman" w:hAnsi="Times New Roman"/>
                      <w:color w:val="auto"/>
                      <w:sz w:val="21"/>
                      <w:szCs w:val="21"/>
                    </w:rPr>
                  </w:pPr>
                  <w:r>
                    <w:rPr>
                      <w:color w:val="auto"/>
                      <w:kern w:val="0"/>
                      <w:szCs w:val="21"/>
                      <w:lang w:bidi="ar"/>
                    </w:rPr>
                    <w:t>地下水环境</w:t>
                  </w:r>
                </w:p>
              </w:tc>
              <w:tc>
                <w:tcPr>
                  <w:tcW w:w="3831" w:type="dxa"/>
                  <w:vAlign w:val="center"/>
                </w:tcPr>
                <w:p w14:paraId="7306C1CD">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hint="eastAsia" w:ascii="Times New Roman" w:hAnsi="Times New Roman"/>
                      <w:color w:val="auto"/>
                      <w:sz w:val="21"/>
                      <w:szCs w:val="21"/>
                      <w:lang w:val="en-US" w:eastAsia="zh-CN"/>
                    </w:rPr>
                  </w:pPr>
                  <w:r>
                    <w:rPr>
                      <w:rFonts w:hint="eastAsia" w:ascii="Times New Roman" w:hAnsi="Times New Roman"/>
                      <w:color w:val="auto"/>
                      <w:sz w:val="21"/>
                      <w:szCs w:val="21"/>
                    </w:rPr>
                    <w:t>厂界</w:t>
                  </w:r>
                  <w:r>
                    <w:rPr>
                      <w:rFonts w:ascii="Times New Roman" w:hAnsi="Times New Roman"/>
                      <w:color w:val="auto"/>
                      <w:sz w:val="21"/>
                      <w:szCs w:val="21"/>
                    </w:rPr>
                    <w:t>500</w:t>
                  </w:r>
                  <w:r>
                    <w:rPr>
                      <w:rFonts w:hint="eastAsia" w:ascii="Times New Roman" w:hAnsi="Times New Roman"/>
                      <w:color w:val="auto"/>
                      <w:sz w:val="21"/>
                      <w:szCs w:val="21"/>
                    </w:rPr>
                    <w:t>米范围内没有地下水集中式饮用水水源和热水、矿泉水、温泉等特殊地下水资源分布</w:t>
                  </w:r>
                </w:p>
              </w:tc>
              <w:tc>
                <w:tcPr>
                  <w:tcW w:w="3094" w:type="dxa"/>
                  <w:vAlign w:val="center"/>
                </w:tcPr>
                <w:p w14:paraId="7687A7FB">
                  <w:pPr>
                    <w:widowControl/>
                    <w:jc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《地下水质量标准》</w:t>
                  </w:r>
                </w:p>
                <w:p w14:paraId="1BC0E1A8">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 w:val="21"/>
                      <w:szCs w:val="21"/>
                      <w:lang w:val="en-US" w:eastAsia="zh-CN" w:bidi="ar-SA"/>
                    </w:rPr>
                    <w:t>（GB/T14848-2017）中</w:t>
                  </w:r>
                </w:p>
                <w:p w14:paraId="53C7C7F3">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ascii="Times New Roman" w:hAnsi="Times New Roman"/>
                      <w:color w:val="auto"/>
                      <w:sz w:val="21"/>
                      <w:szCs w:val="21"/>
                    </w:rPr>
                  </w:pPr>
                  <w:r>
                    <w:rPr>
                      <w:rFonts w:ascii="Times New Roman" w:hAnsi="Times New Roman" w:eastAsia="宋体" w:cs="Times New Roman"/>
                      <w:color w:val="auto"/>
                      <w:kern w:val="0"/>
                      <w:sz w:val="21"/>
                      <w:szCs w:val="21"/>
                      <w:lang w:val="en-US" w:eastAsia="zh-CN" w:bidi="ar-SA"/>
                    </w:rPr>
                    <w:t>Ⅲ类标准</w:t>
                  </w:r>
                </w:p>
              </w:tc>
            </w:tr>
            <w:tr w14:paraId="0742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103" w:type="dxa"/>
                  <w:vAlign w:val="center"/>
                </w:tcPr>
                <w:p w14:paraId="7F28A8BD">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生态环境</w:t>
                  </w:r>
                </w:p>
              </w:tc>
              <w:tc>
                <w:tcPr>
                  <w:tcW w:w="6925" w:type="dxa"/>
                  <w:gridSpan w:val="2"/>
                  <w:vAlign w:val="center"/>
                </w:tcPr>
                <w:p w14:paraId="0C3DB606">
                  <w:pPr>
                    <w:pStyle w:val="41"/>
                    <w:keepLines w:val="0"/>
                    <w:widowControl/>
                    <w:pBdr>
                      <w:top w:val="none" w:color="auto" w:sz="0" w:space="1"/>
                      <w:left w:val="none" w:color="auto" w:sz="0" w:space="4"/>
                      <w:bottom w:val="none" w:color="auto" w:sz="0" w:space="1"/>
                      <w:right w:val="none" w:color="auto" w:sz="0" w:space="4"/>
                    </w:pBdr>
                    <w:adjustRightInd/>
                    <w:snapToGrid/>
                    <w:spacing w:beforeLines="0" w:afterLines="0" w:line="240" w:lineRule="auto"/>
                    <w:ind w:left="0" w:firstLine="0" w:firstLineChars="0"/>
                    <w:jc w:val="both"/>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rPr>
                    <w:t>项目位于鄂尔多斯市准格尔经济开发区大路产业园新能源基地 B3地块12号厂房，属于鄂尔多斯市准格尔经济开发区大路产业园新能源科技产业基地范围内，在现有厂房内建设，用地范围内不涉及生态环境保护目标</w:t>
                  </w:r>
                </w:p>
              </w:tc>
            </w:tr>
          </w:tbl>
          <w:p w14:paraId="299506E9">
            <w:pPr>
              <w:adjustRightInd w:val="0"/>
              <w:snapToGrid w:val="0"/>
              <w:rPr>
                <w:rFonts w:hint="eastAsia" w:ascii="宋体" w:hAnsi="宋体" w:cs="宋体"/>
                <w:color w:val="auto"/>
                <w:kern w:val="0"/>
                <w:szCs w:val="21"/>
              </w:rPr>
            </w:pPr>
          </w:p>
        </w:tc>
      </w:tr>
      <w:tr w14:paraId="2412B1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800" w:type="dxa"/>
            <w:tcMar>
              <w:left w:w="28" w:type="dxa"/>
              <w:right w:w="28" w:type="dxa"/>
            </w:tcMar>
            <w:vAlign w:val="center"/>
          </w:tcPr>
          <w:p w14:paraId="32BD35A1">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污染</w:t>
            </w:r>
          </w:p>
          <w:p w14:paraId="1FBF2EAB">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物排</w:t>
            </w:r>
          </w:p>
          <w:p w14:paraId="046E0D0C">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放控</w:t>
            </w:r>
          </w:p>
          <w:p w14:paraId="0CF73E4F">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制标</w:t>
            </w:r>
          </w:p>
          <w:p w14:paraId="041E11FA">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准</w:t>
            </w:r>
          </w:p>
        </w:tc>
        <w:tc>
          <w:tcPr>
            <w:tcW w:w="8190" w:type="dxa"/>
            <w:vAlign w:val="center"/>
          </w:tcPr>
          <w:p w14:paraId="6D046318">
            <w:pPr>
              <w:keepNext w:val="0"/>
              <w:keepLines w:val="0"/>
              <w:pageBreakBefore w:val="0"/>
              <w:widowControl/>
              <w:numPr>
                <w:ilvl w:val="0"/>
                <w:numId w:val="9"/>
              </w:numPr>
              <w:kinsoku/>
              <w:wordWrap/>
              <w:overflowPunct/>
              <w:topLinePunct w:val="0"/>
              <w:autoSpaceDE/>
              <w:autoSpaceDN/>
              <w:bidi w:val="0"/>
              <w:adjustRightInd/>
              <w:snapToGrid/>
              <w:spacing w:line="360" w:lineRule="auto"/>
              <w:ind w:firstLine="480" w:firstLineChars="200"/>
              <w:jc w:val="left"/>
              <w:textAlignment w:val="auto"/>
              <w:rPr>
                <w:rFonts w:hint="eastAsia"/>
                <w:color w:val="auto"/>
                <w:kern w:val="0"/>
                <w:sz w:val="24"/>
              </w:rPr>
            </w:pPr>
            <w:r>
              <w:rPr>
                <w:rFonts w:hint="eastAsia"/>
                <w:color w:val="auto"/>
                <w:kern w:val="0"/>
                <w:sz w:val="24"/>
              </w:rPr>
              <w:t>施工期污染物排放标准</w:t>
            </w:r>
          </w:p>
          <w:p w14:paraId="077506A2">
            <w:pPr>
              <w:widowControl/>
              <w:numPr>
                <w:ilvl w:val="0"/>
                <w:numId w:val="10"/>
              </w:numPr>
              <w:spacing w:line="360" w:lineRule="auto"/>
              <w:ind w:firstLine="480" w:firstLineChars="200"/>
              <w:jc w:val="left"/>
              <w:rPr>
                <w:color w:val="auto"/>
                <w:kern w:val="0"/>
                <w:sz w:val="24"/>
              </w:rPr>
            </w:pPr>
            <w:r>
              <w:rPr>
                <w:color w:val="auto"/>
                <w:kern w:val="0"/>
                <w:sz w:val="24"/>
              </w:rPr>
              <w:t>施工期无组织粉尘</w:t>
            </w:r>
          </w:p>
          <w:p w14:paraId="47E4279E">
            <w:pPr>
              <w:widowControl/>
              <w:spacing w:line="360" w:lineRule="auto"/>
              <w:ind w:firstLine="480" w:firstLineChars="200"/>
              <w:jc w:val="left"/>
              <w:rPr>
                <w:rFonts w:hint="eastAsia"/>
                <w:b/>
                <w:bCs/>
                <w:color w:val="auto"/>
                <w:kern w:val="0"/>
                <w:sz w:val="24"/>
                <w:lang w:bidi="ar"/>
              </w:rPr>
            </w:pPr>
            <w:r>
              <w:rPr>
                <w:color w:val="auto"/>
                <w:kern w:val="0"/>
                <w:sz w:val="24"/>
                <w:lang w:bidi="ar"/>
              </w:rPr>
              <w:t>执行《大气污染物综合排放标准》（GB16297-1996）中表2新污染源颗粒物无组织排放标准。具体标准值见</w:t>
            </w:r>
            <w:r>
              <w:rPr>
                <w:rFonts w:hint="eastAsia"/>
                <w:color w:val="auto"/>
                <w:kern w:val="0"/>
                <w:sz w:val="24"/>
                <w:lang w:val="en-US" w:eastAsia="zh-CN" w:bidi="ar"/>
              </w:rPr>
              <w:t>下表</w:t>
            </w:r>
            <w:r>
              <w:rPr>
                <w:color w:val="auto"/>
                <w:kern w:val="0"/>
                <w:sz w:val="24"/>
                <w:lang w:bidi="ar"/>
              </w:rPr>
              <w:t>。</w:t>
            </w:r>
          </w:p>
          <w:p w14:paraId="5C4C42C3">
            <w:pPr>
              <w:widowControl/>
              <w:ind w:firstLine="482" w:firstLineChars="200"/>
              <w:jc w:val="center"/>
              <w:rPr>
                <w:b/>
                <w:bCs/>
                <w:color w:val="auto"/>
                <w:kern w:val="0"/>
                <w:sz w:val="24"/>
                <w:lang w:bidi="ar"/>
              </w:rPr>
            </w:pPr>
            <w:r>
              <w:rPr>
                <w:rFonts w:hint="eastAsia"/>
                <w:b/>
                <w:bCs/>
                <w:color w:val="auto"/>
                <w:kern w:val="0"/>
                <w:sz w:val="24"/>
                <w:lang w:bidi="ar"/>
              </w:rPr>
              <w:t xml:space="preserve">表3-3    </w:t>
            </w:r>
            <w:r>
              <w:rPr>
                <w:rFonts w:hint="eastAsia"/>
                <w:b/>
                <w:bCs/>
                <w:color w:val="auto"/>
                <w:kern w:val="0"/>
                <w:sz w:val="24"/>
                <w:lang w:val="en-US" w:eastAsia="zh-CN" w:bidi="ar"/>
              </w:rPr>
              <w:t xml:space="preserve"> </w:t>
            </w:r>
            <w:r>
              <w:rPr>
                <w:rFonts w:hint="eastAsia"/>
                <w:b/>
                <w:bCs/>
                <w:color w:val="auto"/>
                <w:kern w:val="0"/>
                <w:sz w:val="24"/>
              </w:rPr>
              <w:t>大气</w:t>
            </w:r>
            <w:r>
              <w:rPr>
                <w:b/>
                <w:bCs/>
                <w:color w:val="auto"/>
                <w:kern w:val="0"/>
                <w:sz w:val="24"/>
                <w:lang w:bidi="ar"/>
              </w:rPr>
              <w:t>污染物综合排放标准（GB16297-1996）</w:t>
            </w:r>
          </w:p>
          <w:tbl>
            <w:tblPr>
              <w:tblStyle w:val="23"/>
              <w:tblW w:w="7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3"/>
              <w:gridCol w:w="1993"/>
              <w:gridCol w:w="1994"/>
              <w:gridCol w:w="1994"/>
            </w:tblGrid>
            <w:tr w14:paraId="0603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993" w:type="dxa"/>
                  <w:vMerge w:val="restart"/>
                  <w:vAlign w:val="center"/>
                </w:tcPr>
                <w:p w14:paraId="7288B1E3">
                  <w:pPr>
                    <w:widowControl/>
                    <w:jc w:val="center"/>
                    <w:rPr>
                      <w:color w:val="auto"/>
                      <w:kern w:val="0"/>
                      <w:szCs w:val="21"/>
                      <w:lang w:bidi="ar"/>
                    </w:rPr>
                  </w:pPr>
                  <w:r>
                    <w:rPr>
                      <w:rFonts w:hint="eastAsia"/>
                      <w:color w:val="auto"/>
                      <w:kern w:val="0"/>
                      <w:szCs w:val="21"/>
                      <w:lang w:bidi="ar"/>
                    </w:rPr>
                    <w:t>污染物</w:t>
                  </w:r>
                </w:p>
              </w:tc>
              <w:tc>
                <w:tcPr>
                  <w:tcW w:w="1993" w:type="dxa"/>
                  <w:vMerge w:val="restart"/>
                  <w:vAlign w:val="center"/>
                </w:tcPr>
                <w:p w14:paraId="591A91AB">
                  <w:pPr>
                    <w:widowControl/>
                    <w:jc w:val="center"/>
                    <w:rPr>
                      <w:color w:val="auto"/>
                      <w:kern w:val="0"/>
                      <w:szCs w:val="21"/>
                      <w:lang w:bidi="ar"/>
                    </w:rPr>
                  </w:pPr>
                  <w:r>
                    <w:rPr>
                      <w:rFonts w:hint="eastAsia"/>
                      <w:color w:val="auto"/>
                      <w:kern w:val="0"/>
                      <w:szCs w:val="21"/>
                      <w:lang w:bidi="ar"/>
                    </w:rPr>
                    <w:t>最高允许排放浓度 （mg/m</w:t>
                  </w:r>
                  <w:r>
                    <w:rPr>
                      <w:rFonts w:hint="eastAsia"/>
                      <w:color w:val="auto"/>
                      <w:kern w:val="0"/>
                      <w:szCs w:val="21"/>
                      <w:vertAlign w:val="superscript"/>
                      <w:lang w:bidi="ar"/>
                    </w:rPr>
                    <w:t>3</w:t>
                  </w:r>
                  <w:r>
                    <w:rPr>
                      <w:rFonts w:hint="eastAsia"/>
                      <w:color w:val="auto"/>
                      <w:kern w:val="0"/>
                      <w:szCs w:val="21"/>
                      <w:lang w:bidi="ar"/>
                    </w:rPr>
                    <w:t>）</w:t>
                  </w:r>
                </w:p>
              </w:tc>
              <w:tc>
                <w:tcPr>
                  <w:tcW w:w="3988" w:type="dxa"/>
                  <w:gridSpan w:val="2"/>
                  <w:vAlign w:val="center"/>
                </w:tcPr>
                <w:p w14:paraId="01D3D82B">
                  <w:pPr>
                    <w:widowControl/>
                    <w:jc w:val="center"/>
                    <w:rPr>
                      <w:color w:val="auto"/>
                      <w:kern w:val="0"/>
                      <w:szCs w:val="21"/>
                      <w:lang w:bidi="ar"/>
                    </w:rPr>
                  </w:pPr>
                  <w:r>
                    <w:rPr>
                      <w:rFonts w:hint="eastAsia"/>
                      <w:color w:val="auto"/>
                      <w:kern w:val="0"/>
                      <w:szCs w:val="21"/>
                      <w:lang w:bidi="ar"/>
                    </w:rPr>
                    <w:t>无组织排放监控浓度限值</w:t>
                  </w:r>
                </w:p>
              </w:tc>
            </w:tr>
            <w:tr w14:paraId="21AA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993" w:type="dxa"/>
                  <w:vMerge w:val="continue"/>
                  <w:vAlign w:val="center"/>
                </w:tcPr>
                <w:p w14:paraId="0594CFA8">
                  <w:pPr>
                    <w:widowControl/>
                    <w:spacing w:line="360" w:lineRule="auto"/>
                    <w:jc w:val="center"/>
                    <w:rPr>
                      <w:color w:val="auto"/>
                      <w:kern w:val="0"/>
                      <w:sz w:val="24"/>
                      <w:lang w:bidi="ar"/>
                    </w:rPr>
                  </w:pPr>
                </w:p>
              </w:tc>
              <w:tc>
                <w:tcPr>
                  <w:tcW w:w="1993" w:type="dxa"/>
                  <w:vMerge w:val="continue"/>
                  <w:vAlign w:val="center"/>
                </w:tcPr>
                <w:p w14:paraId="1B7AD776">
                  <w:pPr>
                    <w:widowControl/>
                    <w:spacing w:line="360" w:lineRule="auto"/>
                    <w:jc w:val="center"/>
                    <w:rPr>
                      <w:color w:val="auto"/>
                      <w:kern w:val="0"/>
                      <w:sz w:val="24"/>
                      <w:lang w:bidi="ar"/>
                    </w:rPr>
                  </w:pPr>
                </w:p>
              </w:tc>
              <w:tc>
                <w:tcPr>
                  <w:tcW w:w="1994" w:type="dxa"/>
                  <w:vAlign w:val="center"/>
                </w:tcPr>
                <w:p w14:paraId="53EBA6F4">
                  <w:pPr>
                    <w:widowControl/>
                    <w:jc w:val="center"/>
                    <w:rPr>
                      <w:color w:val="auto"/>
                      <w:kern w:val="0"/>
                      <w:szCs w:val="21"/>
                      <w:lang w:bidi="ar"/>
                    </w:rPr>
                  </w:pPr>
                  <w:r>
                    <w:rPr>
                      <w:rFonts w:hint="eastAsia"/>
                      <w:color w:val="auto"/>
                      <w:kern w:val="0"/>
                      <w:szCs w:val="21"/>
                      <w:lang w:bidi="ar"/>
                    </w:rPr>
                    <w:t>监控点</w:t>
                  </w:r>
                </w:p>
              </w:tc>
              <w:tc>
                <w:tcPr>
                  <w:tcW w:w="1994" w:type="dxa"/>
                  <w:vAlign w:val="center"/>
                </w:tcPr>
                <w:p w14:paraId="363ACF88">
                  <w:pPr>
                    <w:widowControl/>
                    <w:jc w:val="center"/>
                    <w:rPr>
                      <w:color w:val="auto"/>
                      <w:kern w:val="0"/>
                      <w:szCs w:val="21"/>
                      <w:lang w:bidi="ar"/>
                    </w:rPr>
                  </w:pPr>
                  <w:r>
                    <w:rPr>
                      <w:rFonts w:hint="eastAsia"/>
                      <w:color w:val="auto"/>
                      <w:kern w:val="0"/>
                      <w:szCs w:val="21"/>
                      <w:lang w:bidi="ar"/>
                    </w:rPr>
                    <w:t>浓度（mg/m</w:t>
                  </w:r>
                  <w:r>
                    <w:rPr>
                      <w:rFonts w:hint="eastAsia"/>
                      <w:color w:val="auto"/>
                      <w:kern w:val="0"/>
                      <w:szCs w:val="21"/>
                      <w:vertAlign w:val="superscript"/>
                      <w:lang w:bidi="ar"/>
                    </w:rPr>
                    <w:t>3</w:t>
                  </w:r>
                  <w:r>
                    <w:rPr>
                      <w:rFonts w:hint="eastAsia"/>
                      <w:color w:val="auto"/>
                      <w:kern w:val="0"/>
                      <w:szCs w:val="21"/>
                      <w:lang w:bidi="ar"/>
                    </w:rPr>
                    <w:t>）</w:t>
                  </w:r>
                </w:p>
              </w:tc>
            </w:tr>
            <w:tr w14:paraId="75EA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993" w:type="dxa"/>
                  <w:vAlign w:val="center"/>
                </w:tcPr>
                <w:p w14:paraId="66F49C62">
                  <w:pPr>
                    <w:widowControl/>
                    <w:jc w:val="center"/>
                    <w:rPr>
                      <w:color w:val="auto"/>
                      <w:kern w:val="0"/>
                      <w:szCs w:val="21"/>
                      <w:lang w:bidi="ar"/>
                    </w:rPr>
                  </w:pPr>
                  <w:r>
                    <w:rPr>
                      <w:rFonts w:hint="eastAsia"/>
                      <w:color w:val="auto"/>
                      <w:kern w:val="0"/>
                      <w:szCs w:val="21"/>
                      <w:lang w:bidi="ar"/>
                    </w:rPr>
                    <w:t>颗粒物</w:t>
                  </w:r>
                </w:p>
              </w:tc>
              <w:tc>
                <w:tcPr>
                  <w:tcW w:w="1993" w:type="dxa"/>
                  <w:vAlign w:val="center"/>
                </w:tcPr>
                <w:p w14:paraId="29AD94AE">
                  <w:pPr>
                    <w:widowControl/>
                    <w:jc w:val="center"/>
                    <w:rPr>
                      <w:color w:val="auto"/>
                      <w:kern w:val="0"/>
                      <w:szCs w:val="21"/>
                      <w:lang w:bidi="ar"/>
                    </w:rPr>
                  </w:pPr>
                  <w:r>
                    <w:rPr>
                      <w:rFonts w:hint="eastAsia"/>
                      <w:color w:val="auto"/>
                      <w:kern w:val="0"/>
                      <w:szCs w:val="21"/>
                      <w:lang w:bidi="ar"/>
                    </w:rPr>
                    <w:t>120（其他）</w:t>
                  </w:r>
                </w:p>
              </w:tc>
              <w:tc>
                <w:tcPr>
                  <w:tcW w:w="1994" w:type="dxa"/>
                  <w:vAlign w:val="center"/>
                </w:tcPr>
                <w:p w14:paraId="368A503C">
                  <w:pPr>
                    <w:widowControl/>
                    <w:jc w:val="center"/>
                    <w:rPr>
                      <w:color w:val="auto"/>
                      <w:kern w:val="0"/>
                      <w:szCs w:val="21"/>
                      <w:lang w:bidi="ar"/>
                    </w:rPr>
                  </w:pPr>
                  <w:r>
                    <w:rPr>
                      <w:rFonts w:hint="eastAsia"/>
                      <w:color w:val="auto"/>
                      <w:kern w:val="0"/>
                      <w:szCs w:val="21"/>
                      <w:lang w:bidi="ar"/>
                    </w:rPr>
                    <w:t>周界外浓度最高点</w:t>
                  </w:r>
                </w:p>
              </w:tc>
              <w:tc>
                <w:tcPr>
                  <w:tcW w:w="1994" w:type="dxa"/>
                  <w:vAlign w:val="center"/>
                </w:tcPr>
                <w:p w14:paraId="6D1281A8">
                  <w:pPr>
                    <w:widowControl/>
                    <w:jc w:val="center"/>
                    <w:rPr>
                      <w:color w:val="auto"/>
                      <w:kern w:val="0"/>
                      <w:szCs w:val="21"/>
                      <w:lang w:bidi="ar"/>
                    </w:rPr>
                  </w:pPr>
                  <w:r>
                    <w:rPr>
                      <w:rFonts w:hint="eastAsia"/>
                      <w:color w:val="auto"/>
                      <w:kern w:val="0"/>
                      <w:szCs w:val="21"/>
                      <w:lang w:bidi="ar"/>
                    </w:rPr>
                    <w:t>1.0</w:t>
                  </w:r>
                </w:p>
              </w:tc>
            </w:tr>
          </w:tbl>
          <w:p w14:paraId="078B3A90">
            <w:pPr>
              <w:widowControl/>
              <w:spacing w:line="360" w:lineRule="auto"/>
              <w:ind w:firstLine="480" w:firstLineChars="200"/>
              <w:jc w:val="left"/>
              <w:rPr>
                <w:rFonts w:hint="default" w:eastAsia="宋体"/>
                <w:color w:val="auto"/>
                <w:kern w:val="0"/>
                <w:sz w:val="24"/>
                <w:lang w:val="en-US" w:eastAsia="zh-CN" w:bidi="ar"/>
              </w:rPr>
            </w:pPr>
            <w:r>
              <w:rPr>
                <w:rFonts w:hint="eastAsia"/>
                <w:color w:val="auto"/>
                <w:kern w:val="0"/>
                <w:sz w:val="24"/>
                <w:lang w:bidi="ar"/>
              </w:rPr>
              <w:t>（2）</w:t>
            </w:r>
            <w:r>
              <w:rPr>
                <w:rFonts w:hint="eastAsia"/>
                <w:color w:val="auto"/>
                <w:kern w:val="0"/>
                <w:sz w:val="24"/>
                <w:lang w:val="en-US" w:eastAsia="zh-CN" w:bidi="ar"/>
              </w:rPr>
              <w:t>施工期噪声</w:t>
            </w:r>
          </w:p>
          <w:p w14:paraId="6C88324D">
            <w:pPr>
              <w:pStyle w:val="58"/>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color w:val="auto"/>
                <w:kern w:val="0"/>
                <w:sz w:val="24"/>
                <w:szCs w:val="24"/>
                <w:lang w:val="en-US" w:eastAsia="zh-CN" w:bidi="ar"/>
              </w:rPr>
            </w:pPr>
            <w:r>
              <w:rPr>
                <w:rFonts w:hint="eastAsia" w:ascii="Times New Roman" w:hAnsi="Times New Roman" w:eastAsia="宋体" w:cs="Times New Roman"/>
                <w:b w:val="0"/>
                <w:color w:val="auto"/>
                <w:kern w:val="0"/>
                <w:sz w:val="24"/>
                <w:szCs w:val="24"/>
                <w:lang w:val="en-US" w:eastAsia="zh-CN" w:bidi="ar"/>
              </w:rPr>
              <w:t>建筑施工噪声执行《建筑施工噪声排放标准》（GB12523-2025）中有关规定，详见下表：</w:t>
            </w:r>
          </w:p>
          <w:p w14:paraId="7DACD783">
            <w:pPr>
              <w:pStyle w:val="58"/>
              <w:rPr>
                <w:bCs/>
                <w:color w:val="auto"/>
                <w:kern w:val="0"/>
                <w:sz w:val="24"/>
                <w:lang w:bidi="ar"/>
              </w:rPr>
            </w:pPr>
            <w:r>
              <w:rPr>
                <w:rFonts w:hint="eastAsia"/>
                <w:bCs/>
                <w:color w:val="auto"/>
                <w:kern w:val="0"/>
                <w:sz w:val="24"/>
                <w:lang w:bidi="ar"/>
              </w:rPr>
              <w:t>表3-</w:t>
            </w:r>
            <w:r>
              <w:rPr>
                <w:rFonts w:hint="eastAsia"/>
                <w:bCs/>
                <w:color w:val="auto"/>
                <w:kern w:val="0"/>
                <w:sz w:val="24"/>
                <w:lang w:val="en-US" w:eastAsia="zh-CN" w:bidi="ar"/>
              </w:rPr>
              <w:t>4</w:t>
            </w:r>
            <w:r>
              <w:rPr>
                <w:rFonts w:hint="eastAsia"/>
                <w:bCs/>
                <w:color w:val="auto"/>
                <w:kern w:val="0"/>
                <w:sz w:val="24"/>
                <w:lang w:bidi="ar"/>
              </w:rPr>
              <w:t xml:space="preserve">   </w:t>
            </w:r>
            <w:r>
              <w:rPr>
                <w:rFonts w:hint="eastAsia"/>
                <w:bCs/>
                <w:color w:val="auto"/>
                <w:kern w:val="0"/>
                <w:sz w:val="24"/>
                <w:lang w:val="en-US" w:eastAsia="zh-CN" w:bidi="ar"/>
              </w:rPr>
              <w:t xml:space="preserve"> </w:t>
            </w:r>
            <w:r>
              <w:rPr>
                <w:rFonts w:hint="eastAsia"/>
                <w:bCs/>
                <w:color w:val="auto"/>
                <w:kern w:val="0"/>
                <w:sz w:val="24"/>
                <w:lang w:bidi="ar"/>
              </w:rPr>
              <w:t>建筑施工噪声排放标准   单位：dB（A）</w:t>
            </w:r>
          </w:p>
          <w:tbl>
            <w:tblPr>
              <w:tblStyle w:val="23"/>
              <w:tblW w:w="7139"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0"/>
              <w:gridCol w:w="3439"/>
            </w:tblGrid>
            <w:tr w14:paraId="0BC9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3700" w:type="dxa"/>
                  <w:vAlign w:val="center"/>
                </w:tcPr>
                <w:p w14:paraId="36DB8352">
                  <w:pPr>
                    <w:widowControl/>
                    <w:jc w:val="center"/>
                    <w:rPr>
                      <w:b/>
                      <w:bCs/>
                      <w:color w:val="auto"/>
                    </w:rPr>
                  </w:pPr>
                  <w:r>
                    <w:rPr>
                      <w:b/>
                      <w:bCs/>
                      <w:color w:val="auto"/>
                    </w:rPr>
                    <w:t>昼间</w:t>
                  </w:r>
                </w:p>
              </w:tc>
              <w:tc>
                <w:tcPr>
                  <w:tcW w:w="3439" w:type="dxa"/>
                  <w:vAlign w:val="center"/>
                </w:tcPr>
                <w:p w14:paraId="19382EEB">
                  <w:pPr>
                    <w:widowControl/>
                    <w:jc w:val="center"/>
                    <w:rPr>
                      <w:b/>
                      <w:bCs/>
                      <w:color w:val="auto"/>
                    </w:rPr>
                  </w:pPr>
                  <w:r>
                    <w:rPr>
                      <w:b/>
                      <w:bCs/>
                      <w:color w:val="auto"/>
                    </w:rPr>
                    <w:t>夜间</w:t>
                  </w:r>
                </w:p>
              </w:tc>
            </w:tr>
            <w:tr w14:paraId="6E19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3700" w:type="dxa"/>
                  <w:vAlign w:val="center"/>
                </w:tcPr>
                <w:p w14:paraId="0F888685">
                  <w:pPr>
                    <w:widowControl/>
                    <w:jc w:val="center"/>
                    <w:rPr>
                      <w:color w:val="auto"/>
                    </w:rPr>
                  </w:pPr>
                  <w:r>
                    <w:rPr>
                      <w:color w:val="auto"/>
                    </w:rPr>
                    <w:t>70</w:t>
                  </w:r>
                </w:p>
              </w:tc>
              <w:tc>
                <w:tcPr>
                  <w:tcW w:w="3439" w:type="dxa"/>
                  <w:vAlign w:val="center"/>
                </w:tcPr>
                <w:p w14:paraId="07F72502">
                  <w:pPr>
                    <w:widowControl/>
                    <w:jc w:val="center"/>
                    <w:rPr>
                      <w:color w:val="auto"/>
                    </w:rPr>
                  </w:pPr>
                  <w:r>
                    <w:rPr>
                      <w:color w:val="auto"/>
                    </w:rPr>
                    <w:t>55</w:t>
                  </w:r>
                </w:p>
              </w:tc>
            </w:tr>
          </w:tbl>
          <w:p w14:paraId="00A1ED83">
            <w:pPr>
              <w:widowControl/>
              <w:numPr>
                <w:ilvl w:val="0"/>
                <w:numId w:val="0"/>
              </w:numPr>
              <w:spacing w:line="360" w:lineRule="auto"/>
              <w:ind w:firstLine="480" w:firstLineChars="200"/>
              <w:jc w:val="left"/>
              <w:rPr>
                <w:color w:val="auto"/>
                <w:kern w:val="0"/>
                <w:sz w:val="24"/>
              </w:rPr>
            </w:pPr>
            <w:r>
              <w:rPr>
                <w:rFonts w:hint="eastAsia"/>
                <w:color w:val="auto"/>
                <w:kern w:val="0"/>
                <w:sz w:val="24"/>
                <w:lang w:val="en-US" w:eastAsia="zh-CN" w:bidi="ar"/>
              </w:rPr>
              <w:t>2、</w:t>
            </w:r>
            <w:r>
              <w:rPr>
                <w:color w:val="auto"/>
                <w:kern w:val="0"/>
                <w:sz w:val="24"/>
              </w:rPr>
              <w:t>运营期污染物排放标准</w:t>
            </w:r>
          </w:p>
          <w:p w14:paraId="57823877">
            <w:pPr>
              <w:widowControl/>
              <w:spacing w:line="360" w:lineRule="auto"/>
              <w:ind w:firstLine="480" w:firstLineChars="200"/>
              <w:jc w:val="left"/>
              <w:rPr>
                <w:color w:val="auto"/>
                <w:kern w:val="0"/>
                <w:sz w:val="24"/>
                <w:lang w:bidi="ar"/>
              </w:rPr>
            </w:pPr>
            <w:r>
              <w:rPr>
                <w:rFonts w:hint="eastAsia"/>
                <w:color w:val="auto"/>
                <w:kern w:val="0"/>
                <w:sz w:val="24"/>
                <w:lang w:bidi="ar"/>
              </w:rPr>
              <w:t>（1）废气排放标准</w:t>
            </w:r>
          </w:p>
          <w:p w14:paraId="572A2381">
            <w:pPr>
              <w:widowControl/>
              <w:spacing w:line="360" w:lineRule="auto"/>
              <w:ind w:firstLine="480" w:firstLineChars="200"/>
              <w:jc w:val="left"/>
              <w:rPr>
                <w:color w:val="auto"/>
                <w:kern w:val="0"/>
                <w:sz w:val="24"/>
                <w:highlight w:val="none"/>
                <w:lang w:bidi="ar"/>
              </w:rPr>
            </w:pPr>
            <w:r>
              <w:rPr>
                <w:rFonts w:hint="eastAsia"/>
                <w:color w:val="auto"/>
                <w:kern w:val="0"/>
                <w:sz w:val="24"/>
                <w:highlight w:val="none"/>
                <w:lang w:val="en-US" w:eastAsia="zh-CN" w:bidi="ar"/>
              </w:rPr>
              <w:t>有组织：</w:t>
            </w:r>
            <w:r>
              <w:rPr>
                <w:rFonts w:hint="eastAsia"/>
                <w:color w:val="auto"/>
                <w:kern w:val="0"/>
                <w:sz w:val="24"/>
                <w:highlight w:val="none"/>
                <w:lang w:bidi="ar"/>
              </w:rPr>
              <w:t>本项目排气筒（DA001）</w:t>
            </w:r>
            <w:r>
              <w:rPr>
                <w:rFonts w:hint="eastAsia"/>
                <w:color w:val="auto"/>
                <w:kern w:val="0"/>
                <w:sz w:val="24"/>
                <w:highlight w:val="none"/>
                <w:lang w:val="en-US" w:eastAsia="zh-CN" w:bidi="ar"/>
              </w:rPr>
              <w:t>颗粒物、非甲烷总烃参照执行《合成树脂工业污染物排放标准》(GB31572-2015)及其修改单表4中的限值要求，</w:t>
            </w:r>
            <w:r>
              <w:rPr>
                <w:rFonts w:hint="eastAsia"/>
                <w:color w:val="auto"/>
                <w:kern w:val="0"/>
                <w:sz w:val="24"/>
                <w:lang w:val="en-US" w:eastAsia="zh-CN" w:bidi="ar"/>
              </w:rPr>
              <w:t>臭气浓度参照执行《恶臭污染物排放标准》(GB</w:t>
            </w:r>
            <w:r>
              <w:rPr>
                <w:rFonts w:hint="eastAsia" w:ascii="Times New Roman" w:hAnsi="Times New Roman" w:eastAsia="宋体" w:cs="Times New Roman"/>
                <w:color w:val="auto"/>
                <w:kern w:val="0"/>
                <w:sz w:val="24"/>
                <w:highlight w:val="none"/>
                <w:lang w:val="en-US" w:eastAsia="zh-CN" w:bidi="ar"/>
              </w:rPr>
              <w:t>14554-93)中表2中的恶臭污染物排放标准限值，标准限值见下表。</w:t>
            </w:r>
          </w:p>
          <w:p w14:paraId="06A0EA6D">
            <w:pPr>
              <w:widowControl/>
              <w:jc w:val="center"/>
              <w:rPr>
                <w:b/>
                <w:bCs/>
                <w:color w:val="auto"/>
                <w:sz w:val="24"/>
              </w:rPr>
            </w:pPr>
            <w:r>
              <w:rPr>
                <w:rFonts w:hint="eastAsia"/>
                <w:b/>
                <w:bCs/>
                <w:color w:val="auto"/>
                <w:kern w:val="0"/>
                <w:sz w:val="24"/>
                <w:lang w:bidi="ar"/>
              </w:rPr>
              <w:t>表3-</w:t>
            </w:r>
            <w:r>
              <w:rPr>
                <w:rFonts w:hint="eastAsia"/>
                <w:b/>
                <w:bCs/>
                <w:color w:val="auto"/>
                <w:kern w:val="0"/>
                <w:sz w:val="24"/>
                <w:lang w:val="en-US" w:eastAsia="zh-CN" w:bidi="ar"/>
              </w:rPr>
              <w:t>5      有组织废气排放标准</w:t>
            </w:r>
          </w:p>
          <w:tbl>
            <w:tblPr>
              <w:tblStyle w:val="23"/>
              <w:tblW w:w="80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983"/>
              <w:gridCol w:w="2145"/>
              <w:gridCol w:w="2467"/>
            </w:tblGrid>
            <w:tr w14:paraId="04BD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413" w:type="dxa"/>
                  <w:vAlign w:val="center"/>
                </w:tcPr>
                <w:p w14:paraId="01C4A001">
                  <w:pPr>
                    <w:pStyle w:val="60"/>
                    <w:ind w:left="0" w:leftChars="0" w:firstLine="0" w:firstLineChars="0"/>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污染物名称</w:t>
                  </w:r>
                </w:p>
              </w:tc>
              <w:tc>
                <w:tcPr>
                  <w:tcW w:w="1983" w:type="dxa"/>
                  <w:vAlign w:val="center"/>
                </w:tcPr>
                <w:p w14:paraId="06C8FD96">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排放限值</w:t>
                  </w:r>
                  <w:r>
                    <w:rPr>
                      <w:b w:val="0"/>
                      <w:bCs w:val="0"/>
                      <w:color w:val="auto"/>
                      <w:sz w:val="21"/>
                      <w:szCs w:val="21"/>
                    </w:rPr>
                    <w:t>（mg/</w:t>
                  </w:r>
                  <w:r>
                    <w:rPr>
                      <w:rFonts w:hint="eastAsia"/>
                      <w:b w:val="0"/>
                      <w:bCs w:val="0"/>
                      <w:color w:val="auto"/>
                      <w:sz w:val="21"/>
                      <w:szCs w:val="21"/>
                    </w:rPr>
                    <w:t>m</w:t>
                  </w:r>
                  <w:r>
                    <w:rPr>
                      <w:rFonts w:hint="eastAsia"/>
                      <w:b w:val="0"/>
                      <w:bCs w:val="0"/>
                      <w:color w:val="auto"/>
                      <w:sz w:val="21"/>
                      <w:szCs w:val="21"/>
                      <w:vertAlign w:val="superscript"/>
                    </w:rPr>
                    <w:t>3</w:t>
                  </w:r>
                  <w:r>
                    <w:rPr>
                      <w:b w:val="0"/>
                      <w:bCs w:val="0"/>
                      <w:color w:val="auto"/>
                      <w:sz w:val="21"/>
                      <w:szCs w:val="21"/>
                    </w:rPr>
                    <w:t>）</w:t>
                  </w:r>
                </w:p>
              </w:tc>
              <w:tc>
                <w:tcPr>
                  <w:tcW w:w="2145" w:type="dxa"/>
                  <w:vAlign w:val="center"/>
                </w:tcPr>
                <w:p w14:paraId="26C3FB8C">
                  <w:pPr>
                    <w:keepNext w:val="0"/>
                    <w:keepLines w:val="0"/>
                    <w:widowControl/>
                    <w:suppressLineNumbers w:val="0"/>
                    <w:jc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污染物排放监控位置</w:t>
                  </w:r>
                </w:p>
              </w:tc>
              <w:tc>
                <w:tcPr>
                  <w:tcW w:w="2467" w:type="dxa"/>
                  <w:vAlign w:val="center"/>
                </w:tcPr>
                <w:p w14:paraId="4A2B221D">
                  <w:pPr>
                    <w:keepNext w:val="0"/>
                    <w:keepLines w:val="0"/>
                    <w:widowControl/>
                    <w:suppressLineNumbers w:val="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执行标准</w:t>
                  </w:r>
                </w:p>
              </w:tc>
            </w:tr>
            <w:tr w14:paraId="004E8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13" w:type="dxa"/>
                  <w:vAlign w:val="center"/>
                </w:tcPr>
                <w:p w14:paraId="295AF4DA">
                  <w:pPr>
                    <w:pStyle w:val="60"/>
                    <w:ind w:left="0" w:leftChars="0" w:firstLine="0" w:firstLineChars="0"/>
                    <w:jc w:val="center"/>
                    <w:rPr>
                      <w:rFonts w:hint="eastAsia" w:eastAsia="宋体"/>
                      <w:color w:val="auto"/>
                      <w:sz w:val="21"/>
                      <w:szCs w:val="21"/>
                      <w:vertAlign w:val="baseline"/>
                      <w:lang w:val="en-US" w:eastAsia="zh-CN"/>
                    </w:rPr>
                  </w:pPr>
                  <w:r>
                    <w:rPr>
                      <w:rFonts w:hint="eastAsia"/>
                      <w:color w:val="auto"/>
                      <w:sz w:val="21"/>
                      <w:szCs w:val="21"/>
                      <w:vertAlign w:val="baseline"/>
                      <w:lang w:val="en-US" w:eastAsia="zh-CN"/>
                    </w:rPr>
                    <w:t>非甲烷总烃</w:t>
                  </w:r>
                </w:p>
              </w:tc>
              <w:tc>
                <w:tcPr>
                  <w:tcW w:w="1983" w:type="dxa"/>
                  <w:vAlign w:val="center"/>
                </w:tcPr>
                <w:p w14:paraId="420E4F6F">
                  <w:pPr>
                    <w:keepNext w:val="0"/>
                    <w:keepLines w:val="0"/>
                    <w:widowControl/>
                    <w:suppressLineNumbers w:val="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100</w:t>
                  </w:r>
                </w:p>
              </w:tc>
              <w:tc>
                <w:tcPr>
                  <w:tcW w:w="2145" w:type="dxa"/>
                  <w:vMerge w:val="restart"/>
                  <w:vAlign w:val="center"/>
                </w:tcPr>
                <w:p w14:paraId="2DFEDEA8">
                  <w:pPr>
                    <w:keepNext w:val="0"/>
                    <w:keepLines w:val="0"/>
                    <w:widowControl/>
                    <w:suppressLineNumbers w:val="0"/>
                    <w:jc w:val="center"/>
                    <w:rPr>
                      <w:rFonts w:hint="default"/>
                      <w:b w:val="0"/>
                      <w:bCs w:val="0"/>
                      <w:color w:val="auto"/>
                      <w:sz w:val="21"/>
                      <w:szCs w:val="21"/>
                      <w:lang w:val="en-US" w:eastAsia="zh-CN"/>
                    </w:rPr>
                  </w:pPr>
                  <w:r>
                    <w:rPr>
                      <w:rFonts w:hint="eastAsia"/>
                      <w:b w:val="0"/>
                      <w:bCs w:val="0"/>
                      <w:color w:val="auto"/>
                      <w:sz w:val="21"/>
                      <w:szCs w:val="21"/>
                      <w:lang w:val="en-US" w:eastAsia="zh-CN"/>
                    </w:rPr>
                    <w:t>排气筒（DA001）</w:t>
                  </w:r>
                </w:p>
              </w:tc>
              <w:tc>
                <w:tcPr>
                  <w:tcW w:w="2467" w:type="dxa"/>
                  <w:vMerge w:val="restart"/>
                  <w:vAlign w:val="center"/>
                </w:tcPr>
                <w:p w14:paraId="1298BC8D">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《合成树脂工业污染物排放标准》(GB31572-2015)表4标准</w:t>
                  </w:r>
                </w:p>
              </w:tc>
            </w:tr>
            <w:tr w14:paraId="77AA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413" w:type="dxa"/>
                  <w:vAlign w:val="center"/>
                </w:tcPr>
                <w:p w14:paraId="5D1322A7">
                  <w:pPr>
                    <w:pStyle w:val="60"/>
                    <w:ind w:left="0" w:leftChars="0" w:firstLine="210" w:firstLineChars="100"/>
                    <w:jc w:val="both"/>
                    <w:rPr>
                      <w:color w:val="auto"/>
                      <w:sz w:val="21"/>
                      <w:szCs w:val="21"/>
                      <w:vertAlign w:val="baseline"/>
                    </w:rPr>
                  </w:pPr>
                  <w:r>
                    <w:rPr>
                      <w:rFonts w:hint="eastAsia" w:ascii="Times New Roman" w:hAnsi="Times New Roman"/>
                      <w:color w:val="auto"/>
                      <w:sz w:val="21"/>
                      <w:szCs w:val="21"/>
                    </w:rPr>
                    <w:t>颗粒物</w:t>
                  </w:r>
                </w:p>
              </w:tc>
              <w:tc>
                <w:tcPr>
                  <w:tcW w:w="1983" w:type="dxa"/>
                  <w:vAlign w:val="center"/>
                </w:tcPr>
                <w:p w14:paraId="6CECC22C">
                  <w:pPr>
                    <w:pStyle w:val="60"/>
                    <w:ind w:left="0" w:leftChars="0" w:firstLine="0" w:firstLineChars="0"/>
                    <w:jc w:val="center"/>
                    <w:rPr>
                      <w:rFonts w:hint="default" w:eastAsia="宋体"/>
                      <w:color w:val="auto"/>
                      <w:sz w:val="21"/>
                      <w:szCs w:val="21"/>
                      <w:vertAlign w:val="baseline"/>
                      <w:lang w:val="en-US" w:eastAsia="zh-CN"/>
                    </w:rPr>
                  </w:pPr>
                  <w:r>
                    <w:rPr>
                      <w:rFonts w:hint="eastAsia"/>
                      <w:color w:val="auto"/>
                      <w:sz w:val="21"/>
                      <w:szCs w:val="21"/>
                      <w:vertAlign w:val="baseline"/>
                      <w:lang w:val="en-US" w:eastAsia="zh-CN"/>
                    </w:rPr>
                    <w:t>30</w:t>
                  </w:r>
                </w:p>
              </w:tc>
              <w:tc>
                <w:tcPr>
                  <w:tcW w:w="2145" w:type="dxa"/>
                  <w:vMerge w:val="continue"/>
                  <w:vAlign w:val="center"/>
                </w:tcPr>
                <w:p w14:paraId="2A17EC1F">
                  <w:pPr>
                    <w:pStyle w:val="60"/>
                    <w:ind w:left="0" w:leftChars="0" w:firstLine="0" w:firstLineChars="0"/>
                    <w:jc w:val="center"/>
                    <w:rPr>
                      <w:rFonts w:hint="eastAsia"/>
                      <w:color w:val="auto"/>
                      <w:sz w:val="21"/>
                      <w:szCs w:val="21"/>
                      <w:vertAlign w:val="baseline"/>
                      <w:lang w:val="en-US" w:eastAsia="zh-CN"/>
                    </w:rPr>
                  </w:pPr>
                </w:p>
              </w:tc>
              <w:tc>
                <w:tcPr>
                  <w:tcW w:w="2467" w:type="dxa"/>
                  <w:vMerge w:val="continue"/>
                  <w:vAlign w:val="center"/>
                </w:tcPr>
                <w:p w14:paraId="3A018D2B">
                  <w:pPr>
                    <w:pStyle w:val="60"/>
                    <w:ind w:left="0" w:leftChars="0" w:firstLine="0" w:firstLineChars="0"/>
                    <w:jc w:val="center"/>
                    <w:rPr>
                      <w:rFonts w:hint="eastAsia" w:ascii="Times New Roman" w:hAnsi="Times New Roman" w:eastAsia="宋体" w:cs="Times New Roman"/>
                      <w:color w:val="auto"/>
                      <w:kern w:val="0"/>
                      <w:sz w:val="21"/>
                      <w:szCs w:val="21"/>
                      <w:lang w:val="en-US" w:eastAsia="zh-CN" w:bidi="ar"/>
                    </w:rPr>
                  </w:pPr>
                </w:p>
              </w:tc>
            </w:tr>
            <w:tr w14:paraId="2840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3" w:type="dxa"/>
                  <w:vAlign w:val="center"/>
                </w:tcPr>
                <w:p w14:paraId="6A9F0FE1">
                  <w:pPr>
                    <w:pStyle w:val="60"/>
                    <w:ind w:left="0" w:leftChars="0" w:firstLine="210" w:firstLineChars="100"/>
                    <w:jc w:val="both"/>
                    <w:rPr>
                      <w:rFonts w:hint="default" w:ascii="Times New Roman" w:hAnsi="Times New Roman" w:eastAsia="宋体"/>
                      <w:color w:val="auto"/>
                      <w:sz w:val="21"/>
                      <w:szCs w:val="21"/>
                      <w:lang w:val="en-US" w:eastAsia="zh-CN"/>
                    </w:rPr>
                  </w:pPr>
                  <w:r>
                    <w:rPr>
                      <w:rFonts w:hint="eastAsia"/>
                      <w:color w:val="auto"/>
                      <w:sz w:val="21"/>
                      <w:szCs w:val="21"/>
                      <w:lang w:val="en-US" w:eastAsia="zh-CN"/>
                    </w:rPr>
                    <w:t>臭气浓度</w:t>
                  </w:r>
                </w:p>
              </w:tc>
              <w:tc>
                <w:tcPr>
                  <w:tcW w:w="1983" w:type="dxa"/>
                  <w:vAlign w:val="center"/>
                </w:tcPr>
                <w:p w14:paraId="05B10D6A">
                  <w:pPr>
                    <w:pStyle w:val="60"/>
                    <w:ind w:left="0" w:leftChars="0" w:firstLine="0" w:firstLineChars="0"/>
                    <w:jc w:val="center"/>
                    <w:rPr>
                      <w:rFonts w:hint="default"/>
                      <w:color w:val="auto"/>
                      <w:sz w:val="21"/>
                      <w:szCs w:val="21"/>
                      <w:vertAlign w:val="baseline"/>
                      <w:lang w:val="en-US" w:eastAsia="zh-CN"/>
                    </w:rPr>
                  </w:pPr>
                  <w:r>
                    <w:rPr>
                      <w:rFonts w:hint="eastAsia"/>
                      <w:color w:val="auto"/>
                      <w:sz w:val="21"/>
                      <w:szCs w:val="21"/>
                      <w:vertAlign w:val="baseline"/>
                      <w:lang w:val="en-US" w:eastAsia="zh-CN"/>
                    </w:rPr>
                    <w:t>2000（无量纲）</w:t>
                  </w:r>
                </w:p>
              </w:tc>
              <w:tc>
                <w:tcPr>
                  <w:tcW w:w="2145" w:type="dxa"/>
                  <w:vMerge w:val="continue"/>
                  <w:vAlign w:val="center"/>
                </w:tcPr>
                <w:p w14:paraId="6DECC325">
                  <w:pPr>
                    <w:pStyle w:val="60"/>
                    <w:ind w:left="0" w:leftChars="0" w:firstLine="0" w:firstLineChars="0"/>
                    <w:jc w:val="center"/>
                    <w:rPr>
                      <w:rFonts w:hint="eastAsia"/>
                      <w:color w:val="auto"/>
                      <w:sz w:val="21"/>
                      <w:szCs w:val="21"/>
                      <w:vertAlign w:val="baseline"/>
                      <w:lang w:val="en-US" w:eastAsia="zh-CN"/>
                    </w:rPr>
                  </w:pPr>
                </w:p>
              </w:tc>
              <w:tc>
                <w:tcPr>
                  <w:tcW w:w="2467" w:type="dxa"/>
                  <w:vAlign w:val="center"/>
                </w:tcPr>
                <w:p w14:paraId="33053698">
                  <w:pPr>
                    <w:pStyle w:val="60"/>
                    <w:ind w:left="0" w:leftChars="0" w:firstLine="0" w:firstLine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《恶臭污染物排放标准》(GB14554-93)表2中的恶臭污染物排放标准限值</w:t>
                  </w:r>
                </w:p>
              </w:tc>
            </w:tr>
          </w:tbl>
          <w:p w14:paraId="1AB0EBB8">
            <w:pPr>
              <w:pStyle w:val="60"/>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textAlignment w:val="auto"/>
              <w:rPr>
                <w:rFonts w:hint="eastAsia"/>
                <w:color w:val="auto"/>
                <w:kern w:val="0"/>
                <w:sz w:val="24"/>
                <w:lang w:val="en-US" w:eastAsia="zh-CN" w:bidi="ar"/>
              </w:rPr>
            </w:pPr>
            <w:r>
              <w:rPr>
                <w:rFonts w:hint="eastAsia" w:ascii="Times New Roman" w:hAnsi="Times New Roman" w:eastAsia="宋体" w:cs="Times New Roman"/>
                <w:color w:val="auto"/>
                <w:kern w:val="0"/>
                <w:sz w:val="24"/>
                <w:szCs w:val="24"/>
                <w:lang w:val="en-US" w:eastAsia="zh-CN" w:bidi="ar"/>
              </w:rPr>
              <w:t>无组织：</w:t>
            </w:r>
            <w:r>
              <w:rPr>
                <w:rFonts w:hint="eastAsia" w:cs="Times New Roman"/>
                <w:color w:val="auto"/>
                <w:kern w:val="0"/>
                <w:sz w:val="24"/>
                <w:szCs w:val="24"/>
                <w:lang w:val="en-US" w:eastAsia="zh-CN" w:bidi="ar"/>
              </w:rPr>
              <w:t>厂区内非甲烷总烃</w:t>
            </w:r>
            <w:r>
              <w:rPr>
                <w:rFonts w:hint="eastAsia"/>
                <w:color w:val="auto"/>
                <w:kern w:val="0"/>
                <w:sz w:val="24"/>
                <w:lang w:val="en-US" w:eastAsia="zh-CN" w:bidi="ar"/>
              </w:rPr>
              <w:t>参照执行</w:t>
            </w:r>
            <w:r>
              <w:rPr>
                <w:rFonts w:hint="eastAsia" w:cs="Times New Roman"/>
                <w:color w:val="auto"/>
                <w:kern w:val="0"/>
                <w:sz w:val="24"/>
                <w:szCs w:val="24"/>
                <w:lang w:val="en-US" w:eastAsia="zh-CN" w:bidi="ar"/>
              </w:rPr>
              <w:t>《挥发性有机物无组织排放控制标准》(GB37822-2019)附录A.1中的无组织排放限值要求；厂区四周边界非甲烷总烃、颗粒物</w:t>
            </w:r>
            <w:r>
              <w:rPr>
                <w:rFonts w:hint="eastAsia"/>
                <w:color w:val="auto"/>
                <w:kern w:val="0"/>
                <w:sz w:val="24"/>
                <w:lang w:val="en-US" w:eastAsia="zh-CN" w:bidi="ar"/>
              </w:rPr>
              <w:t>参照执行</w:t>
            </w:r>
            <w:r>
              <w:rPr>
                <w:rFonts w:hint="eastAsia" w:cs="Times New Roman"/>
                <w:color w:val="auto"/>
                <w:kern w:val="0"/>
                <w:sz w:val="24"/>
                <w:szCs w:val="24"/>
                <w:lang w:val="en-US" w:eastAsia="zh-CN" w:bidi="ar"/>
              </w:rPr>
              <w:t>《</w:t>
            </w:r>
            <w:r>
              <w:rPr>
                <w:rFonts w:hint="eastAsia"/>
                <w:color w:val="auto"/>
                <w:kern w:val="0"/>
                <w:sz w:val="24"/>
                <w:lang w:val="en-US" w:eastAsia="zh-CN" w:bidi="ar"/>
              </w:rPr>
              <w:t>合成树脂工业污染物排放标准》(GB31572-2015)及其修改单</w:t>
            </w:r>
            <w:r>
              <w:rPr>
                <w:rFonts w:hint="eastAsia"/>
                <w:color w:val="auto"/>
                <w:kern w:val="0"/>
                <w:sz w:val="24"/>
                <w:highlight w:val="none"/>
                <w:lang w:val="en-US" w:eastAsia="zh-CN" w:bidi="ar"/>
              </w:rPr>
              <w:t>表9</w:t>
            </w:r>
            <w:r>
              <w:rPr>
                <w:rFonts w:hint="eastAsia"/>
                <w:color w:val="auto"/>
                <w:kern w:val="0"/>
                <w:sz w:val="24"/>
                <w:lang w:val="en-US" w:eastAsia="zh-CN" w:bidi="ar"/>
              </w:rPr>
              <w:t>中的限值要求，臭气浓度参照执行《恶臭污染物排放标准》(GB14554-93)中表1恶臭污染物厂界标准值中的二级标准，</w:t>
            </w:r>
            <w:r>
              <w:rPr>
                <w:rFonts w:hint="eastAsia" w:ascii="Times New Roman" w:hAnsi="Times New Roman" w:eastAsia="宋体" w:cs="Times New Roman"/>
                <w:color w:val="auto"/>
                <w:kern w:val="0"/>
                <w:sz w:val="24"/>
                <w:highlight w:val="none"/>
                <w:lang w:val="en-US" w:eastAsia="zh-CN" w:bidi="ar"/>
              </w:rPr>
              <w:t>标准限值见下表</w:t>
            </w:r>
            <w:r>
              <w:rPr>
                <w:rFonts w:hint="eastAsia"/>
                <w:color w:val="auto"/>
                <w:kern w:val="0"/>
                <w:sz w:val="24"/>
                <w:lang w:val="en-US" w:eastAsia="zh-CN" w:bidi="ar"/>
              </w:rPr>
              <w:t>。</w:t>
            </w:r>
          </w:p>
          <w:p w14:paraId="5B7CD20D">
            <w:pPr>
              <w:pStyle w:val="60"/>
              <w:keepNext w:val="0"/>
              <w:keepLines w:val="0"/>
              <w:pageBreakBefore w:val="0"/>
              <w:widowControl w:val="0"/>
              <w:kinsoku/>
              <w:wordWrap/>
              <w:overflowPunct/>
              <w:topLinePunct w:val="0"/>
              <w:autoSpaceDE w:val="0"/>
              <w:autoSpaceDN w:val="0"/>
              <w:bidi w:val="0"/>
              <w:adjustRightInd/>
              <w:snapToGrid/>
              <w:spacing w:line="240" w:lineRule="auto"/>
              <w:ind w:left="0" w:leftChars="0" w:firstLine="2168" w:firstLineChars="900"/>
              <w:jc w:val="both"/>
              <w:textAlignment w:val="auto"/>
              <w:rPr>
                <w:rFonts w:hint="default"/>
                <w:color w:val="auto"/>
                <w:kern w:val="0"/>
                <w:sz w:val="24"/>
                <w:lang w:val="en-US" w:eastAsia="zh-CN" w:bidi="ar"/>
              </w:rPr>
            </w:pPr>
            <w:r>
              <w:rPr>
                <w:rFonts w:hint="eastAsia"/>
                <w:b/>
                <w:bCs/>
                <w:color w:val="auto"/>
                <w:kern w:val="0"/>
                <w:sz w:val="24"/>
                <w:lang w:bidi="ar"/>
              </w:rPr>
              <w:t>表3-</w:t>
            </w:r>
            <w:r>
              <w:rPr>
                <w:rFonts w:hint="eastAsia"/>
                <w:b/>
                <w:bCs/>
                <w:color w:val="auto"/>
                <w:kern w:val="0"/>
                <w:sz w:val="24"/>
                <w:lang w:val="en-US" w:eastAsia="zh-CN" w:bidi="ar"/>
              </w:rPr>
              <w:t>6  无组织废气排放标准</w:t>
            </w:r>
          </w:p>
          <w:tbl>
            <w:tblPr>
              <w:tblStyle w:val="23"/>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2789"/>
              <w:gridCol w:w="1351"/>
              <w:gridCol w:w="2504"/>
            </w:tblGrid>
            <w:tr w14:paraId="2E95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51" w:type="dxa"/>
                  <w:shd w:val="clear" w:color="auto" w:fill="auto"/>
                  <w:vAlign w:val="center"/>
                </w:tcPr>
                <w:p w14:paraId="225990F4">
                  <w:pPr>
                    <w:pStyle w:val="60"/>
                    <w:ind w:left="0" w:leftChars="0" w:firstLine="0" w:firstLineChars="0"/>
                    <w:jc w:val="center"/>
                    <w:rPr>
                      <w:rFonts w:hint="default" w:ascii="Times New Roman" w:hAnsi="Times New Roman" w:eastAsia="宋体" w:cs="Times New Roman"/>
                      <w:color w:val="auto"/>
                      <w:kern w:val="0"/>
                      <w:sz w:val="21"/>
                      <w:szCs w:val="21"/>
                      <w:vertAlign w:val="baseline"/>
                      <w:lang w:val="en-US" w:eastAsia="zh-CN" w:bidi="ar-SA"/>
                    </w:rPr>
                  </w:pPr>
                  <w:r>
                    <w:rPr>
                      <w:rFonts w:hint="eastAsia"/>
                      <w:color w:val="auto"/>
                      <w:sz w:val="21"/>
                      <w:szCs w:val="21"/>
                      <w:vertAlign w:val="baseline"/>
                      <w:lang w:val="en-US" w:eastAsia="zh-CN"/>
                    </w:rPr>
                    <w:t>污染物名称</w:t>
                  </w:r>
                </w:p>
              </w:tc>
              <w:tc>
                <w:tcPr>
                  <w:tcW w:w="2789" w:type="dxa"/>
                  <w:shd w:val="clear" w:color="auto" w:fill="auto"/>
                  <w:vAlign w:val="center"/>
                </w:tcPr>
                <w:p w14:paraId="2F2F8317">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排放限值</w:t>
                  </w:r>
                  <w:r>
                    <w:rPr>
                      <w:b w:val="0"/>
                      <w:bCs w:val="0"/>
                      <w:color w:val="auto"/>
                      <w:sz w:val="21"/>
                      <w:szCs w:val="21"/>
                    </w:rPr>
                    <w:t>（mg/</w:t>
                  </w:r>
                  <w:r>
                    <w:rPr>
                      <w:rFonts w:hint="eastAsia"/>
                      <w:b w:val="0"/>
                      <w:bCs w:val="0"/>
                      <w:color w:val="auto"/>
                      <w:sz w:val="21"/>
                      <w:szCs w:val="21"/>
                    </w:rPr>
                    <w:t>m</w:t>
                  </w:r>
                  <w:r>
                    <w:rPr>
                      <w:rFonts w:hint="eastAsia"/>
                      <w:b w:val="0"/>
                      <w:bCs w:val="0"/>
                      <w:color w:val="auto"/>
                      <w:sz w:val="21"/>
                      <w:szCs w:val="21"/>
                      <w:vertAlign w:val="superscript"/>
                    </w:rPr>
                    <w:t>3</w:t>
                  </w:r>
                  <w:r>
                    <w:rPr>
                      <w:b w:val="0"/>
                      <w:bCs w:val="0"/>
                      <w:color w:val="auto"/>
                      <w:sz w:val="21"/>
                      <w:szCs w:val="21"/>
                    </w:rPr>
                    <w:t>）</w:t>
                  </w:r>
                </w:p>
              </w:tc>
              <w:tc>
                <w:tcPr>
                  <w:tcW w:w="1351" w:type="dxa"/>
                  <w:shd w:val="clear" w:color="auto" w:fill="auto"/>
                  <w:vAlign w:val="center"/>
                </w:tcPr>
                <w:p w14:paraId="204A3B82">
                  <w:pPr>
                    <w:keepNext w:val="0"/>
                    <w:keepLines w:val="0"/>
                    <w:pageBreakBefore w:val="0"/>
                    <w:widowControl/>
                    <w:suppressLineNumbers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污染物排放监控位置</w:t>
                  </w:r>
                </w:p>
              </w:tc>
              <w:tc>
                <w:tcPr>
                  <w:tcW w:w="2504" w:type="dxa"/>
                  <w:vAlign w:val="center"/>
                </w:tcPr>
                <w:p w14:paraId="583129D5">
                  <w:pPr>
                    <w:pStyle w:val="6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执行标准</w:t>
                  </w:r>
                </w:p>
              </w:tc>
            </w:tr>
            <w:tr w14:paraId="724B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351" w:type="dxa"/>
                  <w:vMerge w:val="restart"/>
                  <w:vAlign w:val="center"/>
                </w:tcPr>
                <w:p w14:paraId="09544E08">
                  <w:pPr>
                    <w:pStyle w:val="60"/>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color w:val="auto"/>
                      <w:kern w:val="0"/>
                      <w:sz w:val="21"/>
                      <w:szCs w:val="21"/>
                      <w:vertAlign w:val="baseline"/>
                      <w:lang w:val="en-US" w:eastAsia="zh-CN" w:bidi="ar"/>
                    </w:rPr>
                  </w:pPr>
                  <w:r>
                    <w:rPr>
                      <w:rFonts w:hint="eastAsia"/>
                      <w:color w:val="auto"/>
                      <w:sz w:val="21"/>
                      <w:szCs w:val="21"/>
                      <w:vertAlign w:val="baseline"/>
                      <w:lang w:val="en-US" w:eastAsia="zh-CN"/>
                    </w:rPr>
                    <w:t>非甲烷总烃</w:t>
                  </w:r>
                </w:p>
              </w:tc>
              <w:tc>
                <w:tcPr>
                  <w:tcW w:w="2789" w:type="dxa"/>
                  <w:vAlign w:val="center"/>
                </w:tcPr>
                <w:p w14:paraId="542C126C">
                  <w:pPr>
                    <w:pStyle w:val="60"/>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6</w:t>
                  </w:r>
                  <w:r>
                    <w:rPr>
                      <w:rFonts w:hint="eastAsia" w:ascii="Times New Roman" w:hAnsi="Times New Roman" w:eastAsia="宋体" w:cs="Times New Roman"/>
                      <w:color w:val="auto"/>
                      <w:kern w:val="0"/>
                      <w:sz w:val="21"/>
                      <w:szCs w:val="21"/>
                      <w:highlight w:val="none"/>
                      <w:lang w:val="en-US" w:eastAsia="zh-CN" w:bidi="ar"/>
                    </w:rPr>
                    <w:t>（监控点处1h平均浓度值）</w:t>
                  </w:r>
                </w:p>
              </w:tc>
              <w:tc>
                <w:tcPr>
                  <w:tcW w:w="1351" w:type="dxa"/>
                  <w:vMerge w:val="restart"/>
                  <w:vAlign w:val="center"/>
                </w:tcPr>
                <w:p w14:paraId="25929683">
                  <w:pPr>
                    <w:pStyle w:val="60"/>
                    <w:keepNext w:val="0"/>
                    <w:keepLines w:val="0"/>
                    <w:pageBreakBefore w:val="0"/>
                    <w:widowControl w:val="0"/>
                    <w:kinsoku/>
                    <w:wordWrap/>
                    <w:overflowPunct/>
                    <w:topLinePunct w:val="0"/>
                    <w:autoSpaceDE w:val="0"/>
                    <w:autoSpaceDN w:val="0"/>
                    <w:bidi w:val="0"/>
                    <w:adjustRightInd/>
                    <w:snapToGrid/>
                    <w:spacing w:line="240" w:lineRule="auto"/>
                    <w:ind w:left="0" w:leftChars="0" w:firstLine="210" w:firstLineChars="100"/>
                    <w:jc w:val="both"/>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厂区内</w:t>
                  </w:r>
                </w:p>
              </w:tc>
              <w:tc>
                <w:tcPr>
                  <w:tcW w:w="2504" w:type="dxa"/>
                  <w:vMerge w:val="restart"/>
                  <w:vAlign w:val="center"/>
                </w:tcPr>
                <w:p w14:paraId="1D75FE58">
                  <w:pPr>
                    <w:pStyle w:val="6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《挥发性有机物无组织排放控制标准》(GB37822-2019)</w:t>
                  </w:r>
                  <w:r>
                    <w:rPr>
                      <w:rFonts w:hint="eastAsia" w:ascii="Times New Roman" w:hAnsi="Times New Roman" w:eastAsia="宋体" w:cs="Times New Roman"/>
                      <w:color w:val="auto"/>
                      <w:sz w:val="21"/>
                      <w:szCs w:val="21"/>
                      <w:vertAlign w:val="baseline"/>
                      <w:lang w:val="en-US" w:eastAsia="zh-CN"/>
                    </w:rPr>
                    <w:t>附录A.1排放限值要求</w:t>
                  </w:r>
                </w:p>
              </w:tc>
            </w:tr>
            <w:tr w14:paraId="66A6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1" w:type="dxa"/>
                  <w:vMerge w:val="continue"/>
                  <w:vAlign w:val="center"/>
                </w:tcPr>
                <w:p w14:paraId="41F7D644">
                  <w:pPr>
                    <w:pStyle w:val="60"/>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color w:val="auto"/>
                      <w:sz w:val="21"/>
                      <w:szCs w:val="21"/>
                      <w:vertAlign w:val="baseline"/>
                      <w:lang w:val="en-US" w:eastAsia="zh-CN"/>
                    </w:rPr>
                  </w:pPr>
                </w:p>
              </w:tc>
              <w:tc>
                <w:tcPr>
                  <w:tcW w:w="2789" w:type="dxa"/>
                  <w:vAlign w:val="center"/>
                </w:tcPr>
                <w:p w14:paraId="6609CE6A">
                  <w:pPr>
                    <w:pStyle w:val="60"/>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w:t>
                  </w:r>
                  <w:r>
                    <w:rPr>
                      <w:rFonts w:hint="eastAsia" w:ascii="Times New Roman" w:hAnsi="Times New Roman" w:eastAsia="宋体" w:cs="Times New Roman"/>
                      <w:color w:val="auto"/>
                      <w:kern w:val="0"/>
                      <w:sz w:val="21"/>
                      <w:szCs w:val="21"/>
                      <w:highlight w:val="none"/>
                      <w:lang w:val="en-US" w:eastAsia="zh-CN" w:bidi="ar"/>
                    </w:rPr>
                    <w:t>（监控点处任意一次浓度值</w:t>
                  </w:r>
                  <w:r>
                    <w:rPr>
                      <w:rFonts w:hint="default" w:ascii="Times New Roman" w:hAnsi="Times New Roman" w:eastAsia="宋体" w:cs="Times New Roman"/>
                      <w:color w:val="auto"/>
                      <w:kern w:val="0"/>
                      <w:sz w:val="21"/>
                      <w:szCs w:val="21"/>
                      <w:highlight w:val="none"/>
                      <w:lang w:val="en-US" w:eastAsia="zh-CN" w:bidi="ar"/>
                    </w:rPr>
                    <w:t>)</w:t>
                  </w:r>
                </w:p>
              </w:tc>
              <w:tc>
                <w:tcPr>
                  <w:tcW w:w="1351" w:type="dxa"/>
                  <w:vMerge w:val="continue"/>
                  <w:vAlign w:val="center"/>
                </w:tcPr>
                <w:p w14:paraId="4C6B78BA">
                  <w:pPr>
                    <w:pStyle w:val="60"/>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color w:val="auto"/>
                      <w:kern w:val="0"/>
                      <w:sz w:val="21"/>
                      <w:szCs w:val="21"/>
                      <w:lang w:val="en-US" w:eastAsia="zh-CN" w:bidi="ar"/>
                    </w:rPr>
                  </w:pPr>
                </w:p>
              </w:tc>
              <w:tc>
                <w:tcPr>
                  <w:tcW w:w="2504" w:type="dxa"/>
                  <w:vMerge w:val="continue"/>
                  <w:vAlign w:val="center"/>
                </w:tcPr>
                <w:p w14:paraId="47FFA71F">
                  <w:pPr>
                    <w:pStyle w:val="60"/>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r>
            <w:tr w14:paraId="38A9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351" w:type="dxa"/>
                  <w:shd w:val="clear" w:color="auto" w:fill="auto"/>
                  <w:vAlign w:val="center"/>
                </w:tcPr>
                <w:p w14:paraId="6F7B01E3">
                  <w:pPr>
                    <w:pStyle w:val="60"/>
                    <w:ind w:left="0" w:leftChars="0" w:firstLine="0" w:firstLineChars="0"/>
                    <w:jc w:val="center"/>
                    <w:rPr>
                      <w:rFonts w:hint="default" w:ascii="Times New Roman" w:hAnsi="Times New Roman" w:eastAsia="宋体" w:cs="Times New Roman"/>
                      <w:color w:val="auto"/>
                      <w:kern w:val="0"/>
                      <w:sz w:val="21"/>
                      <w:szCs w:val="21"/>
                      <w:vertAlign w:val="baseline"/>
                      <w:lang w:val="en-US" w:eastAsia="zh-CN" w:bidi="ar-SA"/>
                    </w:rPr>
                  </w:pPr>
                  <w:r>
                    <w:rPr>
                      <w:rFonts w:hint="eastAsia"/>
                      <w:color w:val="auto"/>
                      <w:sz w:val="21"/>
                      <w:szCs w:val="21"/>
                      <w:vertAlign w:val="baseline"/>
                      <w:lang w:val="en-US" w:eastAsia="zh-CN"/>
                    </w:rPr>
                    <w:t>非甲烷总烃</w:t>
                  </w:r>
                </w:p>
              </w:tc>
              <w:tc>
                <w:tcPr>
                  <w:tcW w:w="2789" w:type="dxa"/>
                  <w:vAlign w:val="center"/>
                </w:tcPr>
                <w:p w14:paraId="0321436A">
                  <w:pPr>
                    <w:pStyle w:val="60"/>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4.0</w:t>
                  </w:r>
                </w:p>
              </w:tc>
              <w:tc>
                <w:tcPr>
                  <w:tcW w:w="1351" w:type="dxa"/>
                  <w:vMerge w:val="restart"/>
                  <w:vAlign w:val="center"/>
                </w:tcPr>
                <w:p w14:paraId="3F7C8D9D">
                  <w:pPr>
                    <w:pStyle w:val="60"/>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厂区四周边界</w:t>
                  </w:r>
                </w:p>
              </w:tc>
              <w:tc>
                <w:tcPr>
                  <w:tcW w:w="2504" w:type="dxa"/>
                  <w:vMerge w:val="restart"/>
                  <w:vAlign w:val="center"/>
                </w:tcPr>
                <w:p w14:paraId="44808CB3">
                  <w:pPr>
                    <w:pStyle w:val="6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kern w:val="0"/>
                      <w:sz w:val="21"/>
                      <w:szCs w:val="21"/>
                      <w:lang w:val="en-US" w:eastAsia="zh-CN" w:bidi="ar"/>
                    </w:rPr>
                    <w:t>《合成树脂工业污染物排放标准》(GB31572-2015)表9标准</w:t>
                  </w:r>
                </w:p>
              </w:tc>
            </w:tr>
            <w:tr w14:paraId="4896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351" w:type="dxa"/>
                  <w:shd w:val="clear" w:color="auto" w:fill="auto"/>
                  <w:vAlign w:val="center"/>
                </w:tcPr>
                <w:p w14:paraId="6CA402D3">
                  <w:pPr>
                    <w:pStyle w:val="60"/>
                    <w:ind w:left="0" w:leftChars="0" w:firstLine="0" w:firstLineChars="0"/>
                    <w:jc w:val="center"/>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olor w:val="auto"/>
                      <w:sz w:val="21"/>
                      <w:szCs w:val="21"/>
                    </w:rPr>
                    <w:t>颗粒物</w:t>
                  </w:r>
                </w:p>
              </w:tc>
              <w:tc>
                <w:tcPr>
                  <w:tcW w:w="2789" w:type="dxa"/>
                  <w:vAlign w:val="center"/>
                </w:tcPr>
                <w:p w14:paraId="78123D15">
                  <w:pPr>
                    <w:pStyle w:val="60"/>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1.0</w:t>
                  </w:r>
                </w:p>
              </w:tc>
              <w:tc>
                <w:tcPr>
                  <w:tcW w:w="1351" w:type="dxa"/>
                  <w:vMerge w:val="continue"/>
                  <w:vAlign w:val="center"/>
                </w:tcPr>
                <w:p w14:paraId="7A910EBA">
                  <w:pPr>
                    <w:pStyle w:val="60"/>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color w:val="auto"/>
                      <w:kern w:val="0"/>
                      <w:sz w:val="21"/>
                      <w:szCs w:val="21"/>
                      <w:vertAlign w:val="baseline"/>
                      <w:lang w:val="en-US" w:eastAsia="zh-CN" w:bidi="ar"/>
                    </w:rPr>
                  </w:pPr>
                </w:p>
              </w:tc>
              <w:tc>
                <w:tcPr>
                  <w:tcW w:w="2504" w:type="dxa"/>
                  <w:vMerge w:val="continue"/>
                  <w:vAlign w:val="center"/>
                </w:tcPr>
                <w:p w14:paraId="5EB99A92">
                  <w:pPr>
                    <w:pStyle w:val="60"/>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r>
            <w:tr w14:paraId="7BC3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351" w:type="dxa"/>
                  <w:shd w:val="clear" w:color="auto" w:fill="auto"/>
                  <w:vAlign w:val="center"/>
                </w:tcPr>
                <w:p w14:paraId="16730370">
                  <w:pPr>
                    <w:pStyle w:val="60"/>
                    <w:ind w:left="0" w:leftChars="0" w:firstLine="0" w:firstLineChars="0"/>
                    <w:jc w:val="center"/>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臭气浓度</w:t>
                  </w:r>
                </w:p>
              </w:tc>
              <w:tc>
                <w:tcPr>
                  <w:tcW w:w="2789" w:type="dxa"/>
                  <w:vAlign w:val="center"/>
                </w:tcPr>
                <w:p w14:paraId="764D7BE3">
                  <w:pPr>
                    <w:pStyle w:val="60"/>
                    <w:keepNext w:val="0"/>
                    <w:keepLines w:val="0"/>
                    <w:pageBreakBefore w:val="0"/>
                    <w:widowControl w:val="0"/>
                    <w:kinsoku/>
                    <w:wordWrap/>
                    <w:overflowPunct/>
                    <w:topLinePunct w:val="0"/>
                    <w:autoSpaceDE w:val="0"/>
                    <w:autoSpaceDN w:val="0"/>
                    <w:bidi w:val="0"/>
                    <w:adjustRightInd/>
                    <w:snapToGrid/>
                    <w:spacing w:line="360" w:lineRule="auto"/>
                    <w:ind w:left="0" w:leftChars="0" w:firstLine="0" w:firstLineChars="0"/>
                    <w:jc w:val="center"/>
                    <w:textAlignment w:val="auto"/>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20</w:t>
                  </w:r>
                  <w:r>
                    <w:rPr>
                      <w:rFonts w:hint="eastAsia"/>
                      <w:color w:val="auto"/>
                      <w:sz w:val="21"/>
                      <w:szCs w:val="21"/>
                      <w:vertAlign w:val="baseline"/>
                      <w:lang w:val="en-US" w:eastAsia="zh-CN"/>
                    </w:rPr>
                    <w:t>（无量纲）</w:t>
                  </w:r>
                </w:p>
              </w:tc>
              <w:tc>
                <w:tcPr>
                  <w:tcW w:w="1351" w:type="dxa"/>
                  <w:vMerge w:val="continue"/>
                  <w:vAlign w:val="center"/>
                </w:tcPr>
                <w:p w14:paraId="0685972C">
                  <w:pPr>
                    <w:pStyle w:val="60"/>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color w:val="auto"/>
                      <w:kern w:val="0"/>
                      <w:sz w:val="21"/>
                      <w:szCs w:val="21"/>
                      <w:vertAlign w:val="baseline"/>
                      <w:lang w:val="en-US" w:eastAsia="zh-CN" w:bidi="ar"/>
                    </w:rPr>
                  </w:pPr>
                </w:p>
              </w:tc>
              <w:tc>
                <w:tcPr>
                  <w:tcW w:w="2504" w:type="dxa"/>
                  <w:vAlign w:val="center"/>
                </w:tcPr>
                <w:p w14:paraId="45400B2F">
                  <w:pPr>
                    <w:pStyle w:val="6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《恶臭污染物排放标准》(GB14554-93)中表1恶臭污染物厂界标准值中的二级标准</w:t>
                  </w:r>
                </w:p>
              </w:tc>
            </w:tr>
          </w:tbl>
          <w:p w14:paraId="7FE4AF84">
            <w:pPr>
              <w:widowControl/>
              <w:spacing w:line="360" w:lineRule="auto"/>
              <w:ind w:firstLine="480" w:firstLineChars="200"/>
              <w:jc w:val="left"/>
              <w:rPr>
                <w:b/>
                <w:bCs/>
                <w:color w:val="auto"/>
                <w:kern w:val="0"/>
                <w:sz w:val="24"/>
                <w:lang w:bidi="ar"/>
              </w:rPr>
            </w:pPr>
            <w:r>
              <w:rPr>
                <w:rFonts w:hint="eastAsia"/>
                <w:color w:val="auto"/>
                <w:kern w:val="0"/>
                <w:sz w:val="24"/>
                <w:lang w:bidi="ar"/>
              </w:rPr>
              <w:t>（2）噪声排放标准</w:t>
            </w:r>
          </w:p>
          <w:p w14:paraId="032E450F">
            <w:pPr>
              <w:spacing w:line="360" w:lineRule="auto"/>
              <w:ind w:firstLine="480" w:firstLineChars="200"/>
              <w:rPr>
                <w:color w:val="auto"/>
                <w:kern w:val="0"/>
                <w:sz w:val="24"/>
                <w:lang w:bidi="ar"/>
              </w:rPr>
            </w:pPr>
            <w:r>
              <w:rPr>
                <w:rFonts w:hint="eastAsia"/>
                <w:color w:val="auto"/>
                <w:kern w:val="0"/>
                <w:sz w:val="24"/>
                <w:lang w:bidi="ar"/>
              </w:rPr>
              <w:t>运行期噪声排放</w:t>
            </w:r>
            <w:r>
              <w:rPr>
                <w:rFonts w:hint="eastAsia"/>
                <w:color w:val="auto"/>
                <w:kern w:val="0"/>
                <w:sz w:val="24"/>
                <w:lang w:val="en-US" w:eastAsia="zh-CN" w:bidi="ar"/>
              </w:rPr>
              <w:t>参照</w:t>
            </w:r>
            <w:r>
              <w:rPr>
                <w:rFonts w:hint="eastAsia"/>
                <w:color w:val="auto"/>
                <w:kern w:val="0"/>
                <w:sz w:val="24"/>
                <w:lang w:bidi="ar"/>
              </w:rPr>
              <w:t>执行《工业企业厂界环境噪声排放标准》（GB12348-2008）中3类区标准。</w:t>
            </w:r>
          </w:p>
          <w:p w14:paraId="6214A33E">
            <w:pPr>
              <w:widowControl/>
              <w:jc w:val="center"/>
              <w:rPr>
                <w:b/>
                <w:bCs/>
                <w:color w:val="auto"/>
                <w:kern w:val="0"/>
                <w:sz w:val="24"/>
                <w:lang w:bidi="ar"/>
              </w:rPr>
            </w:pPr>
            <w:r>
              <w:rPr>
                <w:rFonts w:hint="eastAsia"/>
                <w:b/>
                <w:bCs/>
                <w:color w:val="auto"/>
                <w:kern w:val="0"/>
                <w:sz w:val="24"/>
                <w:lang w:bidi="ar"/>
              </w:rPr>
              <w:t>表3-</w:t>
            </w:r>
            <w:r>
              <w:rPr>
                <w:rFonts w:hint="eastAsia"/>
                <w:b/>
                <w:bCs/>
                <w:color w:val="auto"/>
                <w:kern w:val="0"/>
                <w:sz w:val="24"/>
                <w:lang w:val="en-US" w:eastAsia="zh-CN" w:bidi="ar"/>
              </w:rPr>
              <w:t>7</w:t>
            </w:r>
            <w:r>
              <w:rPr>
                <w:rFonts w:hint="eastAsia"/>
                <w:b/>
                <w:bCs/>
                <w:color w:val="auto"/>
                <w:kern w:val="0"/>
                <w:sz w:val="24"/>
                <w:lang w:bidi="ar"/>
              </w:rPr>
              <w:t xml:space="preserve">   工业企业厂界环境噪声排放限值    单位：dB（A）</w:t>
            </w:r>
          </w:p>
          <w:tbl>
            <w:tblPr>
              <w:tblStyle w:val="23"/>
              <w:tblW w:w="8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2673"/>
              <w:gridCol w:w="2673"/>
            </w:tblGrid>
            <w:tr w14:paraId="5539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673" w:type="dxa"/>
                  <w:vAlign w:val="center"/>
                </w:tcPr>
                <w:p w14:paraId="4CC77609">
                  <w:pPr>
                    <w:widowControl/>
                    <w:jc w:val="center"/>
                    <w:rPr>
                      <w:b/>
                      <w:bCs/>
                      <w:color w:val="auto"/>
                    </w:rPr>
                  </w:pPr>
                  <w:r>
                    <w:rPr>
                      <w:rFonts w:hint="eastAsia"/>
                      <w:b/>
                      <w:bCs/>
                      <w:color w:val="auto"/>
                    </w:rPr>
                    <w:t>类别</w:t>
                  </w:r>
                </w:p>
              </w:tc>
              <w:tc>
                <w:tcPr>
                  <w:tcW w:w="2673" w:type="dxa"/>
                  <w:vAlign w:val="center"/>
                </w:tcPr>
                <w:p w14:paraId="1B08226B">
                  <w:pPr>
                    <w:widowControl/>
                    <w:jc w:val="center"/>
                    <w:rPr>
                      <w:b/>
                      <w:bCs/>
                      <w:color w:val="auto"/>
                    </w:rPr>
                  </w:pPr>
                  <w:r>
                    <w:rPr>
                      <w:b/>
                      <w:bCs/>
                      <w:color w:val="auto"/>
                    </w:rPr>
                    <w:t>昼间</w:t>
                  </w:r>
                </w:p>
              </w:tc>
              <w:tc>
                <w:tcPr>
                  <w:tcW w:w="2673" w:type="dxa"/>
                  <w:vAlign w:val="center"/>
                </w:tcPr>
                <w:p w14:paraId="221D32F9">
                  <w:pPr>
                    <w:widowControl/>
                    <w:jc w:val="center"/>
                    <w:rPr>
                      <w:b/>
                      <w:bCs/>
                      <w:color w:val="auto"/>
                    </w:rPr>
                  </w:pPr>
                  <w:r>
                    <w:rPr>
                      <w:b/>
                      <w:bCs/>
                      <w:color w:val="auto"/>
                    </w:rPr>
                    <w:t>夜间</w:t>
                  </w:r>
                </w:p>
              </w:tc>
            </w:tr>
            <w:tr w14:paraId="20C8D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673" w:type="dxa"/>
                  <w:vAlign w:val="center"/>
                </w:tcPr>
                <w:p w14:paraId="0EA3CFFD">
                  <w:pPr>
                    <w:widowControl/>
                    <w:jc w:val="center"/>
                    <w:rPr>
                      <w:color w:val="auto"/>
                    </w:rPr>
                  </w:pPr>
                  <w:r>
                    <w:rPr>
                      <w:color w:val="auto"/>
                    </w:rPr>
                    <w:t>3类</w:t>
                  </w:r>
                </w:p>
              </w:tc>
              <w:tc>
                <w:tcPr>
                  <w:tcW w:w="2673" w:type="dxa"/>
                  <w:vAlign w:val="center"/>
                </w:tcPr>
                <w:p w14:paraId="3D6EE0CC">
                  <w:pPr>
                    <w:widowControl/>
                    <w:jc w:val="center"/>
                    <w:rPr>
                      <w:color w:val="auto"/>
                    </w:rPr>
                  </w:pPr>
                  <w:r>
                    <w:rPr>
                      <w:color w:val="auto"/>
                    </w:rPr>
                    <w:t>65</w:t>
                  </w:r>
                </w:p>
              </w:tc>
              <w:tc>
                <w:tcPr>
                  <w:tcW w:w="2673" w:type="dxa"/>
                  <w:vAlign w:val="center"/>
                </w:tcPr>
                <w:p w14:paraId="61B2BB50">
                  <w:pPr>
                    <w:widowControl/>
                    <w:jc w:val="center"/>
                    <w:rPr>
                      <w:color w:val="auto"/>
                    </w:rPr>
                  </w:pPr>
                  <w:r>
                    <w:rPr>
                      <w:color w:val="auto"/>
                    </w:rPr>
                    <w:t>55</w:t>
                  </w:r>
                </w:p>
              </w:tc>
            </w:tr>
          </w:tbl>
          <w:p w14:paraId="79B7931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color w:val="auto"/>
                <w:kern w:val="0"/>
                <w:sz w:val="24"/>
              </w:rPr>
            </w:pPr>
            <w:r>
              <w:rPr>
                <w:rFonts w:hint="eastAsia"/>
                <w:color w:val="auto"/>
                <w:kern w:val="0"/>
                <w:sz w:val="24"/>
                <w:lang w:eastAsia="zh-CN"/>
              </w:rPr>
              <w:t>（</w:t>
            </w:r>
            <w:r>
              <w:rPr>
                <w:rFonts w:hint="eastAsia"/>
                <w:color w:val="auto"/>
                <w:kern w:val="0"/>
                <w:sz w:val="24"/>
                <w:lang w:val="en-US" w:eastAsia="zh-CN"/>
              </w:rPr>
              <w:t>3</w:t>
            </w:r>
            <w:r>
              <w:rPr>
                <w:rFonts w:hint="eastAsia"/>
                <w:color w:val="auto"/>
                <w:kern w:val="0"/>
                <w:sz w:val="24"/>
                <w:lang w:eastAsia="zh-CN"/>
              </w:rPr>
              <w:t>）</w:t>
            </w:r>
            <w:r>
              <w:rPr>
                <w:rFonts w:hint="eastAsia"/>
                <w:color w:val="auto"/>
                <w:kern w:val="0"/>
                <w:sz w:val="24"/>
              </w:rPr>
              <w:t>固体废物</w:t>
            </w:r>
          </w:p>
          <w:p w14:paraId="00DFC845">
            <w:pPr>
              <w:spacing w:line="360" w:lineRule="auto"/>
              <w:ind w:firstLine="480" w:firstLineChars="200"/>
              <w:rPr>
                <w:color w:val="auto"/>
                <w:kern w:val="0"/>
                <w:sz w:val="24"/>
              </w:rPr>
            </w:pPr>
            <w:r>
              <w:rPr>
                <w:rFonts w:hint="eastAsia"/>
                <w:color w:val="auto"/>
                <w:kern w:val="0"/>
                <w:sz w:val="24"/>
                <w:lang w:bidi="ar"/>
              </w:rPr>
              <w:t>一般固废执行《一般工业固体废物贮存和填埋场污染控制标准》（GB18599-2020）标准</w:t>
            </w:r>
            <w:r>
              <w:rPr>
                <w:rFonts w:hint="eastAsia"/>
                <w:color w:val="auto"/>
                <w:kern w:val="0"/>
                <w:sz w:val="24"/>
                <w:lang w:eastAsia="zh-CN" w:bidi="ar"/>
              </w:rPr>
              <w:t>；</w:t>
            </w:r>
            <w:r>
              <w:rPr>
                <w:rFonts w:hint="eastAsia"/>
                <w:color w:val="auto"/>
                <w:kern w:val="0"/>
                <w:sz w:val="24"/>
                <w:lang w:bidi="ar"/>
              </w:rPr>
              <w:t>危险废物贮存执行《危险废物贮存污染控制标准》（GB18597-2023）。</w:t>
            </w:r>
          </w:p>
        </w:tc>
      </w:tr>
      <w:tr w14:paraId="26B8FE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800" w:type="dxa"/>
            <w:vAlign w:val="center"/>
          </w:tcPr>
          <w:p w14:paraId="7C27725D">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总量</w:t>
            </w:r>
          </w:p>
          <w:p w14:paraId="105B5E60">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控制</w:t>
            </w:r>
          </w:p>
          <w:p w14:paraId="1C40390E">
            <w:pPr>
              <w:adjustRightInd w:val="0"/>
              <w:snapToGrid w:val="0"/>
              <w:jc w:val="center"/>
              <w:rPr>
                <w:rFonts w:hint="eastAsia" w:ascii="宋体" w:hAnsi="宋体" w:cs="宋体"/>
                <w:color w:val="auto"/>
                <w:kern w:val="0"/>
                <w:szCs w:val="21"/>
              </w:rPr>
            </w:pPr>
            <w:r>
              <w:rPr>
                <w:rFonts w:hint="eastAsia" w:ascii="宋体" w:hAnsi="宋体" w:cs="宋体"/>
                <w:color w:val="auto"/>
                <w:kern w:val="0"/>
                <w:szCs w:val="21"/>
              </w:rPr>
              <w:t>指标</w:t>
            </w:r>
          </w:p>
        </w:tc>
        <w:tc>
          <w:tcPr>
            <w:tcW w:w="8190" w:type="dxa"/>
            <w:vAlign w:val="center"/>
          </w:tcPr>
          <w:p w14:paraId="00B54CF3">
            <w:pPr>
              <w:pStyle w:val="47"/>
              <w:spacing w:before="37" w:line="359" w:lineRule="auto"/>
              <w:ind w:left="112" w:right="26" w:firstLine="468"/>
              <w:jc w:val="both"/>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“十</w:t>
            </w:r>
            <w:r>
              <w:rPr>
                <w:rFonts w:hint="eastAsia" w:ascii="Times New Roman" w:hAnsi="Times New Roman" w:cs="Times New Roman"/>
                <w:color w:val="auto"/>
                <w:kern w:val="0"/>
                <w:sz w:val="24"/>
                <w:szCs w:val="24"/>
                <w:lang w:val="en-US" w:eastAsia="zh-CN" w:bidi="ar"/>
              </w:rPr>
              <w:t>五</w:t>
            </w:r>
            <w:r>
              <w:rPr>
                <w:rFonts w:hint="eastAsia" w:ascii="Times New Roman" w:hAnsi="Times New Roman" w:eastAsia="宋体" w:cs="Times New Roman"/>
                <w:color w:val="auto"/>
                <w:kern w:val="0"/>
                <w:sz w:val="24"/>
                <w:szCs w:val="24"/>
                <w:lang w:val="en-US" w:eastAsia="zh-CN" w:bidi="ar"/>
              </w:rPr>
              <w:t>五”期间，国家将继续实施主要污染物总量控制制度，将化学需氧量、</w:t>
            </w:r>
            <w:r>
              <w:rPr>
                <w:rFonts w:hint="eastAsia" w:ascii="Times New Roman" w:hAnsi="Times New Roman" w:cs="Times New Roman"/>
                <w:color w:val="auto"/>
                <w:kern w:val="0"/>
                <w:sz w:val="24"/>
                <w:szCs w:val="24"/>
                <w:lang w:val="en-US" w:eastAsia="zh-CN" w:bidi="ar"/>
              </w:rPr>
              <w:t>总磷</w:t>
            </w:r>
            <w:r>
              <w:rPr>
                <w:rFonts w:hint="eastAsia" w:ascii="Times New Roman" w:hAnsi="Times New Roman" w:eastAsia="宋体" w:cs="Times New Roman"/>
                <w:color w:val="auto"/>
                <w:kern w:val="0"/>
                <w:sz w:val="24"/>
                <w:szCs w:val="24"/>
                <w:lang w:val="en-US" w:eastAsia="zh-CN" w:bidi="ar"/>
              </w:rPr>
              <w:t>、氮氧化物、挥发性有机物4项污染物作为约束性指标进行考核。</w:t>
            </w:r>
          </w:p>
          <w:p w14:paraId="7CF47004">
            <w:pPr>
              <w:keepNext w:val="0"/>
              <w:keepLines w:val="0"/>
              <w:suppressLineNumbers w:val="0"/>
              <w:spacing w:before="0" w:beforeAutospacing="0" w:after="0" w:afterAutospacing="0" w:line="360" w:lineRule="auto"/>
              <w:ind w:left="0" w:right="0" w:firstLine="480" w:firstLineChars="200"/>
              <w:rPr>
                <w:rFonts w:hint="eastAsia"/>
                <w:color w:val="auto"/>
                <w:sz w:val="24"/>
                <w:szCs w:val="24"/>
                <w:highlight w:val="none"/>
                <w:lang w:eastAsia="zh-CN"/>
              </w:rPr>
            </w:pPr>
            <w:r>
              <w:rPr>
                <w:rFonts w:hint="eastAsia"/>
                <w:color w:val="auto"/>
                <w:sz w:val="24"/>
                <w:szCs w:val="24"/>
                <w:highlight w:val="none"/>
                <w:lang w:eastAsia="zh-CN"/>
              </w:rPr>
              <w:t>根据工程分析可知颗粒物</w:t>
            </w:r>
            <w:r>
              <w:rPr>
                <w:rFonts w:hint="eastAsia" w:ascii="Times New Roman" w:hAnsi="Times New Roman" w:eastAsia="宋体" w:cs="Times New Roman"/>
                <w:color w:val="auto"/>
                <w:kern w:val="0"/>
                <w:sz w:val="24"/>
                <w:szCs w:val="24"/>
                <w:lang w:val="en-US" w:eastAsia="zh-CN" w:bidi="ar"/>
              </w:rPr>
              <w:t>排放</w:t>
            </w:r>
            <w:r>
              <w:rPr>
                <w:rFonts w:hint="eastAsia" w:cs="Times New Roman"/>
                <w:color w:val="auto"/>
                <w:kern w:val="0"/>
                <w:sz w:val="24"/>
                <w:szCs w:val="24"/>
                <w:lang w:val="en-US" w:eastAsia="zh-CN" w:bidi="ar"/>
              </w:rPr>
              <w:t>0.0168</w:t>
            </w:r>
            <w:r>
              <w:rPr>
                <w:rFonts w:hint="eastAsia" w:ascii="Times New Roman" w:hAnsi="Times New Roman" w:eastAsia="宋体" w:cs="Times New Roman"/>
                <w:color w:val="auto"/>
                <w:kern w:val="0"/>
                <w:sz w:val="24"/>
                <w:szCs w:val="24"/>
                <w:lang w:val="en-US" w:eastAsia="zh-CN" w:bidi="ar"/>
              </w:rPr>
              <w:t>/a，非甲</w:t>
            </w:r>
            <w:r>
              <w:rPr>
                <w:rFonts w:hint="eastAsia"/>
                <w:color w:val="auto"/>
                <w:sz w:val="24"/>
                <w:szCs w:val="24"/>
                <w:highlight w:val="none"/>
                <w:lang w:val="en-US" w:eastAsia="zh-CN"/>
              </w:rPr>
              <w:t>烷总烃有组织排放量2.6422</w:t>
            </w:r>
            <w:r>
              <w:rPr>
                <w:rFonts w:hint="eastAsia"/>
                <w:color w:val="auto"/>
                <w:sz w:val="24"/>
                <w:szCs w:val="24"/>
                <w:highlight w:val="none"/>
                <w:lang w:eastAsia="zh-CN"/>
              </w:rPr>
              <w:t>t/a、</w:t>
            </w:r>
            <w:r>
              <w:rPr>
                <w:rFonts w:hint="eastAsia"/>
                <w:color w:val="auto"/>
                <w:sz w:val="24"/>
                <w:szCs w:val="24"/>
                <w:highlight w:val="none"/>
                <w:lang w:val="en-US" w:eastAsia="zh-CN"/>
              </w:rPr>
              <w:t>无组织排放量为1.59552t/a</w:t>
            </w:r>
            <w:r>
              <w:rPr>
                <w:rFonts w:hint="eastAsia"/>
                <w:color w:val="auto"/>
                <w:sz w:val="24"/>
                <w:szCs w:val="24"/>
                <w:highlight w:val="none"/>
                <w:lang w:eastAsia="zh-CN"/>
              </w:rPr>
              <w:t>。</w:t>
            </w:r>
          </w:p>
          <w:p w14:paraId="6E0563D6">
            <w:pPr>
              <w:keepNext w:val="0"/>
              <w:keepLines w:val="0"/>
              <w:suppressLineNumbers w:val="0"/>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因此本环评建议挥发性有机物总量控制指标</w:t>
            </w:r>
            <w:r>
              <w:rPr>
                <w:rFonts w:hint="eastAsia"/>
                <w:color w:val="auto"/>
                <w:sz w:val="24"/>
                <w:szCs w:val="24"/>
                <w:highlight w:val="none"/>
                <w:lang w:val="en-US" w:eastAsia="zh-CN"/>
              </w:rPr>
              <w:t>4.23772</w:t>
            </w:r>
            <w:r>
              <w:rPr>
                <w:rFonts w:hint="eastAsia"/>
                <w:color w:val="auto"/>
                <w:sz w:val="24"/>
                <w:szCs w:val="24"/>
                <w:highlight w:val="none"/>
                <w:lang w:eastAsia="zh-CN"/>
              </w:rPr>
              <w:t>t/a</w:t>
            </w:r>
            <w:r>
              <w:rPr>
                <w:rFonts w:hint="eastAsia" w:ascii="Times New Roman" w:hAnsi="Times New Roman" w:eastAsia="宋体" w:cs="Times New Roman"/>
                <w:color w:val="auto"/>
                <w:sz w:val="24"/>
                <w:szCs w:val="24"/>
                <w:highlight w:val="none"/>
                <w:lang w:val="en-US" w:eastAsia="zh-CN"/>
              </w:rPr>
              <w:t>。</w:t>
            </w:r>
          </w:p>
          <w:p w14:paraId="47CF0255">
            <w:pPr>
              <w:widowControl/>
              <w:spacing w:line="360" w:lineRule="auto"/>
              <w:ind w:firstLine="480" w:firstLineChars="200"/>
              <w:jc w:val="center"/>
              <w:rPr>
                <w:color w:val="auto"/>
                <w:kern w:val="0"/>
                <w:sz w:val="24"/>
                <w:highlight w:val="yellow"/>
                <w:lang w:bidi="ar"/>
              </w:rPr>
            </w:pPr>
          </w:p>
        </w:tc>
      </w:tr>
    </w:tbl>
    <w:p w14:paraId="22092CA7">
      <w:pPr>
        <w:pStyle w:val="19"/>
        <w:numPr>
          <w:ilvl w:val="0"/>
          <w:numId w:val="11"/>
        </w:numPr>
        <w:spacing w:before="0" w:beforeAutospacing="0" w:after="0" w:afterAutospacing="0"/>
        <w:jc w:val="center"/>
        <w:outlineLvl w:val="0"/>
        <w:rPr>
          <w:rFonts w:ascii="Times New Roman" w:hAnsi="Times New Roman"/>
          <w:b/>
          <w:bCs/>
          <w:snapToGrid w:val="0"/>
          <w:color w:val="auto"/>
          <w:sz w:val="30"/>
          <w:szCs w:val="30"/>
        </w:rPr>
      </w:pPr>
      <w:r>
        <w:rPr>
          <w:rFonts w:ascii="黑体" w:hAnsi="黑体" w:eastAsia="黑体"/>
          <w:snapToGrid w:val="0"/>
          <w:color w:val="auto"/>
          <w:sz w:val="36"/>
          <w:szCs w:val="36"/>
        </w:rPr>
        <w:br w:type="page"/>
      </w:r>
      <w:bookmarkStart w:id="4" w:name="_Toc29105"/>
      <w:r>
        <w:rPr>
          <w:rFonts w:hint="eastAsia" w:ascii="Times New Roman" w:hAnsi="Times New Roman"/>
          <w:b/>
          <w:bCs/>
          <w:snapToGrid w:val="0"/>
          <w:color w:val="auto"/>
          <w:sz w:val="30"/>
          <w:szCs w:val="30"/>
        </w:rPr>
        <w:t>主要环境影响和保护措施</w:t>
      </w:r>
      <w:bookmarkEnd w:id="4"/>
    </w:p>
    <w:tbl>
      <w:tblPr>
        <w:tblStyle w:val="23"/>
        <w:tblW w:w="9304" w:type="dxa"/>
        <w:tblInd w:w="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8624"/>
      </w:tblGrid>
      <w:tr w14:paraId="4877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5502D191">
            <w:pPr>
              <w:adjustRightInd w:val="0"/>
              <w:snapToGrid w:val="0"/>
              <w:jc w:val="center"/>
              <w:rPr>
                <w:rFonts w:hint="eastAsia" w:ascii="宋体" w:hAnsi="宋体" w:cs="宋体"/>
                <w:bCs/>
                <w:color w:val="auto"/>
                <w:szCs w:val="21"/>
              </w:rPr>
            </w:pPr>
            <w:r>
              <w:rPr>
                <w:rFonts w:hint="eastAsia" w:ascii="宋体" w:hAnsi="宋体" w:cs="宋体"/>
                <w:bCs/>
                <w:color w:val="auto"/>
                <w:szCs w:val="21"/>
              </w:rPr>
              <w:t>施工</w:t>
            </w:r>
          </w:p>
          <w:p w14:paraId="682E8BC7">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5CB544E8">
            <w:pPr>
              <w:adjustRightInd w:val="0"/>
              <w:snapToGrid w:val="0"/>
              <w:jc w:val="center"/>
              <w:rPr>
                <w:rFonts w:hint="eastAsia" w:ascii="宋体" w:hAnsi="宋体" w:cs="宋体"/>
                <w:bCs/>
                <w:color w:val="auto"/>
                <w:szCs w:val="21"/>
              </w:rPr>
            </w:pPr>
            <w:r>
              <w:rPr>
                <w:rFonts w:hint="eastAsia" w:ascii="宋体" w:hAnsi="宋体" w:cs="宋体"/>
                <w:bCs/>
                <w:color w:val="auto"/>
                <w:szCs w:val="21"/>
              </w:rPr>
              <w:t>境保</w:t>
            </w:r>
          </w:p>
          <w:p w14:paraId="31215C89">
            <w:pPr>
              <w:adjustRightInd w:val="0"/>
              <w:snapToGrid w:val="0"/>
              <w:jc w:val="center"/>
              <w:rPr>
                <w:rFonts w:hint="eastAsia" w:ascii="宋体" w:hAnsi="宋体" w:cs="宋体"/>
                <w:bCs/>
                <w:color w:val="auto"/>
                <w:szCs w:val="21"/>
              </w:rPr>
            </w:pPr>
            <w:r>
              <w:rPr>
                <w:rFonts w:hint="eastAsia" w:ascii="宋体" w:hAnsi="宋体" w:cs="宋体"/>
                <w:bCs/>
                <w:color w:val="auto"/>
                <w:szCs w:val="21"/>
              </w:rPr>
              <w:t>护措</w:t>
            </w:r>
          </w:p>
          <w:p w14:paraId="67E7CEF5">
            <w:pPr>
              <w:pStyle w:val="19"/>
              <w:spacing w:before="0" w:beforeAutospacing="0" w:after="0" w:afterAutospacing="0"/>
              <w:jc w:val="center"/>
              <w:outlineLvl w:val="0"/>
              <w:rPr>
                <w:rFonts w:ascii="Times New Roman" w:hAnsi="Times New Roman"/>
                <w:b/>
                <w:bCs/>
                <w:snapToGrid w:val="0"/>
                <w:color w:val="auto"/>
                <w:sz w:val="30"/>
                <w:szCs w:val="30"/>
              </w:rPr>
            </w:pPr>
            <w:r>
              <w:rPr>
                <w:rFonts w:hint="eastAsia" w:cs="宋体"/>
                <w:bCs/>
                <w:color w:val="auto"/>
                <w:szCs w:val="21"/>
              </w:rPr>
              <w:t>施</w:t>
            </w:r>
          </w:p>
        </w:tc>
        <w:tc>
          <w:tcPr>
            <w:tcW w:w="8624" w:type="dxa"/>
          </w:tcPr>
          <w:p w14:paraId="42FB6904">
            <w:pPr>
              <w:keepNext w:val="0"/>
              <w:keepLines w:val="0"/>
              <w:pageBreakBefore w:val="0"/>
              <w:widowControl/>
              <w:kinsoku/>
              <w:wordWrap/>
              <w:overflowPunct/>
              <w:topLinePunct w:val="0"/>
              <w:autoSpaceDE/>
              <w:autoSpaceDN/>
              <w:bidi w:val="0"/>
              <w:adjustRightInd/>
              <w:snapToGrid/>
              <w:spacing w:before="95" w:beforeLines="30" w:line="360" w:lineRule="auto"/>
              <w:ind w:firstLine="480" w:firstLineChars="200"/>
              <w:jc w:val="left"/>
              <w:textAlignment w:val="auto"/>
              <w:rPr>
                <w:rFonts w:hint="eastAsia" w:ascii="Times New Roman" w:hAnsi="Times New Roman" w:eastAsia="宋体" w:cs="Times New Roman"/>
                <w:color w:val="auto"/>
                <w:kern w:val="0"/>
                <w:sz w:val="24"/>
                <w:lang w:bidi="ar"/>
              </w:rPr>
            </w:pPr>
            <w:r>
              <w:rPr>
                <w:rFonts w:hint="eastAsia" w:ascii="Times New Roman" w:hAnsi="Times New Roman" w:eastAsia="宋体" w:cs="Times New Roman"/>
                <w:color w:val="auto"/>
                <w:kern w:val="0"/>
                <w:sz w:val="24"/>
                <w:lang w:bidi="ar"/>
              </w:rPr>
              <w:t>本项目不涉及土建工程，</w:t>
            </w:r>
            <w:r>
              <w:rPr>
                <w:rFonts w:hint="eastAsia" w:ascii="Times New Roman" w:hAnsi="Times New Roman" w:eastAsia="宋体" w:cs="Times New Roman"/>
                <w:color w:val="auto"/>
                <w:kern w:val="0"/>
                <w:sz w:val="24"/>
                <w:lang w:val="en-US" w:eastAsia="zh-CN" w:bidi="ar"/>
              </w:rPr>
              <w:t>成品区已经硬化，仅</w:t>
            </w:r>
            <w:r>
              <w:rPr>
                <w:rFonts w:hint="eastAsia" w:ascii="Times New Roman" w:hAnsi="Times New Roman" w:eastAsia="宋体" w:cs="Times New Roman"/>
                <w:color w:val="auto"/>
                <w:kern w:val="0"/>
                <w:sz w:val="24"/>
                <w:lang w:bidi="ar"/>
              </w:rPr>
              <w:t>在现有车间内</w:t>
            </w:r>
            <w:r>
              <w:rPr>
                <w:rFonts w:hint="eastAsia" w:ascii="Times New Roman" w:hAnsi="Times New Roman" w:eastAsia="宋体" w:cs="Times New Roman"/>
                <w:color w:val="auto"/>
                <w:kern w:val="0"/>
                <w:sz w:val="24"/>
                <w:lang w:val="en-US" w:eastAsia="zh-CN" w:bidi="ar"/>
              </w:rPr>
              <w:t>建设隔墙、</w:t>
            </w:r>
            <w:r>
              <w:rPr>
                <w:rFonts w:hint="eastAsia" w:ascii="Times New Roman" w:hAnsi="Times New Roman" w:eastAsia="宋体" w:cs="Times New Roman"/>
                <w:color w:val="auto"/>
                <w:kern w:val="0"/>
                <w:sz w:val="24"/>
                <w:lang w:bidi="ar"/>
              </w:rPr>
              <w:t>安装生产设备</w:t>
            </w:r>
            <w:r>
              <w:rPr>
                <w:rFonts w:hint="eastAsia" w:cs="Times New Roman"/>
                <w:color w:val="auto"/>
                <w:kern w:val="0"/>
                <w:sz w:val="24"/>
                <w:lang w:val="en-US" w:eastAsia="zh-CN" w:bidi="ar"/>
              </w:rPr>
              <w:t>及一般固废暂存间、危废暂存间的建设</w:t>
            </w:r>
            <w:r>
              <w:rPr>
                <w:rFonts w:hint="eastAsia" w:ascii="Times New Roman" w:hAnsi="Times New Roman" w:eastAsia="宋体" w:cs="Times New Roman"/>
                <w:color w:val="auto"/>
                <w:kern w:val="0"/>
                <w:sz w:val="24"/>
                <w:lang w:eastAsia="zh-CN" w:bidi="ar"/>
              </w:rPr>
              <w:t>，</w:t>
            </w:r>
            <w:r>
              <w:rPr>
                <w:rFonts w:hint="eastAsia" w:ascii="Times New Roman" w:hAnsi="Times New Roman" w:eastAsia="宋体" w:cs="Times New Roman"/>
                <w:color w:val="auto"/>
                <w:kern w:val="0"/>
                <w:sz w:val="24"/>
                <w:lang w:bidi="ar"/>
              </w:rPr>
              <w:t>分别从大气、水、声以及固废四个方面进行分析。</w:t>
            </w:r>
          </w:p>
          <w:p w14:paraId="41F89A64">
            <w:pPr>
              <w:widowControl/>
              <w:spacing w:line="360" w:lineRule="auto"/>
              <w:ind w:firstLine="480" w:firstLineChars="200"/>
              <w:jc w:val="left"/>
              <w:rPr>
                <w:color w:val="auto"/>
                <w:kern w:val="0"/>
                <w:sz w:val="24"/>
                <w:lang w:bidi="ar"/>
              </w:rPr>
            </w:pPr>
            <w:r>
              <w:rPr>
                <w:color w:val="auto"/>
                <w:kern w:val="0"/>
                <w:sz w:val="24"/>
                <w:lang w:bidi="ar"/>
              </w:rPr>
              <w:t>1</w:t>
            </w:r>
            <w:r>
              <w:rPr>
                <w:rFonts w:hint="eastAsia"/>
                <w:color w:val="auto"/>
                <w:kern w:val="0"/>
                <w:sz w:val="24"/>
                <w:lang w:bidi="ar"/>
              </w:rPr>
              <w:t>、</w:t>
            </w:r>
            <w:r>
              <w:rPr>
                <w:color w:val="auto"/>
                <w:kern w:val="0"/>
                <w:sz w:val="24"/>
                <w:lang w:bidi="ar"/>
              </w:rPr>
              <w:t>大气环境保护措施</w:t>
            </w:r>
          </w:p>
          <w:p w14:paraId="67C7C1B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color w:val="auto"/>
                <w:kern w:val="0"/>
                <w:sz w:val="24"/>
                <w:lang w:bidi="ar"/>
              </w:rPr>
            </w:pPr>
            <w:r>
              <w:rPr>
                <w:rFonts w:hint="eastAsia" w:ascii="Times New Roman" w:hAnsi="Times New Roman" w:eastAsia="宋体" w:cs="Times New Roman"/>
                <w:color w:val="auto"/>
                <w:kern w:val="0"/>
                <w:sz w:val="24"/>
                <w:lang w:bidi="ar"/>
              </w:rPr>
              <w:t>本项目不涉及土建工程，</w:t>
            </w:r>
            <w:r>
              <w:rPr>
                <w:rFonts w:hint="eastAsia" w:cs="Times New Roman"/>
                <w:color w:val="auto"/>
                <w:kern w:val="0"/>
                <w:sz w:val="24"/>
                <w:lang w:val="en-US" w:eastAsia="zh-CN" w:bidi="ar"/>
              </w:rPr>
              <w:t>项目施工均在厂房内部，因此，</w:t>
            </w:r>
            <w:r>
              <w:rPr>
                <w:rFonts w:hint="eastAsia" w:ascii="Times New Roman" w:hAnsi="Times New Roman" w:eastAsia="宋体" w:cs="Times New Roman"/>
                <w:color w:val="auto"/>
                <w:kern w:val="0"/>
                <w:sz w:val="24"/>
                <w:lang w:bidi="ar"/>
              </w:rPr>
              <w:t>不涉及</w:t>
            </w:r>
            <w:r>
              <w:rPr>
                <w:rFonts w:hint="eastAsia" w:ascii="Times New Roman" w:hAnsi="Times New Roman" w:eastAsia="宋体" w:cs="Times New Roman"/>
                <w:color w:val="auto"/>
                <w:kern w:val="0"/>
                <w:sz w:val="24"/>
                <w:lang w:val="en-US" w:eastAsia="zh-CN" w:bidi="ar"/>
              </w:rPr>
              <w:t>施工</w:t>
            </w:r>
            <w:r>
              <w:rPr>
                <w:rFonts w:hint="eastAsia" w:ascii="Times New Roman" w:hAnsi="Times New Roman" w:eastAsia="宋体" w:cs="Times New Roman"/>
                <w:color w:val="auto"/>
                <w:kern w:val="0"/>
                <w:sz w:val="24"/>
                <w:lang w:bidi="ar"/>
              </w:rPr>
              <w:t>扬尘</w:t>
            </w:r>
            <w:r>
              <w:rPr>
                <w:rFonts w:hint="eastAsia" w:cs="Times New Roman"/>
                <w:color w:val="auto"/>
                <w:kern w:val="0"/>
                <w:sz w:val="24"/>
                <w:lang w:eastAsia="zh-CN" w:bidi="ar"/>
              </w:rPr>
              <w:t>。</w:t>
            </w:r>
            <w:r>
              <w:rPr>
                <w:rFonts w:hint="eastAsia" w:ascii="Times New Roman" w:hAnsi="Times New Roman" w:eastAsia="宋体" w:cs="Times New Roman"/>
                <w:color w:val="auto"/>
                <w:kern w:val="0"/>
                <w:sz w:val="24"/>
                <w:lang w:val="en-US" w:eastAsia="zh-CN" w:bidi="ar"/>
              </w:rPr>
              <w:t>涉及的是运输车辆产生的汽车尾气和运输期间的扬尘，</w:t>
            </w:r>
            <w:r>
              <w:rPr>
                <w:rFonts w:hint="eastAsia"/>
                <w:color w:val="auto"/>
                <w:kern w:val="0"/>
                <w:sz w:val="24"/>
                <w:lang w:bidi="ar"/>
              </w:rPr>
              <w:t>为了防止</w:t>
            </w:r>
            <w:r>
              <w:rPr>
                <w:rFonts w:hint="eastAsia"/>
                <w:color w:val="auto"/>
                <w:kern w:val="0"/>
                <w:sz w:val="24"/>
                <w:lang w:val="en-US" w:eastAsia="zh-CN" w:bidi="ar"/>
              </w:rPr>
              <w:t>道路扬尘和汽车尾气影响</w:t>
            </w:r>
            <w:r>
              <w:rPr>
                <w:rFonts w:hint="eastAsia"/>
                <w:color w:val="auto"/>
                <w:kern w:val="0"/>
                <w:sz w:val="24"/>
                <w:lang w:bidi="ar"/>
              </w:rPr>
              <w:t>，施工期间需采取以下措施：</w:t>
            </w:r>
          </w:p>
          <w:p w14:paraId="755F2C2B">
            <w:pPr>
              <w:widowControl/>
              <w:spacing w:line="360" w:lineRule="auto"/>
              <w:ind w:firstLine="480" w:firstLineChars="200"/>
              <w:jc w:val="left"/>
              <w:rPr>
                <w:color w:val="auto"/>
                <w:kern w:val="0"/>
                <w:sz w:val="24"/>
                <w:lang w:bidi="ar"/>
              </w:rPr>
            </w:pPr>
            <w:r>
              <w:rPr>
                <w:rFonts w:hint="eastAsia"/>
                <w:color w:val="auto"/>
                <w:kern w:val="0"/>
                <w:sz w:val="24"/>
                <w:lang w:bidi="ar"/>
              </w:rPr>
              <w:t>（1）施工车辆必须行驶在进场道路范围内；</w:t>
            </w:r>
          </w:p>
          <w:p w14:paraId="5F2E71A5">
            <w:pPr>
              <w:widowControl/>
              <w:spacing w:line="360" w:lineRule="auto"/>
              <w:ind w:firstLine="480" w:firstLineChars="200"/>
              <w:jc w:val="left"/>
              <w:rPr>
                <w:color w:val="auto"/>
                <w:kern w:val="0"/>
                <w:sz w:val="24"/>
                <w:lang w:bidi="ar"/>
              </w:rPr>
            </w:pPr>
            <w:r>
              <w:rPr>
                <w:rFonts w:hint="eastAsia"/>
                <w:color w:val="auto"/>
                <w:kern w:val="0"/>
                <w:sz w:val="24"/>
                <w:lang w:bidi="ar"/>
              </w:rPr>
              <w:t>（2）施工过程中通过洒水车运水至场地运输通道，及时洒水以减少汽车行驶扬尘；</w:t>
            </w:r>
          </w:p>
          <w:p w14:paraId="13CAA2E2">
            <w:pPr>
              <w:widowControl/>
              <w:spacing w:line="360" w:lineRule="auto"/>
              <w:ind w:firstLine="480" w:firstLineChars="200"/>
              <w:jc w:val="left"/>
              <w:rPr>
                <w:color w:val="auto"/>
                <w:kern w:val="0"/>
                <w:sz w:val="24"/>
                <w:lang w:bidi="ar"/>
              </w:rPr>
            </w:pPr>
            <w:r>
              <w:rPr>
                <w:rFonts w:hint="eastAsia"/>
                <w:color w:val="auto"/>
                <w:kern w:val="0"/>
                <w:sz w:val="24"/>
                <w:lang w:bidi="ar"/>
              </w:rPr>
              <w:t>（3）限制运输车辆的行驶速度，场地内行车速度不得超过15km/h；</w:t>
            </w:r>
          </w:p>
          <w:p w14:paraId="5FD766B5">
            <w:pPr>
              <w:widowControl/>
              <w:spacing w:line="360" w:lineRule="auto"/>
              <w:ind w:firstLine="480" w:firstLineChars="200"/>
              <w:jc w:val="left"/>
              <w:rPr>
                <w:color w:val="auto"/>
                <w:kern w:val="0"/>
                <w:sz w:val="24"/>
                <w:lang w:bidi="ar"/>
              </w:rPr>
            </w:pPr>
            <w:r>
              <w:rPr>
                <w:rFonts w:hint="eastAsia"/>
                <w:color w:val="auto"/>
                <w:kern w:val="0"/>
                <w:sz w:val="24"/>
                <w:lang w:bidi="ar"/>
              </w:rPr>
              <w:t>（4）</w:t>
            </w:r>
            <w:r>
              <w:rPr>
                <w:rFonts w:hint="eastAsia"/>
                <w:color w:val="auto"/>
                <w:kern w:val="0"/>
                <w:sz w:val="24"/>
                <w:lang w:val="en-US" w:eastAsia="zh-CN" w:bidi="ar"/>
              </w:rPr>
              <w:t>拉运设备</w:t>
            </w:r>
            <w:r>
              <w:rPr>
                <w:rFonts w:hint="eastAsia"/>
                <w:color w:val="auto"/>
                <w:kern w:val="0"/>
                <w:sz w:val="24"/>
                <w:lang w:bidi="ar"/>
              </w:rPr>
              <w:t>覆盖存放，大风季节严禁施工；</w:t>
            </w:r>
          </w:p>
          <w:p w14:paraId="47EF652F">
            <w:pPr>
              <w:widowControl/>
              <w:spacing w:line="360" w:lineRule="auto"/>
              <w:ind w:firstLine="480" w:firstLineChars="200"/>
              <w:jc w:val="left"/>
              <w:rPr>
                <w:color w:val="auto"/>
                <w:kern w:val="0"/>
                <w:sz w:val="24"/>
                <w:lang w:bidi="ar"/>
              </w:rPr>
            </w:pPr>
            <w:r>
              <w:rPr>
                <w:rFonts w:hint="eastAsia"/>
                <w:color w:val="auto"/>
                <w:kern w:val="0"/>
                <w:sz w:val="24"/>
                <w:lang w:bidi="ar"/>
              </w:rPr>
              <w:t>（5）定期对汽车进行检修和保养，确保车辆在良好工作状态；</w:t>
            </w:r>
          </w:p>
          <w:p w14:paraId="46099850">
            <w:pPr>
              <w:widowControl/>
              <w:spacing w:line="360" w:lineRule="auto"/>
              <w:ind w:firstLine="480" w:firstLineChars="200"/>
              <w:jc w:val="left"/>
              <w:rPr>
                <w:color w:val="auto"/>
                <w:kern w:val="0"/>
                <w:sz w:val="24"/>
                <w:lang w:bidi="ar"/>
              </w:rPr>
            </w:pPr>
            <w:r>
              <w:rPr>
                <w:rFonts w:hint="eastAsia"/>
                <w:color w:val="auto"/>
                <w:kern w:val="0"/>
                <w:sz w:val="24"/>
                <w:lang w:bidi="ar"/>
              </w:rPr>
              <w:t>通过采取上述措施，可有效减轻无组织排放粉尘和二次扬尘的产生，降低施工期扬尘对大气环境的影响，且施工期扬尘对大气环境的影响是短暂的，随着施工期的结束而消失。</w:t>
            </w:r>
          </w:p>
          <w:p w14:paraId="53FA80FF">
            <w:pPr>
              <w:widowControl/>
              <w:spacing w:line="360" w:lineRule="auto"/>
              <w:ind w:left="420" w:leftChars="200"/>
              <w:jc w:val="left"/>
              <w:rPr>
                <w:rFonts w:hint="eastAsia"/>
                <w:color w:val="auto"/>
                <w:kern w:val="0"/>
                <w:sz w:val="24"/>
                <w:lang w:bidi="ar"/>
              </w:rPr>
            </w:pPr>
            <w:r>
              <w:rPr>
                <w:rFonts w:hint="eastAsia"/>
                <w:color w:val="auto"/>
                <w:kern w:val="0"/>
                <w:sz w:val="24"/>
                <w:lang w:bidi="ar"/>
              </w:rPr>
              <w:t>2、施工期水环境保护措施</w:t>
            </w:r>
          </w:p>
          <w:p w14:paraId="4AB1283A">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0"/>
                <w:sz w:val="24"/>
                <w:lang w:bidi="ar"/>
              </w:rPr>
            </w:pPr>
            <w:r>
              <w:rPr>
                <w:rFonts w:hint="eastAsia" w:ascii="Times New Roman" w:hAnsi="Times New Roman" w:eastAsia="宋体" w:cs="Times New Roman"/>
                <w:color w:val="auto"/>
                <w:kern w:val="0"/>
                <w:sz w:val="24"/>
                <w:lang w:bidi="ar"/>
              </w:rPr>
              <w:t>施工期生活污水：施工人员为当地施工队伍，项目工程量较小，施工人员亦较少，施工期生活污水</w:t>
            </w:r>
            <w:r>
              <w:rPr>
                <w:rFonts w:hint="eastAsia" w:ascii="Times New Roman" w:hAnsi="Times New Roman" w:eastAsia="宋体" w:cs="Times New Roman"/>
                <w:color w:val="auto"/>
                <w:kern w:val="0"/>
                <w:sz w:val="24"/>
                <w:lang w:val="en-US" w:eastAsia="zh-CN" w:bidi="ar"/>
              </w:rPr>
              <w:t>经公用卫生间排入园区化粪池处理后，接管排入</w:t>
            </w:r>
            <w:r>
              <w:rPr>
                <w:rFonts w:hint="eastAsia" w:cs="Times New Roman"/>
                <w:color w:val="auto"/>
                <w:kern w:val="0"/>
                <w:sz w:val="24"/>
                <w:lang w:val="en-US" w:eastAsia="zh-CN" w:bidi="ar"/>
              </w:rPr>
              <w:t>内蒙古天河水务有限公司</w:t>
            </w:r>
            <w:r>
              <w:rPr>
                <w:rFonts w:hint="eastAsia" w:ascii="Times New Roman" w:hAnsi="Times New Roman" w:eastAsia="宋体" w:cs="Times New Roman"/>
                <w:color w:val="auto"/>
                <w:kern w:val="0"/>
                <w:sz w:val="24"/>
                <w:lang w:val="en-US" w:eastAsia="zh-CN" w:bidi="ar"/>
              </w:rPr>
              <w:t>进一步处理。</w:t>
            </w:r>
          </w:p>
          <w:p w14:paraId="7F2804FB">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auto"/>
                <w:kern w:val="0"/>
                <w:sz w:val="24"/>
                <w:lang w:bidi="ar"/>
              </w:rPr>
            </w:pPr>
            <w:r>
              <w:rPr>
                <w:rFonts w:hint="eastAsia" w:ascii="Times New Roman" w:hAnsi="Times New Roman" w:eastAsia="宋体" w:cs="Times New Roman"/>
                <w:color w:val="auto"/>
                <w:kern w:val="0"/>
                <w:sz w:val="24"/>
                <w:lang w:bidi="ar"/>
              </w:rPr>
              <w:t>施工生产废水：施工生产废水主要是含泥浆或沙石的工程废水，该部分废水中的主要污染物为SS。根据废水特征，在施工场地内可设置装配式沉淀池，对收集的施工生产废水进行简单沉淀处理，处理水首先回用于施工生产，其余用于施工现场、临时堆场的洒水降尘，不外排，采取上述措施后对周围水环境影响较小。</w:t>
            </w:r>
          </w:p>
          <w:p w14:paraId="086E5D8A">
            <w:pPr>
              <w:widowControl/>
              <w:spacing w:line="360" w:lineRule="auto"/>
              <w:ind w:left="420" w:leftChars="200"/>
              <w:jc w:val="left"/>
              <w:rPr>
                <w:color w:val="auto"/>
                <w:kern w:val="0"/>
                <w:sz w:val="24"/>
                <w:lang w:bidi="ar"/>
              </w:rPr>
            </w:pPr>
            <w:r>
              <w:rPr>
                <w:color w:val="auto"/>
                <w:kern w:val="0"/>
                <w:sz w:val="24"/>
                <w:lang w:bidi="ar"/>
              </w:rPr>
              <w:t>3</w:t>
            </w:r>
            <w:r>
              <w:rPr>
                <w:rFonts w:hint="eastAsia"/>
                <w:color w:val="auto"/>
                <w:kern w:val="0"/>
                <w:sz w:val="24"/>
                <w:lang w:bidi="ar"/>
              </w:rPr>
              <w:t>、施工期声环境保护措施</w:t>
            </w:r>
          </w:p>
          <w:p w14:paraId="24E325DB">
            <w:pPr>
              <w:spacing w:line="360" w:lineRule="auto"/>
              <w:ind w:firstLine="480" w:firstLineChars="200"/>
              <w:rPr>
                <w:rFonts w:ascii="Times New Roman" w:hAnsi="Times New Roman" w:eastAsia="宋体" w:cs="Times New Roman"/>
                <w:color w:val="auto"/>
                <w:kern w:val="0"/>
                <w:sz w:val="24"/>
                <w:lang w:bidi="ar"/>
              </w:rPr>
            </w:pPr>
            <w:r>
              <w:rPr>
                <w:color w:val="auto"/>
                <w:kern w:val="0"/>
                <w:sz w:val="24"/>
                <w:lang w:bidi="ar"/>
              </w:rPr>
              <w:t>根据工程分析，</w:t>
            </w:r>
            <w:r>
              <w:rPr>
                <w:rFonts w:hint="eastAsia" w:ascii="Times New Roman" w:hAnsi="Times New Roman" w:eastAsia="宋体" w:cs="Times New Roman"/>
                <w:color w:val="auto"/>
                <w:kern w:val="0"/>
                <w:sz w:val="24"/>
                <w:lang w:bidi="ar"/>
              </w:rPr>
              <w:t>施工期的噪声源主要为设备安装和车辆，</w:t>
            </w:r>
            <w:r>
              <w:rPr>
                <w:rFonts w:ascii="Times New Roman" w:hAnsi="Times New Roman" w:eastAsia="宋体" w:cs="Times New Roman"/>
                <w:color w:val="auto"/>
                <w:kern w:val="0"/>
                <w:sz w:val="24"/>
                <w:lang w:bidi="ar"/>
              </w:rPr>
              <w:t>噪声源强</w:t>
            </w:r>
            <w:r>
              <w:rPr>
                <w:rFonts w:hint="eastAsia" w:ascii="Times New Roman" w:hAnsi="Times New Roman" w:eastAsia="宋体" w:cs="Times New Roman"/>
                <w:color w:val="auto"/>
                <w:kern w:val="0"/>
                <w:sz w:val="24"/>
                <w:lang w:bidi="ar"/>
              </w:rPr>
              <w:t>5m处噪声值在75-95dB(A)</w:t>
            </w:r>
            <w:r>
              <w:rPr>
                <w:rFonts w:ascii="Times New Roman" w:hAnsi="Times New Roman" w:eastAsia="宋体" w:cs="Times New Roman"/>
                <w:color w:val="auto"/>
                <w:kern w:val="0"/>
                <w:sz w:val="24"/>
                <w:lang w:bidi="ar"/>
              </w:rPr>
              <w:t>之间，</w:t>
            </w:r>
            <w:r>
              <w:rPr>
                <w:rFonts w:hint="eastAsia" w:ascii="Times New Roman" w:hAnsi="Times New Roman" w:eastAsia="宋体" w:cs="Times New Roman"/>
                <w:color w:val="auto"/>
                <w:kern w:val="0"/>
                <w:sz w:val="24"/>
                <w:lang w:bidi="ar"/>
              </w:rPr>
              <w:t>特点为暂时的短期间歇性行为，无规律性，为减少噪声对周围企业的影响，施工单位及建设单位应采取以下减缓措施</w:t>
            </w:r>
            <w:r>
              <w:rPr>
                <w:rFonts w:hint="eastAsia" w:ascii="Times New Roman" w:hAnsi="Times New Roman" w:eastAsia="宋体" w:cs="Times New Roman"/>
                <w:color w:val="auto"/>
                <w:kern w:val="0"/>
                <w:sz w:val="24"/>
                <w:lang w:eastAsia="zh-CN" w:bidi="ar"/>
              </w:rPr>
              <w:t>：</w:t>
            </w:r>
          </w:p>
          <w:p w14:paraId="36EA68F9">
            <w:pPr>
              <w:widowControl/>
              <w:spacing w:line="360" w:lineRule="auto"/>
              <w:ind w:firstLine="480" w:firstLineChars="200"/>
              <w:jc w:val="left"/>
              <w:rPr>
                <w:rFonts w:hint="eastAsia" w:ascii="Times New Roman" w:hAnsi="Times New Roman" w:eastAsia="宋体" w:cs="Times New Roman"/>
                <w:color w:val="auto"/>
                <w:kern w:val="0"/>
                <w:sz w:val="24"/>
                <w:lang w:bidi="ar"/>
              </w:rPr>
            </w:pPr>
            <w:r>
              <w:rPr>
                <w:rFonts w:hint="eastAsia" w:ascii="Times New Roman" w:hAnsi="Times New Roman" w:eastAsia="宋体" w:cs="Times New Roman"/>
                <w:color w:val="auto"/>
                <w:kern w:val="0"/>
                <w:sz w:val="24"/>
                <w:lang w:val="en-US" w:eastAsia="zh-CN" w:bidi="ar"/>
              </w:rPr>
              <w:t>①</w:t>
            </w:r>
            <w:r>
              <w:rPr>
                <w:rFonts w:hint="eastAsia" w:ascii="Times New Roman" w:hAnsi="Times New Roman" w:eastAsia="宋体" w:cs="Times New Roman"/>
                <w:color w:val="auto"/>
                <w:kern w:val="0"/>
                <w:sz w:val="24"/>
                <w:lang w:bidi="ar"/>
              </w:rPr>
              <w:t>设备安装在车间内进行，安装设备时保证车间门窗关闭，降低噪声源强。</w:t>
            </w:r>
          </w:p>
          <w:p w14:paraId="49DF0CF9">
            <w:pPr>
              <w:widowControl/>
              <w:spacing w:line="360" w:lineRule="auto"/>
              <w:ind w:firstLine="480" w:firstLineChars="200"/>
              <w:jc w:val="left"/>
              <w:rPr>
                <w:rFonts w:hint="eastAsia" w:ascii="Times New Roman" w:hAnsi="Times New Roman" w:eastAsia="宋体" w:cs="Times New Roman"/>
                <w:color w:val="auto"/>
                <w:kern w:val="0"/>
                <w:sz w:val="24"/>
                <w:lang w:bidi="ar"/>
              </w:rPr>
            </w:pPr>
            <w:r>
              <w:rPr>
                <w:rFonts w:hint="eastAsia" w:ascii="Times New Roman" w:hAnsi="Times New Roman" w:eastAsia="宋体" w:cs="Times New Roman"/>
                <w:color w:val="auto"/>
                <w:kern w:val="0"/>
                <w:sz w:val="24"/>
                <w:lang w:val="en-US" w:eastAsia="zh-CN" w:bidi="ar"/>
              </w:rPr>
              <w:t>②</w:t>
            </w:r>
            <w:r>
              <w:rPr>
                <w:rFonts w:hint="eastAsia" w:ascii="Times New Roman" w:hAnsi="Times New Roman" w:eastAsia="宋体" w:cs="Times New Roman"/>
                <w:color w:val="auto"/>
                <w:kern w:val="0"/>
                <w:sz w:val="24"/>
                <w:lang w:bidi="ar"/>
              </w:rPr>
              <w:t>工场地的施工车辆出入现场时应低速、禁鸣。</w:t>
            </w:r>
          </w:p>
          <w:p w14:paraId="1DCD7036">
            <w:pPr>
              <w:widowControl/>
              <w:spacing w:line="360" w:lineRule="auto"/>
              <w:ind w:firstLine="480" w:firstLineChars="200"/>
              <w:jc w:val="left"/>
              <w:rPr>
                <w:rFonts w:hint="eastAsia" w:ascii="Times New Roman" w:hAnsi="Times New Roman" w:eastAsia="宋体" w:cs="Times New Roman"/>
                <w:color w:val="auto"/>
                <w:kern w:val="0"/>
                <w:sz w:val="24"/>
                <w:lang w:val="en-US" w:eastAsia="zh-CN" w:bidi="ar"/>
              </w:rPr>
            </w:pPr>
            <w:r>
              <w:rPr>
                <w:rFonts w:hint="eastAsia" w:cs="Times New Roman"/>
                <w:color w:val="auto"/>
                <w:kern w:val="0"/>
                <w:sz w:val="24"/>
                <w:lang w:val="en-US" w:eastAsia="zh-CN" w:bidi="ar"/>
              </w:rPr>
              <w:t>③选用低噪声设备，同时在施工过程中施工单位设专人对设备进行定期保养和维护，严格按操作规范使用各类机械。</w:t>
            </w:r>
          </w:p>
          <w:p w14:paraId="2A49B2EF">
            <w:pPr>
              <w:widowControl/>
              <w:spacing w:line="360" w:lineRule="auto"/>
              <w:ind w:firstLine="480" w:firstLineChars="200"/>
              <w:jc w:val="left"/>
              <w:rPr>
                <w:color w:val="auto"/>
                <w:kern w:val="0"/>
                <w:sz w:val="24"/>
                <w:lang w:bidi="ar"/>
              </w:rPr>
            </w:pPr>
            <w:r>
              <w:rPr>
                <w:color w:val="auto"/>
                <w:kern w:val="0"/>
                <w:sz w:val="24"/>
                <w:lang w:bidi="ar"/>
              </w:rPr>
              <w:t>综上所述，施工期间</w:t>
            </w:r>
            <w:r>
              <w:rPr>
                <w:rFonts w:hint="eastAsia"/>
                <w:color w:val="auto"/>
                <w:kern w:val="0"/>
                <w:sz w:val="24"/>
                <w:lang w:val="en-US" w:eastAsia="zh-CN" w:bidi="ar"/>
              </w:rPr>
              <w:t>上述</w:t>
            </w:r>
            <w:r>
              <w:rPr>
                <w:color w:val="auto"/>
                <w:kern w:val="0"/>
                <w:sz w:val="24"/>
                <w:lang w:bidi="ar"/>
              </w:rPr>
              <w:t>措施后施工厂界噪声满足</w:t>
            </w:r>
            <w:r>
              <w:rPr>
                <w:rFonts w:hint="eastAsia"/>
                <w:color w:val="auto"/>
                <w:kern w:val="0"/>
                <w:sz w:val="24"/>
                <w:lang w:bidi="ar"/>
              </w:rPr>
              <w:t>《建筑施工噪声排放标准》（GB12523-2025）</w:t>
            </w:r>
            <w:r>
              <w:rPr>
                <w:color w:val="auto"/>
                <w:kern w:val="0"/>
                <w:sz w:val="24"/>
                <w:lang w:bidi="ar"/>
              </w:rPr>
              <w:t>所规定的噪声标准的要求</w:t>
            </w:r>
          </w:p>
          <w:p w14:paraId="68624C1F">
            <w:pPr>
              <w:widowControl/>
              <w:spacing w:line="360" w:lineRule="auto"/>
              <w:ind w:left="420" w:leftChars="200"/>
              <w:jc w:val="left"/>
              <w:rPr>
                <w:color w:val="auto"/>
                <w:kern w:val="0"/>
                <w:sz w:val="24"/>
                <w:lang w:bidi="ar"/>
              </w:rPr>
            </w:pPr>
            <w:r>
              <w:rPr>
                <w:color w:val="auto"/>
                <w:kern w:val="0"/>
                <w:sz w:val="24"/>
                <w:lang w:bidi="ar"/>
              </w:rPr>
              <w:t>4</w:t>
            </w:r>
            <w:r>
              <w:rPr>
                <w:rFonts w:hint="eastAsia"/>
                <w:color w:val="auto"/>
                <w:kern w:val="0"/>
                <w:sz w:val="24"/>
                <w:lang w:bidi="ar"/>
              </w:rPr>
              <w:t>、施工期固体废物污染防治措施</w:t>
            </w:r>
          </w:p>
          <w:p w14:paraId="6274DEE3">
            <w:pPr>
              <w:pStyle w:val="19"/>
              <w:spacing w:before="0" w:beforeAutospacing="0" w:after="0" w:afterAutospacing="0" w:line="360" w:lineRule="auto"/>
              <w:ind w:firstLine="480" w:firstLineChars="200"/>
              <w:jc w:val="both"/>
              <w:outlineLvl w:val="0"/>
              <w:rPr>
                <w:rFonts w:hint="eastAsia" w:ascii="Times New Roman" w:hAnsi="Times New Roman" w:eastAsia="宋体" w:cs="Times New Roman"/>
                <w:color w:val="auto"/>
                <w:kern w:val="2"/>
                <w:szCs w:val="24"/>
              </w:rPr>
            </w:pPr>
            <w:r>
              <w:rPr>
                <w:rFonts w:hint="eastAsia" w:ascii="Times New Roman" w:hAnsi="Times New Roman" w:eastAsia="宋体" w:cs="Times New Roman"/>
                <w:color w:val="auto"/>
                <w:kern w:val="2"/>
                <w:szCs w:val="24"/>
              </w:rPr>
              <w:t>施工期产生的固体废物主要为施工过程</w:t>
            </w:r>
            <w:r>
              <w:rPr>
                <w:rFonts w:hint="eastAsia" w:ascii="Times New Roman" w:hAnsi="Times New Roman" w:cs="Times New Roman"/>
                <w:color w:val="auto"/>
                <w:kern w:val="2"/>
                <w:szCs w:val="24"/>
                <w:lang w:val="en-US" w:eastAsia="zh-CN"/>
              </w:rPr>
              <w:t>及设备安装过程中</w:t>
            </w:r>
            <w:r>
              <w:rPr>
                <w:rFonts w:hint="eastAsia" w:ascii="Times New Roman" w:hAnsi="Times New Roman" w:eastAsia="宋体" w:cs="Times New Roman"/>
                <w:color w:val="auto"/>
                <w:kern w:val="2"/>
                <w:szCs w:val="24"/>
              </w:rPr>
              <w:t>产生的剩余废物料</w:t>
            </w:r>
            <w:r>
              <w:rPr>
                <w:rFonts w:hint="eastAsia" w:ascii="Times New Roman" w:hAnsi="Times New Roman" w:cs="Times New Roman"/>
                <w:color w:val="auto"/>
                <w:kern w:val="2"/>
                <w:szCs w:val="24"/>
                <w:lang w:val="en-US" w:eastAsia="zh-CN"/>
              </w:rPr>
              <w:t>和少量</w:t>
            </w:r>
            <w:r>
              <w:rPr>
                <w:rFonts w:hint="eastAsia" w:ascii="Times New Roman" w:hAnsi="Times New Roman" w:eastAsia="宋体" w:cs="Times New Roman"/>
                <w:color w:val="auto"/>
                <w:kern w:val="2"/>
                <w:szCs w:val="24"/>
              </w:rPr>
              <w:t>建筑垃圾，生活垃圾主要为施工人员日常生活产生。</w:t>
            </w:r>
          </w:p>
          <w:p w14:paraId="09B61014">
            <w:pPr>
              <w:pStyle w:val="19"/>
              <w:spacing w:before="0" w:beforeAutospacing="0" w:after="0" w:afterAutospacing="0" w:line="360" w:lineRule="auto"/>
              <w:ind w:firstLine="480" w:firstLineChars="200"/>
              <w:jc w:val="both"/>
              <w:outlineLvl w:val="0"/>
              <w:rPr>
                <w:rFonts w:hint="eastAsia" w:ascii="Times New Roman" w:hAnsi="Times New Roman" w:eastAsia="宋体" w:cs="Times New Roman"/>
                <w:color w:val="auto"/>
                <w:kern w:val="2"/>
                <w:szCs w:val="24"/>
              </w:rPr>
            </w:pPr>
            <w:r>
              <w:rPr>
                <w:rFonts w:hint="eastAsia" w:ascii="Times New Roman" w:hAnsi="Times New Roman" w:eastAsia="宋体" w:cs="Times New Roman"/>
                <w:color w:val="auto"/>
                <w:kern w:val="2"/>
                <w:szCs w:val="24"/>
              </w:rPr>
              <w:t>设备安装产生的</w:t>
            </w:r>
            <w:r>
              <w:rPr>
                <w:rFonts w:hint="eastAsia" w:ascii="Times New Roman" w:hAnsi="Times New Roman" w:eastAsia="宋体" w:cs="Times New Roman"/>
                <w:color w:val="auto"/>
                <w:kern w:val="2"/>
                <w:szCs w:val="24"/>
                <w:lang w:val="en-US" w:eastAsia="zh-CN"/>
              </w:rPr>
              <w:t>固体废物</w:t>
            </w:r>
            <w:r>
              <w:rPr>
                <w:rFonts w:hint="eastAsia" w:ascii="Times New Roman" w:hAnsi="Times New Roman" w:eastAsia="宋体" w:cs="Times New Roman"/>
                <w:color w:val="auto"/>
                <w:kern w:val="2"/>
                <w:szCs w:val="24"/>
              </w:rPr>
              <w:t>主要为设备包装、线缆等，均作为</w:t>
            </w:r>
            <w:r>
              <w:rPr>
                <w:rFonts w:hint="eastAsia" w:ascii="Times New Roman" w:hAnsi="Times New Roman" w:eastAsia="宋体" w:cs="Times New Roman"/>
                <w:color w:val="auto"/>
                <w:kern w:val="2"/>
                <w:szCs w:val="24"/>
                <w:lang w:val="en-US" w:eastAsia="zh-CN"/>
              </w:rPr>
              <w:t>一般固废</w:t>
            </w:r>
            <w:r>
              <w:rPr>
                <w:rFonts w:hint="eastAsia" w:ascii="Times New Roman" w:hAnsi="Times New Roman" w:eastAsia="宋体" w:cs="Times New Roman"/>
                <w:color w:val="auto"/>
                <w:kern w:val="2"/>
                <w:szCs w:val="24"/>
              </w:rPr>
              <w:t>外售，否则会对周围环境造成影响</w:t>
            </w:r>
            <w:r>
              <w:rPr>
                <w:rFonts w:hint="eastAsia" w:ascii="Times New Roman" w:hAnsi="Times New Roman" w:eastAsia="宋体" w:cs="Times New Roman"/>
                <w:color w:val="auto"/>
                <w:kern w:val="2"/>
                <w:szCs w:val="24"/>
                <w:lang w:eastAsia="zh-CN"/>
              </w:rPr>
              <w:t>；</w:t>
            </w:r>
            <w:r>
              <w:rPr>
                <w:rFonts w:hint="eastAsia" w:ascii="Times New Roman" w:hAnsi="Times New Roman" w:eastAsia="宋体" w:cs="Times New Roman"/>
                <w:color w:val="auto"/>
                <w:kern w:val="2"/>
                <w:szCs w:val="24"/>
              </w:rPr>
              <w:t>建筑垃圾</w:t>
            </w:r>
            <w:r>
              <w:rPr>
                <w:rFonts w:hint="eastAsia" w:ascii="Times New Roman" w:hAnsi="Times New Roman" w:cs="Times New Roman"/>
                <w:color w:val="auto"/>
                <w:kern w:val="2"/>
                <w:szCs w:val="24"/>
                <w:lang w:val="en-US" w:eastAsia="zh-CN"/>
              </w:rPr>
              <w:t>运</w:t>
            </w:r>
            <w:r>
              <w:rPr>
                <w:rFonts w:hint="eastAsia" w:ascii="Times New Roman" w:hAnsi="Times New Roman" w:eastAsia="宋体" w:cs="Times New Roman"/>
                <w:color w:val="auto"/>
                <w:kern w:val="2"/>
                <w:szCs w:val="24"/>
              </w:rPr>
              <w:t>送至环卫部门指定的建筑垃圾处置场地</w:t>
            </w:r>
            <w:r>
              <w:rPr>
                <w:rFonts w:hint="eastAsia" w:ascii="Times New Roman" w:hAnsi="Times New Roman" w:eastAsia="宋体" w:cs="Times New Roman"/>
                <w:color w:val="auto"/>
                <w:kern w:val="2"/>
                <w:szCs w:val="24"/>
                <w:lang w:eastAsia="zh-CN"/>
              </w:rPr>
              <w:t>；</w:t>
            </w:r>
            <w:r>
              <w:rPr>
                <w:rFonts w:hint="eastAsia" w:ascii="Times New Roman" w:hAnsi="Times New Roman" w:eastAsia="宋体" w:cs="Times New Roman"/>
                <w:color w:val="auto"/>
                <w:kern w:val="2"/>
                <w:szCs w:val="24"/>
                <w:lang w:val="en-US" w:eastAsia="zh-CN"/>
              </w:rPr>
              <w:t>一期施工过程中施工人员约10人，施工期2个月，以每人0.5kg/d计，施工期生活垃圾共计0.3t，统一收集后清运处理；二期施工人员约10人，施工期1个月，以每人0.5kg/d计，施工期生活垃圾共计</w:t>
            </w:r>
            <w:r>
              <w:rPr>
                <w:rFonts w:hint="eastAsia" w:ascii="Times New Roman" w:hAnsi="Times New Roman" w:cs="Times New Roman"/>
                <w:color w:val="auto"/>
                <w:kern w:val="2"/>
                <w:szCs w:val="24"/>
                <w:lang w:val="en-US" w:eastAsia="zh-CN"/>
              </w:rPr>
              <w:t>0.15</w:t>
            </w:r>
            <w:r>
              <w:rPr>
                <w:rFonts w:hint="eastAsia" w:ascii="Times New Roman" w:hAnsi="Times New Roman" w:eastAsia="宋体" w:cs="Times New Roman"/>
                <w:color w:val="auto"/>
                <w:kern w:val="2"/>
                <w:szCs w:val="24"/>
                <w:lang w:val="en-US" w:eastAsia="zh-CN"/>
              </w:rPr>
              <w:t>t，统一收集后清运处理。施工期固体废物合理处置，对周围环境影响较小。</w:t>
            </w:r>
          </w:p>
          <w:p w14:paraId="52D9D81F">
            <w:pPr>
              <w:spacing w:line="360" w:lineRule="auto"/>
              <w:ind w:firstLine="480" w:firstLineChars="200"/>
              <w:rPr>
                <w:rFonts w:hint="eastAsia" w:ascii="Times New Roman" w:hAnsi="Times New Roman"/>
                <w:color w:val="auto"/>
                <w:kern w:val="2"/>
                <w:szCs w:val="24"/>
              </w:rPr>
            </w:pPr>
            <w:r>
              <w:rPr>
                <w:rFonts w:hint="eastAsia" w:ascii="Times New Roman" w:hAnsi="Times New Roman" w:eastAsia="宋体" w:cs="Times New Roman"/>
                <w:color w:val="auto"/>
                <w:kern w:val="2"/>
                <w:sz w:val="24"/>
                <w:szCs w:val="24"/>
                <w:lang w:val="en-US" w:eastAsia="zh-CN" w:bidi="ar-SA"/>
              </w:rPr>
              <w:t>本项目在现有厂房进行生产，只需进行厂房空间规划和生产设备的安装，无需生产车间的建设，无大的土建工程量，主要污染源为噪声、扬尘、固体废物，对环境影响较小，随着施工期结束，影响因素也将消失。</w:t>
            </w:r>
          </w:p>
        </w:tc>
      </w:tr>
      <w:tr w14:paraId="1481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0B51AD22">
            <w:pPr>
              <w:adjustRightInd w:val="0"/>
              <w:snapToGrid w:val="0"/>
              <w:jc w:val="center"/>
              <w:rPr>
                <w:rFonts w:hint="eastAsia" w:ascii="宋体" w:hAnsi="宋体" w:cs="宋体"/>
                <w:bCs/>
                <w:color w:val="auto"/>
                <w:szCs w:val="21"/>
              </w:rPr>
            </w:pPr>
            <w:r>
              <w:rPr>
                <w:rFonts w:hint="eastAsia" w:ascii="宋体" w:hAnsi="宋体" w:cs="宋体"/>
                <w:bCs/>
                <w:color w:val="auto"/>
                <w:szCs w:val="21"/>
              </w:rPr>
              <w:t>运营</w:t>
            </w:r>
          </w:p>
          <w:p w14:paraId="7DFD355B">
            <w:pPr>
              <w:adjustRightInd w:val="0"/>
              <w:snapToGrid w:val="0"/>
              <w:jc w:val="center"/>
              <w:rPr>
                <w:rFonts w:hint="eastAsia" w:ascii="宋体" w:hAnsi="宋体" w:cs="宋体"/>
                <w:bCs/>
                <w:color w:val="auto"/>
                <w:szCs w:val="21"/>
              </w:rPr>
            </w:pPr>
            <w:r>
              <w:rPr>
                <w:rFonts w:hint="eastAsia" w:ascii="宋体" w:hAnsi="宋体" w:cs="宋体"/>
                <w:bCs/>
                <w:color w:val="auto"/>
                <w:szCs w:val="21"/>
              </w:rPr>
              <w:t>期环</w:t>
            </w:r>
          </w:p>
          <w:p w14:paraId="55FC4204">
            <w:pPr>
              <w:adjustRightInd w:val="0"/>
              <w:snapToGrid w:val="0"/>
              <w:jc w:val="center"/>
              <w:rPr>
                <w:rFonts w:hint="eastAsia" w:ascii="宋体" w:hAnsi="宋体" w:cs="宋体"/>
                <w:bCs/>
                <w:color w:val="auto"/>
                <w:szCs w:val="21"/>
              </w:rPr>
            </w:pPr>
            <w:r>
              <w:rPr>
                <w:rFonts w:hint="eastAsia" w:ascii="宋体" w:hAnsi="宋体" w:cs="宋体"/>
                <w:bCs/>
                <w:color w:val="auto"/>
                <w:szCs w:val="21"/>
              </w:rPr>
              <w:t>境影</w:t>
            </w:r>
          </w:p>
          <w:p w14:paraId="6929B7CF">
            <w:pPr>
              <w:adjustRightInd w:val="0"/>
              <w:snapToGrid w:val="0"/>
              <w:jc w:val="center"/>
              <w:rPr>
                <w:rFonts w:hint="eastAsia" w:ascii="宋体" w:hAnsi="宋体" w:cs="宋体"/>
                <w:bCs/>
                <w:color w:val="auto"/>
                <w:szCs w:val="21"/>
              </w:rPr>
            </w:pPr>
            <w:r>
              <w:rPr>
                <w:rFonts w:hint="eastAsia" w:ascii="宋体" w:hAnsi="宋体" w:cs="宋体"/>
                <w:bCs/>
                <w:color w:val="auto"/>
                <w:szCs w:val="21"/>
              </w:rPr>
              <w:t>响和</w:t>
            </w:r>
          </w:p>
          <w:p w14:paraId="73599D31">
            <w:pPr>
              <w:adjustRightInd w:val="0"/>
              <w:snapToGrid w:val="0"/>
              <w:jc w:val="center"/>
              <w:rPr>
                <w:rFonts w:hint="eastAsia" w:ascii="宋体" w:hAnsi="宋体" w:cs="宋体"/>
                <w:bCs/>
                <w:color w:val="auto"/>
                <w:szCs w:val="21"/>
              </w:rPr>
            </w:pPr>
            <w:r>
              <w:rPr>
                <w:rFonts w:hint="eastAsia" w:ascii="宋体" w:hAnsi="宋体" w:cs="宋体"/>
                <w:bCs/>
                <w:color w:val="auto"/>
                <w:szCs w:val="21"/>
              </w:rPr>
              <w:t>保护</w:t>
            </w:r>
          </w:p>
          <w:p w14:paraId="63C235F4">
            <w:pPr>
              <w:pStyle w:val="19"/>
              <w:spacing w:before="0" w:beforeAutospacing="0" w:after="0" w:afterAutospacing="0"/>
              <w:jc w:val="center"/>
              <w:outlineLvl w:val="0"/>
              <w:rPr>
                <w:rFonts w:hint="eastAsia" w:cs="宋体"/>
                <w:bCs/>
                <w:color w:val="auto"/>
                <w:szCs w:val="21"/>
              </w:rPr>
            </w:pPr>
            <w:r>
              <w:rPr>
                <w:rFonts w:hint="eastAsia" w:cs="宋体"/>
                <w:bCs/>
                <w:color w:val="auto"/>
                <w:sz w:val="21"/>
                <w:szCs w:val="21"/>
              </w:rPr>
              <w:t>措施</w:t>
            </w:r>
          </w:p>
        </w:tc>
        <w:tc>
          <w:tcPr>
            <w:tcW w:w="8624" w:type="dxa"/>
          </w:tcPr>
          <w:p w14:paraId="55370C47">
            <w:pPr>
              <w:pStyle w:val="19"/>
              <w:spacing w:before="0" w:beforeAutospacing="0" w:after="0" w:afterAutospacing="0" w:line="360" w:lineRule="auto"/>
              <w:ind w:firstLine="482" w:firstLineChars="200"/>
              <w:outlineLvl w:val="0"/>
              <w:rPr>
                <w:rFonts w:hint="eastAsia" w:ascii="Times New Roman" w:hAnsi="Times New Roman"/>
                <w:color w:val="auto"/>
                <w:szCs w:val="24"/>
                <w:lang w:bidi="ar"/>
              </w:rPr>
            </w:pPr>
            <w:r>
              <w:rPr>
                <w:rFonts w:hint="default" w:ascii="Times New Roman" w:hAnsi="Times New Roman" w:cs="Times New Roman"/>
                <w:b/>
                <w:bCs/>
                <w:color w:val="auto"/>
                <w:szCs w:val="24"/>
                <w:lang w:val="en-US" w:eastAsia="zh-CN" w:bidi="ar"/>
              </w:rPr>
              <w:t>一</w:t>
            </w:r>
            <w:r>
              <w:rPr>
                <w:rFonts w:hint="default" w:ascii="Times New Roman" w:hAnsi="Times New Roman" w:cs="Times New Roman"/>
                <w:b/>
                <w:bCs/>
                <w:color w:val="auto"/>
                <w:szCs w:val="24"/>
                <w:lang w:bidi="ar"/>
              </w:rPr>
              <w:t>、废气环境影响分析</w:t>
            </w:r>
          </w:p>
          <w:p w14:paraId="26C7058D">
            <w:pPr>
              <w:pStyle w:val="19"/>
              <w:spacing w:before="0" w:beforeAutospacing="0" w:after="0" w:afterAutospacing="0" w:line="360" w:lineRule="auto"/>
              <w:ind w:firstLine="480" w:firstLineChars="200"/>
              <w:outlineLvl w:val="0"/>
              <w:rPr>
                <w:rFonts w:ascii="Times New Roman" w:hAnsi="Times New Roman"/>
                <w:color w:val="auto"/>
                <w:szCs w:val="24"/>
                <w:lang w:bidi="ar"/>
              </w:rPr>
            </w:pPr>
            <w:r>
              <w:rPr>
                <w:rFonts w:hint="eastAsia" w:ascii="Times New Roman" w:hAnsi="Times New Roman"/>
                <w:color w:val="auto"/>
                <w:szCs w:val="24"/>
                <w:lang w:bidi="ar"/>
              </w:rPr>
              <w:t>1.1 废气污染源核算及治理措施</w:t>
            </w:r>
          </w:p>
          <w:p w14:paraId="409AACA3">
            <w:pPr>
              <w:pStyle w:val="47"/>
              <w:spacing w:line="360" w:lineRule="auto"/>
              <w:ind w:firstLine="500" w:firstLineChars="200"/>
              <w:jc w:val="left"/>
              <w:rPr>
                <w:rFonts w:ascii="Times New Roman" w:hAnsi="Times New Roman" w:cs="Times New Roman"/>
                <w:color w:val="auto"/>
                <w:spacing w:val="5"/>
                <w:sz w:val="24"/>
                <w:szCs w:val="24"/>
                <w:lang w:eastAsia="zh-CN"/>
              </w:rPr>
            </w:pPr>
            <w:r>
              <w:rPr>
                <w:rFonts w:ascii="Times New Roman" w:hAnsi="Times New Roman" w:cs="Times New Roman"/>
                <w:color w:val="auto"/>
                <w:spacing w:val="5"/>
                <w:sz w:val="24"/>
                <w:szCs w:val="24"/>
                <w:lang w:eastAsia="zh-CN"/>
              </w:rPr>
              <w:t>1.</w:t>
            </w:r>
            <w:r>
              <w:rPr>
                <w:rFonts w:hint="eastAsia" w:ascii="Times New Roman" w:hAnsi="Times New Roman" w:cs="Times New Roman"/>
                <w:color w:val="auto"/>
                <w:spacing w:val="5"/>
                <w:sz w:val="24"/>
                <w:szCs w:val="24"/>
                <w:lang w:eastAsia="zh-CN"/>
              </w:rPr>
              <w:t xml:space="preserve">2 </w:t>
            </w:r>
            <w:r>
              <w:rPr>
                <w:rFonts w:ascii="Times New Roman" w:hAnsi="Times New Roman" w:cs="Times New Roman"/>
                <w:color w:val="auto"/>
                <w:spacing w:val="5"/>
                <w:sz w:val="24"/>
                <w:szCs w:val="24"/>
                <w:lang w:eastAsia="zh-CN"/>
              </w:rPr>
              <w:t>非正常情况分析</w:t>
            </w:r>
          </w:p>
          <w:p w14:paraId="571FE25C">
            <w:pPr>
              <w:pStyle w:val="47"/>
              <w:spacing w:line="360" w:lineRule="auto"/>
              <w:ind w:firstLine="500" w:firstLineChars="200"/>
              <w:jc w:val="left"/>
              <w:rPr>
                <w:rFonts w:ascii="Times New Roman" w:hAnsi="Times New Roman" w:cs="Times New Roman"/>
                <w:color w:val="auto"/>
                <w:spacing w:val="5"/>
                <w:sz w:val="24"/>
                <w:szCs w:val="24"/>
                <w:lang w:eastAsia="zh-CN"/>
              </w:rPr>
            </w:pPr>
            <w:r>
              <w:rPr>
                <w:rFonts w:hint="eastAsia" w:ascii="Times New Roman" w:hAnsi="Times New Roman" w:cs="Times New Roman"/>
                <w:color w:val="auto"/>
                <w:spacing w:val="5"/>
                <w:sz w:val="24"/>
                <w:szCs w:val="24"/>
                <w:lang w:eastAsia="zh-CN"/>
              </w:rPr>
              <w:t>非正常工况包括设备故障、污染物排放控制措施达不到应有效率、工艺设备运转异常等情况。</w:t>
            </w:r>
          </w:p>
          <w:p w14:paraId="1EEA3F9A">
            <w:pPr>
              <w:pStyle w:val="47"/>
              <w:spacing w:line="360" w:lineRule="auto"/>
              <w:ind w:firstLine="500" w:firstLineChars="200"/>
              <w:jc w:val="left"/>
              <w:rPr>
                <w:rFonts w:hint="eastAsia" w:ascii="Times New Roman" w:hAnsi="Times New Roman" w:cs="Times New Roman"/>
                <w:b/>
                <w:color w:val="auto"/>
                <w:kern w:val="0"/>
                <w:sz w:val="24"/>
                <w:lang w:eastAsia="zh-CN"/>
              </w:rPr>
            </w:pPr>
            <w:r>
              <w:rPr>
                <w:rFonts w:hint="eastAsia" w:ascii="Times New Roman" w:hAnsi="Times New Roman" w:cs="Times New Roman"/>
                <w:color w:val="auto"/>
                <w:spacing w:val="5"/>
                <w:sz w:val="24"/>
                <w:szCs w:val="24"/>
                <w:lang w:eastAsia="zh-CN"/>
              </w:rPr>
              <w:t>本项目环保设备发生故障时，</w:t>
            </w:r>
            <w:r>
              <w:rPr>
                <w:rFonts w:hint="eastAsia" w:ascii="Times New Roman" w:hAnsi="Times New Roman" w:cs="Times New Roman"/>
                <w:color w:val="auto"/>
                <w:spacing w:val="5"/>
                <w:sz w:val="24"/>
                <w:szCs w:val="24"/>
                <w:lang w:val="en-US" w:eastAsia="zh-CN"/>
              </w:rPr>
              <w:t>集气罩及处理设施均不工作</w:t>
            </w:r>
            <w:r>
              <w:rPr>
                <w:rFonts w:hint="eastAsia" w:ascii="Times New Roman" w:hAnsi="Times New Roman" w:cs="Times New Roman"/>
                <w:color w:val="auto"/>
                <w:spacing w:val="5"/>
                <w:sz w:val="24"/>
                <w:szCs w:val="24"/>
                <w:lang w:eastAsia="zh-CN"/>
              </w:rPr>
              <w:t>，项目非正常工况下废气排放情况汇总见下表。</w:t>
            </w:r>
          </w:p>
          <w:p w14:paraId="4518EEF2">
            <w:pPr>
              <w:pStyle w:val="47"/>
              <w:ind w:firstLine="482" w:firstLineChars="200"/>
              <w:jc w:val="center"/>
              <w:rPr>
                <w:rFonts w:ascii="Times New Roman" w:hAnsi="Times New Roman" w:cs="Times New Roman"/>
                <w:b/>
                <w:color w:val="auto"/>
                <w:kern w:val="0"/>
                <w:sz w:val="24"/>
                <w:lang w:eastAsia="zh-CN"/>
              </w:rPr>
            </w:pPr>
            <w:r>
              <w:rPr>
                <w:rFonts w:hint="eastAsia" w:ascii="Times New Roman" w:hAnsi="Times New Roman" w:cs="Times New Roman"/>
                <w:b/>
                <w:color w:val="auto"/>
                <w:kern w:val="0"/>
                <w:sz w:val="24"/>
                <w:lang w:eastAsia="zh-CN"/>
              </w:rPr>
              <w:t>表4-</w:t>
            </w:r>
            <w:r>
              <w:rPr>
                <w:rFonts w:hint="eastAsia" w:ascii="Times New Roman" w:hAnsi="Times New Roman" w:cs="Times New Roman"/>
                <w:b/>
                <w:color w:val="auto"/>
                <w:kern w:val="0"/>
                <w:sz w:val="24"/>
                <w:lang w:val="en-US" w:eastAsia="zh-CN"/>
              </w:rPr>
              <w:t>6</w:t>
            </w:r>
            <w:r>
              <w:rPr>
                <w:rFonts w:hint="eastAsia" w:ascii="Times New Roman" w:hAnsi="Times New Roman" w:cs="Times New Roman"/>
                <w:b/>
                <w:color w:val="auto"/>
                <w:kern w:val="0"/>
                <w:sz w:val="24"/>
                <w:lang w:eastAsia="zh-CN"/>
              </w:rPr>
              <w:t xml:space="preserve">    非正常工况下废气产排情况一览表</w:t>
            </w:r>
          </w:p>
          <w:tbl>
            <w:tblPr>
              <w:tblStyle w:val="23"/>
              <w:tblW w:w="8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
              <w:gridCol w:w="989"/>
              <w:gridCol w:w="716"/>
              <w:gridCol w:w="529"/>
              <w:gridCol w:w="840"/>
              <w:gridCol w:w="995"/>
              <w:gridCol w:w="830"/>
              <w:gridCol w:w="817"/>
              <w:gridCol w:w="745"/>
              <w:gridCol w:w="673"/>
              <w:gridCol w:w="860"/>
            </w:tblGrid>
            <w:tr w14:paraId="08A4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trPr>
              <w:tc>
                <w:tcPr>
                  <w:tcW w:w="381" w:type="dxa"/>
                  <w:vAlign w:val="center"/>
                </w:tcPr>
                <w:p w14:paraId="6A9561A3">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序号</w:t>
                  </w:r>
                </w:p>
              </w:tc>
              <w:tc>
                <w:tcPr>
                  <w:tcW w:w="989" w:type="dxa"/>
                  <w:vAlign w:val="center"/>
                </w:tcPr>
                <w:p w14:paraId="6ADD9906">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非正常排放源</w:t>
                  </w:r>
                </w:p>
              </w:tc>
              <w:tc>
                <w:tcPr>
                  <w:tcW w:w="716" w:type="dxa"/>
                  <w:vAlign w:val="center"/>
                </w:tcPr>
                <w:p w14:paraId="132C67A9">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非正常排放原因</w:t>
                  </w:r>
                </w:p>
              </w:tc>
              <w:tc>
                <w:tcPr>
                  <w:tcW w:w="529" w:type="dxa"/>
                  <w:vAlign w:val="center"/>
                </w:tcPr>
                <w:p w14:paraId="32A8EAB9">
                  <w:pPr>
                    <w:pStyle w:val="19"/>
                    <w:spacing w:before="0" w:beforeAutospacing="0" w:after="0" w:afterAutospacing="0"/>
                    <w:jc w:val="center"/>
                    <w:outlineLvl w:val="0"/>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期数</w:t>
                  </w:r>
                </w:p>
              </w:tc>
              <w:tc>
                <w:tcPr>
                  <w:tcW w:w="840" w:type="dxa"/>
                  <w:vAlign w:val="center"/>
                </w:tcPr>
                <w:p w14:paraId="1C72E6F8">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污染物种类</w:t>
                  </w:r>
                </w:p>
              </w:tc>
              <w:tc>
                <w:tcPr>
                  <w:tcW w:w="995" w:type="dxa"/>
                  <w:vAlign w:val="center"/>
                </w:tcPr>
                <w:p w14:paraId="3FBC48BC">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非正常工况下设备处理效率</w:t>
                  </w:r>
                </w:p>
              </w:tc>
              <w:tc>
                <w:tcPr>
                  <w:tcW w:w="830" w:type="dxa"/>
                  <w:vAlign w:val="center"/>
                </w:tcPr>
                <w:p w14:paraId="24FF6E0A">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非正常排放量t/a</w:t>
                  </w:r>
                </w:p>
              </w:tc>
              <w:tc>
                <w:tcPr>
                  <w:tcW w:w="817" w:type="dxa"/>
                  <w:vAlign w:val="center"/>
                </w:tcPr>
                <w:p w14:paraId="3B0BE98A">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非正常排放速率kg/h</w:t>
                  </w:r>
                </w:p>
              </w:tc>
              <w:tc>
                <w:tcPr>
                  <w:tcW w:w="745" w:type="dxa"/>
                  <w:vAlign w:val="center"/>
                </w:tcPr>
                <w:p w14:paraId="017AE575">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单次持续时间h</w:t>
                  </w:r>
                </w:p>
              </w:tc>
              <w:tc>
                <w:tcPr>
                  <w:tcW w:w="673" w:type="dxa"/>
                  <w:vAlign w:val="center"/>
                </w:tcPr>
                <w:p w14:paraId="754EBB5D">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年发生频次</w:t>
                  </w:r>
                </w:p>
              </w:tc>
              <w:tc>
                <w:tcPr>
                  <w:tcW w:w="860" w:type="dxa"/>
                  <w:vAlign w:val="center"/>
                </w:tcPr>
                <w:p w14:paraId="2EE4F8FF">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措施</w:t>
                  </w:r>
                </w:p>
              </w:tc>
            </w:tr>
            <w:tr w14:paraId="7643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3015EC11">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1</w:t>
                  </w:r>
                </w:p>
              </w:tc>
              <w:tc>
                <w:tcPr>
                  <w:tcW w:w="989" w:type="dxa"/>
                  <w:vMerge w:val="restart"/>
                  <w:vAlign w:val="center"/>
                </w:tcPr>
                <w:p w14:paraId="29654FA4">
                  <w:pPr>
                    <w:pStyle w:val="19"/>
                    <w:spacing w:before="0" w:beforeAutospacing="0" w:after="0" w:afterAutospacing="0"/>
                    <w:jc w:val="center"/>
                    <w:outlineLvl w:val="0"/>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eastAsia="zh-CN"/>
                    </w:rPr>
                    <w:t>搅拌、缠绕</w:t>
                  </w:r>
                  <w:r>
                    <w:rPr>
                      <w:rFonts w:hint="eastAsia" w:ascii="Times New Roman" w:hAnsi="Times New Roman" w:eastAsia="宋体" w:cs="Times New Roman"/>
                      <w:bCs/>
                      <w:color w:val="auto"/>
                      <w:sz w:val="21"/>
                      <w:szCs w:val="21"/>
                      <w:lang w:val="en-US" w:eastAsia="zh-CN"/>
                    </w:rPr>
                    <w:t>（浸润）</w:t>
                  </w:r>
                  <w:r>
                    <w:rPr>
                      <w:rFonts w:hint="eastAsia" w:ascii="Times New Roman" w:hAnsi="Times New Roman" w:eastAsia="宋体" w:cs="Times New Roman"/>
                      <w:bCs/>
                      <w:color w:val="auto"/>
                      <w:sz w:val="21"/>
                      <w:szCs w:val="21"/>
                      <w:lang w:eastAsia="zh-CN"/>
                    </w:rPr>
                    <w:t>、固化废气</w:t>
                  </w:r>
                </w:p>
              </w:tc>
              <w:tc>
                <w:tcPr>
                  <w:tcW w:w="716" w:type="dxa"/>
                  <w:vMerge w:val="restart"/>
                  <w:vAlign w:val="center"/>
                </w:tcPr>
                <w:p w14:paraId="33CE284E">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bCs/>
                      <w:color w:val="auto"/>
                      <w:sz w:val="21"/>
                      <w:szCs w:val="21"/>
                    </w:rPr>
                    <w:t>设备故障，处理设施失效</w:t>
                  </w:r>
                </w:p>
              </w:tc>
              <w:tc>
                <w:tcPr>
                  <w:tcW w:w="529" w:type="dxa"/>
                  <w:vMerge w:val="restart"/>
                  <w:shd w:val="clear" w:color="auto" w:fill="auto"/>
                  <w:vAlign w:val="center"/>
                </w:tcPr>
                <w:p w14:paraId="270479EE">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一期</w:t>
                  </w:r>
                </w:p>
              </w:tc>
              <w:tc>
                <w:tcPr>
                  <w:tcW w:w="840" w:type="dxa"/>
                  <w:shd w:val="clear" w:color="auto" w:fill="auto"/>
                  <w:vAlign w:val="center"/>
                </w:tcPr>
                <w:p w14:paraId="3A24B6CD">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非甲烷总烃</w:t>
                  </w:r>
                </w:p>
              </w:tc>
              <w:tc>
                <w:tcPr>
                  <w:tcW w:w="995" w:type="dxa"/>
                  <w:vMerge w:val="restart"/>
                  <w:vAlign w:val="center"/>
                </w:tcPr>
                <w:p w14:paraId="36A80D62">
                  <w:pPr>
                    <w:pStyle w:val="19"/>
                    <w:spacing w:before="0" w:beforeAutospacing="0" w:after="0" w:afterAutospacing="0"/>
                    <w:jc w:val="center"/>
                    <w:outlineLvl w:val="0"/>
                    <w:rPr>
                      <w:rFonts w:ascii="Times New Roman" w:hAnsi="Times New Roman"/>
                      <w:bCs/>
                      <w:color w:val="auto"/>
                      <w:sz w:val="21"/>
                      <w:szCs w:val="21"/>
                    </w:rPr>
                  </w:pPr>
                  <w:r>
                    <w:rPr>
                      <w:rFonts w:hint="eastAsia" w:ascii="Times New Roman" w:hAnsi="Times New Roman"/>
                      <w:bCs/>
                      <w:color w:val="auto"/>
                      <w:sz w:val="21"/>
                      <w:szCs w:val="21"/>
                      <w:lang w:val="en-US" w:eastAsia="zh-CN"/>
                    </w:rPr>
                    <w:t>0%</w:t>
                  </w:r>
                </w:p>
              </w:tc>
              <w:tc>
                <w:tcPr>
                  <w:tcW w:w="830" w:type="dxa"/>
                  <w:vAlign w:val="center"/>
                </w:tcPr>
                <w:p w14:paraId="67530AA2">
                  <w:pPr>
                    <w:pStyle w:val="19"/>
                    <w:spacing w:before="0" w:beforeAutospacing="0" w:after="0" w:afterAutospacing="0"/>
                    <w:jc w:val="center"/>
                    <w:outlineLvl w:val="0"/>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bCs/>
                      <w:color w:val="auto"/>
                      <w:sz w:val="21"/>
                      <w:szCs w:val="21"/>
                      <w:lang w:val="en-US" w:eastAsia="zh-CN"/>
                    </w:rPr>
                    <w:t>0.000886</w:t>
                  </w:r>
                </w:p>
              </w:tc>
              <w:tc>
                <w:tcPr>
                  <w:tcW w:w="817" w:type="dxa"/>
                  <w:vAlign w:val="center"/>
                </w:tcPr>
                <w:p w14:paraId="093D3E7C">
                  <w:pPr>
                    <w:pStyle w:val="19"/>
                    <w:spacing w:before="0" w:beforeAutospacing="0" w:after="0" w:afterAutospacing="0"/>
                    <w:jc w:val="center"/>
                    <w:outlineLvl w:val="0"/>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0.8864</w:t>
                  </w:r>
                </w:p>
              </w:tc>
              <w:tc>
                <w:tcPr>
                  <w:tcW w:w="745" w:type="dxa"/>
                  <w:shd w:val="clear" w:color="auto" w:fill="auto"/>
                  <w:vAlign w:val="center"/>
                </w:tcPr>
                <w:p w14:paraId="4D7A7268">
                  <w:pPr>
                    <w:widowControl/>
                    <w:jc w:val="center"/>
                    <w:rPr>
                      <w:rFonts w:hint="eastAsia" w:ascii="Times New Roman" w:hAnsi="Times New Roman" w:eastAsia="宋体" w:cs="Times New Roman"/>
                      <w:bCs/>
                      <w:color w:val="auto"/>
                      <w:kern w:val="0"/>
                      <w:sz w:val="21"/>
                      <w:szCs w:val="21"/>
                      <w:lang w:val="en-US" w:eastAsia="zh-CN" w:bidi="ar"/>
                    </w:rPr>
                  </w:pPr>
                  <w:r>
                    <w:rPr>
                      <w:bCs/>
                      <w:color w:val="auto"/>
                      <w:kern w:val="0"/>
                      <w:szCs w:val="21"/>
                      <w:lang w:bidi="ar"/>
                    </w:rPr>
                    <w:t>1</w:t>
                  </w:r>
                </w:p>
              </w:tc>
              <w:tc>
                <w:tcPr>
                  <w:tcW w:w="673" w:type="dxa"/>
                  <w:shd w:val="clear" w:color="auto" w:fill="auto"/>
                  <w:vAlign w:val="center"/>
                </w:tcPr>
                <w:p w14:paraId="09E0E860">
                  <w:pPr>
                    <w:widowControl/>
                    <w:jc w:val="center"/>
                    <w:rPr>
                      <w:rFonts w:ascii="Times New Roman" w:hAnsi="Times New Roman" w:eastAsia="宋体" w:cs="Times New Roman"/>
                      <w:bCs/>
                      <w:color w:val="auto"/>
                      <w:kern w:val="0"/>
                      <w:sz w:val="21"/>
                      <w:szCs w:val="21"/>
                      <w:lang w:val="en-US" w:eastAsia="zh-CN" w:bidi="ar"/>
                    </w:rPr>
                  </w:pPr>
                  <w:r>
                    <w:rPr>
                      <w:bCs/>
                      <w:color w:val="auto"/>
                      <w:kern w:val="0"/>
                      <w:szCs w:val="21"/>
                      <w:lang w:bidi="ar"/>
                    </w:rPr>
                    <w:t>1</w:t>
                  </w:r>
                </w:p>
              </w:tc>
              <w:tc>
                <w:tcPr>
                  <w:tcW w:w="860" w:type="dxa"/>
                  <w:vMerge w:val="restart"/>
                  <w:vAlign w:val="center"/>
                </w:tcPr>
                <w:p w14:paraId="0D1CCECA">
                  <w:pPr>
                    <w:pStyle w:val="19"/>
                    <w:spacing w:before="0" w:beforeAutospacing="0" w:after="0" w:afterAutospacing="0"/>
                    <w:jc w:val="center"/>
                    <w:outlineLvl w:val="0"/>
                    <w:rPr>
                      <w:rFonts w:ascii="Times New Roman" w:hAnsi="Times New Roman"/>
                      <w:bCs/>
                      <w:color w:val="auto"/>
                      <w:sz w:val="21"/>
                      <w:szCs w:val="21"/>
                    </w:rPr>
                  </w:pPr>
                  <w:r>
                    <w:rPr>
                      <w:rFonts w:ascii="Times New Roman" w:hAnsi="Times New Roman" w:eastAsia="宋体" w:cs="Times New Roman"/>
                      <w:bCs/>
                      <w:color w:val="auto"/>
                      <w:sz w:val="21"/>
                      <w:szCs w:val="21"/>
                    </w:rPr>
                    <w:t>主体设备应停止运行，检修员按处理方案进行事故抢修</w:t>
                  </w:r>
                </w:p>
              </w:tc>
            </w:tr>
            <w:tr w14:paraId="1415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6A980E46">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2</w:t>
                  </w:r>
                </w:p>
              </w:tc>
              <w:tc>
                <w:tcPr>
                  <w:tcW w:w="989" w:type="dxa"/>
                  <w:vMerge w:val="continue"/>
                  <w:vAlign w:val="center"/>
                </w:tcPr>
                <w:p w14:paraId="037D4C06">
                  <w:pPr>
                    <w:pStyle w:val="19"/>
                    <w:spacing w:before="0" w:beforeAutospacing="0" w:after="0" w:afterAutospacing="0"/>
                    <w:jc w:val="center"/>
                    <w:outlineLvl w:val="0"/>
                    <w:rPr>
                      <w:rFonts w:ascii="Times New Roman" w:hAnsi="Times New Roman" w:eastAsia="宋体" w:cs="Times New Roman"/>
                      <w:bCs/>
                      <w:color w:val="auto"/>
                      <w:sz w:val="21"/>
                      <w:szCs w:val="21"/>
                    </w:rPr>
                  </w:pPr>
                </w:p>
              </w:tc>
              <w:tc>
                <w:tcPr>
                  <w:tcW w:w="716" w:type="dxa"/>
                  <w:vMerge w:val="continue"/>
                  <w:vAlign w:val="center"/>
                </w:tcPr>
                <w:p w14:paraId="49187E30">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continue"/>
                  <w:shd w:val="clear" w:color="auto" w:fill="auto"/>
                  <w:vAlign w:val="center"/>
                </w:tcPr>
                <w:p w14:paraId="2719C72B">
                  <w:pPr>
                    <w:pStyle w:val="19"/>
                    <w:spacing w:before="0" w:beforeAutospacing="0" w:after="0" w:afterAutospacing="0"/>
                    <w:jc w:val="center"/>
                    <w:outlineLvl w:val="0"/>
                    <w:rPr>
                      <w:rFonts w:ascii="Times New Roman" w:hAnsi="Times New Roman"/>
                      <w:bCs/>
                      <w:color w:val="auto"/>
                      <w:sz w:val="21"/>
                      <w:szCs w:val="21"/>
                    </w:rPr>
                  </w:pPr>
                </w:p>
              </w:tc>
              <w:tc>
                <w:tcPr>
                  <w:tcW w:w="840" w:type="dxa"/>
                  <w:shd w:val="clear" w:color="auto" w:fill="auto"/>
                  <w:vAlign w:val="center"/>
                </w:tcPr>
                <w:p w14:paraId="16C55DD8">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臭气浓度</w:t>
                  </w:r>
                </w:p>
              </w:tc>
              <w:tc>
                <w:tcPr>
                  <w:tcW w:w="995" w:type="dxa"/>
                  <w:vMerge w:val="continue"/>
                  <w:vAlign w:val="center"/>
                </w:tcPr>
                <w:p w14:paraId="5E3D6066">
                  <w:pPr>
                    <w:pStyle w:val="19"/>
                    <w:spacing w:before="0" w:beforeAutospacing="0" w:after="0" w:afterAutospacing="0"/>
                    <w:jc w:val="center"/>
                    <w:outlineLvl w:val="0"/>
                    <w:rPr>
                      <w:rFonts w:ascii="Times New Roman" w:hAnsi="Times New Roman"/>
                      <w:bCs/>
                      <w:color w:val="auto"/>
                      <w:sz w:val="21"/>
                      <w:szCs w:val="21"/>
                    </w:rPr>
                  </w:pPr>
                </w:p>
              </w:tc>
              <w:tc>
                <w:tcPr>
                  <w:tcW w:w="830" w:type="dxa"/>
                  <w:vAlign w:val="center"/>
                </w:tcPr>
                <w:p w14:paraId="03E0E2A4">
                  <w:pPr>
                    <w:pStyle w:val="19"/>
                    <w:spacing w:before="0" w:beforeAutospacing="0" w:after="0" w:afterAutospacing="0"/>
                    <w:jc w:val="center"/>
                    <w:outlineLvl w:val="0"/>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c>
                <w:tcPr>
                  <w:tcW w:w="817" w:type="dxa"/>
                  <w:vAlign w:val="center"/>
                </w:tcPr>
                <w:p w14:paraId="52D3551C">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w:t>
                  </w:r>
                </w:p>
              </w:tc>
              <w:tc>
                <w:tcPr>
                  <w:tcW w:w="745" w:type="dxa"/>
                  <w:shd w:val="clear" w:color="auto" w:fill="auto"/>
                  <w:vAlign w:val="center"/>
                </w:tcPr>
                <w:p w14:paraId="2CCF736E">
                  <w:pPr>
                    <w:widowControl/>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kern w:val="0"/>
                      <w:szCs w:val="21"/>
                      <w:lang w:val="en-US" w:eastAsia="zh-CN" w:bidi="ar"/>
                    </w:rPr>
                    <w:t>/</w:t>
                  </w:r>
                </w:p>
              </w:tc>
              <w:tc>
                <w:tcPr>
                  <w:tcW w:w="673" w:type="dxa"/>
                  <w:shd w:val="clear" w:color="auto" w:fill="auto"/>
                  <w:vAlign w:val="center"/>
                </w:tcPr>
                <w:p w14:paraId="5BAB25D8">
                  <w:pPr>
                    <w:widowControl/>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w:t>
                  </w:r>
                </w:p>
              </w:tc>
              <w:tc>
                <w:tcPr>
                  <w:tcW w:w="860" w:type="dxa"/>
                  <w:vMerge w:val="continue"/>
                  <w:vAlign w:val="center"/>
                </w:tcPr>
                <w:p w14:paraId="6D363C93">
                  <w:pPr>
                    <w:pStyle w:val="19"/>
                    <w:spacing w:before="0" w:beforeAutospacing="0" w:after="0" w:afterAutospacing="0"/>
                    <w:jc w:val="center"/>
                    <w:outlineLvl w:val="0"/>
                    <w:rPr>
                      <w:rFonts w:ascii="Times New Roman" w:hAnsi="Times New Roman" w:eastAsia="宋体" w:cs="Times New Roman"/>
                      <w:bCs/>
                      <w:color w:val="auto"/>
                      <w:sz w:val="21"/>
                      <w:szCs w:val="21"/>
                    </w:rPr>
                  </w:pPr>
                </w:p>
              </w:tc>
            </w:tr>
            <w:tr w14:paraId="4B40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16FFC790">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3</w:t>
                  </w:r>
                </w:p>
              </w:tc>
              <w:tc>
                <w:tcPr>
                  <w:tcW w:w="989" w:type="dxa"/>
                  <w:vMerge w:val="restart"/>
                  <w:vAlign w:val="center"/>
                </w:tcPr>
                <w:p w14:paraId="7E4B81B8">
                  <w:pPr>
                    <w:pStyle w:val="19"/>
                    <w:spacing w:before="0" w:beforeAutospacing="0" w:after="0" w:afterAutospacing="0"/>
                    <w:jc w:val="center"/>
                    <w:outlineLvl w:val="0"/>
                    <w:rPr>
                      <w:rFonts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eastAsia="zh-CN"/>
                    </w:rPr>
                    <w:t>静电喷涂装置</w:t>
                  </w:r>
                </w:p>
              </w:tc>
              <w:tc>
                <w:tcPr>
                  <w:tcW w:w="716" w:type="dxa"/>
                  <w:vMerge w:val="continue"/>
                  <w:vAlign w:val="center"/>
                </w:tcPr>
                <w:p w14:paraId="5EC8D371">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continue"/>
                  <w:vAlign w:val="center"/>
                </w:tcPr>
                <w:p w14:paraId="264E0DC9">
                  <w:pPr>
                    <w:pStyle w:val="19"/>
                    <w:spacing w:before="0" w:beforeAutospacing="0" w:after="0" w:afterAutospacing="0"/>
                    <w:jc w:val="center"/>
                    <w:outlineLvl w:val="0"/>
                    <w:rPr>
                      <w:rFonts w:ascii="Times New Roman" w:hAnsi="Times New Roman"/>
                      <w:bCs/>
                      <w:color w:val="auto"/>
                      <w:sz w:val="21"/>
                      <w:szCs w:val="21"/>
                    </w:rPr>
                  </w:pPr>
                </w:p>
              </w:tc>
              <w:tc>
                <w:tcPr>
                  <w:tcW w:w="840" w:type="dxa"/>
                  <w:vAlign w:val="center"/>
                </w:tcPr>
                <w:p w14:paraId="36F7885B">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ascii="Times New Roman" w:hAnsi="Times New Roman"/>
                      <w:bCs/>
                      <w:color w:val="auto"/>
                      <w:sz w:val="21"/>
                      <w:szCs w:val="21"/>
                    </w:rPr>
                  </w:pPr>
                  <w:r>
                    <w:rPr>
                      <w:rFonts w:hint="eastAsia" w:ascii="Times New Roman" w:hAnsi="Times New Roman" w:cs="Times New Roman"/>
                      <w:color w:val="auto"/>
                      <w:lang w:val="en-US" w:eastAsia="zh-CN"/>
                    </w:rPr>
                    <w:t>颗粒物</w:t>
                  </w:r>
                </w:p>
              </w:tc>
              <w:tc>
                <w:tcPr>
                  <w:tcW w:w="995" w:type="dxa"/>
                  <w:vMerge w:val="continue"/>
                  <w:vAlign w:val="center"/>
                </w:tcPr>
                <w:p w14:paraId="054E7941">
                  <w:pPr>
                    <w:pStyle w:val="19"/>
                    <w:spacing w:before="0" w:beforeAutospacing="0" w:after="0" w:afterAutospacing="0"/>
                    <w:jc w:val="center"/>
                    <w:outlineLvl w:val="0"/>
                    <w:rPr>
                      <w:rFonts w:ascii="Times New Roman" w:hAnsi="Times New Roman"/>
                      <w:bCs/>
                      <w:color w:val="auto"/>
                      <w:sz w:val="21"/>
                      <w:szCs w:val="21"/>
                    </w:rPr>
                  </w:pPr>
                </w:p>
              </w:tc>
              <w:tc>
                <w:tcPr>
                  <w:tcW w:w="830" w:type="dxa"/>
                  <w:vAlign w:val="center"/>
                </w:tcPr>
                <w:p w14:paraId="35B73A64">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0.00053</w:t>
                  </w:r>
                </w:p>
              </w:tc>
              <w:tc>
                <w:tcPr>
                  <w:tcW w:w="817" w:type="dxa"/>
                  <w:vAlign w:val="center"/>
                </w:tcPr>
                <w:p w14:paraId="44E58405">
                  <w:pPr>
                    <w:pStyle w:val="19"/>
                    <w:spacing w:before="0" w:beforeAutospacing="0" w:after="0" w:afterAutospacing="0"/>
                    <w:jc w:val="center"/>
                    <w:outlineLvl w:val="0"/>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0.53</w:t>
                  </w:r>
                </w:p>
              </w:tc>
              <w:tc>
                <w:tcPr>
                  <w:tcW w:w="745" w:type="dxa"/>
                  <w:shd w:val="clear" w:color="auto" w:fill="auto"/>
                  <w:vAlign w:val="center"/>
                </w:tcPr>
                <w:p w14:paraId="498D826F">
                  <w:pPr>
                    <w:widowControl/>
                    <w:jc w:val="center"/>
                    <w:rPr>
                      <w:rFonts w:hint="eastAsia"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673" w:type="dxa"/>
                  <w:shd w:val="clear" w:color="auto" w:fill="auto"/>
                  <w:vAlign w:val="center"/>
                </w:tcPr>
                <w:p w14:paraId="020191A5">
                  <w:pPr>
                    <w:widowControl/>
                    <w:jc w:val="center"/>
                    <w:rPr>
                      <w:rFonts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860" w:type="dxa"/>
                  <w:vMerge w:val="continue"/>
                  <w:vAlign w:val="center"/>
                </w:tcPr>
                <w:p w14:paraId="7822E876">
                  <w:pPr>
                    <w:pStyle w:val="19"/>
                    <w:spacing w:before="0" w:beforeAutospacing="0" w:after="0" w:afterAutospacing="0"/>
                    <w:jc w:val="center"/>
                    <w:outlineLvl w:val="0"/>
                    <w:rPr>
                      <w:rFonts w:ascii="Times New Roman" w:hAnsi="Times New Roman" w:eastAsia="宋体" w:cs="Times New Roman"/>
                      <w:bCs/>
                      <w:color w:val="auto"/>
                      <w:sz w:val="21"/>
                      <w:szCs w:val="21"/>
                    </w:rPr>
                  </w:pPr>
                </w:p>
              </w:tc>
            </w:tr>
            <w:tr w14:paraId="0F4E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048D3E9E">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989" w:type="dxa"/>
                  <w:vMerge w:val="continue"/>
                  <w:vAlign w:val="center"/>
                </w:tcPr>
                <w:p w14:paraId="5378F184">
                  <w:pPr>
                    <w:pStyle w:val="19"/>
                    <w:spacing w:before="0" w:beforeAutospacing="0" w:after="0" w:afterAutospacing="0"/>
                    <w:jc w:val="center"/>
                    <w:outlineLvl w:val="0"/>
                    <w:rPr>
                      <w:rFonts w:ascii="Times New Roman" w:hAnsi="Times New Roman"/>
                      <w:bCs/>
                      <w:color w:val="auto"/>
                      <w:sz w:val="21"/>
                      <w:szCs w:val="21"/>
                    </w:rPr>
                  </w:pPr>
                </w:p>
              </w:tc>
              <w:tc>
                <w:tcPr>
                  <w:tcW w:w="716" w:type="dxa"/>
                  <w:vMerge w:val="continue"/>
                  <w:vAlign w:val="center"/>
                </w:tcPr>
                <w:p w14:paraId="2B08F450">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continue"/>
                  <w:vAlign w:val="center"/>
                </w:tcPr>
                <w:p w14:paraId="588D0159">
                  <w:pPr>
                    <w:pStyle w:val="19"/>
                    <w:spacing w:before="0" w:beforeAutospacing="0" w:after="0" w:afterAutospacing="0"/>
                    <w:jc w:val="center"/>
                    <w:outlineLvl w:val="0"/>
                    <w:rPr>
                      <w:rFonts w:ascii="Times New Roman" w:hAnsi="Times New Roman"/>
                      <w:bCs/>
                      <w:color w:val="auto"/>
                      <w:sz w:val="21"/>
                      <w:szCs w:val="21"/>
                    </w:rPr>
                  </w:pPr>
                </w:p>
              </w:tc>
              <w:tc>
                <w:tcPr>
                  <w:tcW w:w="840" w:type="dxa"/>
                  <w:vAlign w:val="center"/>
                </w:tcPr>
                <w:p w14:paraId="48C07198">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ascii="Times New Roman" w:hAnsi="Times New Roman"/>
                      <w:bCs/>
                      <w:color w:val="auto"/>
                      <w:sz w:val="21"/>
                      <w:szCs w:val="21"/>
                    </w:rPr>
                  </w:pPr>
                  <w:r>
                    <w:rPr>
                      <w:rFonts w:hint="eastAsia" w:ascii="Times New Roman" w:hAnsi="Times New Roman" w:cs="Times New Roman"/>
                      <w:color w:val="auto"/>
                      <w:lang w:val="en-US" w:eastAsia="zh-CN"/>
                    </w:rPr>
                    <w:t>非甲烷总烃</w:t>
                  </w:r>
                </w:p>
              </w:tc>
              <w:tc>
                <w:tcPr>
                  <w:tcW w:w="995" w:type="dxa"/>
                  <w:vMerge w:val="continue"/>
                  <w:vAlign w:val="center"/>
                </w:tcPr>
                <w:p w14:paraId="54B62A13">
                  <w:pPr>
                    <w:pStyle w:val="19"/>
                    <w:spacing w:before="0" w:beforeAutospacing="0" w:after="0" w:afterAutospacing="0"/>
                    <w:jc w:val="center"/>
                    <w:outlineLvl w:val="0"/>
                    <w:rPr>
                      <w:rFonts w:ascii="Times New Roman" w:hAnsi="Times New Roman"/>
                      <w:bCs/>
                      <w:color w:val="auto"/>
                      <w:sz w:val="21"/>
                      <w:szCs w:val="21"/>
                    </w:rPr>
                  </w:pPr>
                </w:p>
              </w:tc>
              <w:tc>
                <w:tcPr>
                  <w:tcW w:w="830" w:type="dxa"/>
                  <w:vAlign w:val="center"/>
                </w:tcPr>
                <w:p w14:paraId="48DE2755">
                  <w:pPr>
                    <w:pStyle w:val="19"/>
                    <w:spacing w:before="0" w:beforeAutospacing="0" w:after="0" w:afterAutospacing="0"/>
                    <w:jc w:val="center"/>
                    <w:outlineLvl w:val="0"/>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0.0000605</w:t>
                  </w:r>
                </w:p>
              </w:tc>
              <w:tc>
                <w:tcPr>
                  <w:tcW w:w="817" w:type="dxa"/>
                  <w:vAlign w:val="center"/>
                </w:tcPr>
                <w:p w14:paraId="498B16A6">
                  <w:pPr>
                    <w:pStyle w:val="19"/>
                    <w:spacing w:before="0" w:beforeAutospacing="0" w:after="0" w:afterAutospacing="0"/>
                    <w:jc w:val="center"/>
                    <w:outlineLvl w:val="0"/>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0.0605</w:t>
                  </w:r>
                </w:p>
              </w:tc>
              <w:tc>
                <w:tcPr>
                  <w:tcW w:w="745" w:type="dxa"/>
                  <w:shd w:val="clear" w:color="auto" w:fill="auto"/>
                  <w:vAlign w:val="center"/>
                </w:tcPr>
                <w:p w14:paraId="42368C96">
                  <w:pPr>
                    <w:widowControl/>
                    <w:jc w:val="center"/>
                    <w:rPr>
                      <w:rFonts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673" w:type="dxa"/>
                  <w:shd w:val="clear" w:color="auto" w:fill="auto"/>
                  <w:vAlign w:val="center"/>
                </w:tcPr>
                <w:p w14:paraId="6BBC7F7A">
                  <w:pPr>
                    <w:widowControl/>
                    <w:jc w:val="center"/>
                    <w:rPr>
                      <w:rFonts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860" w:type="dxa"/>
                  <w:vMerge w:val="continue"/>
                  <w:vAlign w:val="center"/>
                </w:tcPr>
                <w:p w14:paraId="5869E8A6">
                  <w:pPr>
                    <w:pStyle w:val="19"/>
                    <w:spacing w:before="0" w:beforeAutospacing="0" w:after="0" w:afterAutospacing="0"/>
                    <w:jc w:val="center"/>
                    <w:outlineLvl w:val="0"/>
                    <w:rPr>
                      <w:rFonts w:ascii="Times New Roman" w:hAnsi="Times New Roman" w:eastAsia="宋体" w:cs="Times New Roman"/>
                      <w:bCs/>
                      <w:color w:val="auto"/>
                      <w:sz w:val="21"/>
                      <w:szCs w:val="21"/>
                    </w:rPr>
                  </w:pPr>
                </w:p>
              </w:tc>
            </w:tr>
            <w:tr w14:paraId="1199A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381" w:type="dxa"/>
                  <w:vAlign w:val="center"/>
                </w:tcPr>
                <w:p w14:paraId="4B2A480D">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5</w:t>
                  </w:r>
                </w:p>
              </w:tc>
              <w:tc>
                <w:tcPr>
                  <w:tcW w:w="989" w:type="dxa"/>
                  <w:vMerge w:val="restart"/>
                  <w:shd w:val="clear" w:color="auto" w:fill="auto"/>
                  <w:vAlign w:val="center"/>
                </w:tcPr>
                <w:p w14:paraId="5CD88E76">
                  <w:pPr>
                    <w:pStyle w:val="19"/>
                    <w:spacing w:before="0" w:beforeAutospacing="0" w:after="0" w:afterAutospacing="0"/>
                    <w:jc w:val="center"/>
                    <w:outlineLvl w:val="0"/>
                    <w:rPr>
                      <w:rFonts w:ascii="Times New Roman" w:hAnsi="Times New Roman"/>
                      <w:bCs/>
                      <w:color w:val="auto"/>
                      <w:sz w:val="21"/>
                      <w:szCs w:val="21"/>
                    </w:rPr>
                  </w:pPr>
                  <w:r>
                    <w:rPr>
                      <w:rFonts w:hint="eastAsia" w:ascii="Times New Roman" w:hAnsi="Times New Roman" w:eastAsia="宋体" w:cs="Times New Roman"/>
                      <w:bCs/>
                      <w:color w:val="auto"/>
                      <w:sz w:val="21"/>
                      <w:szCs w:val="21"/>
                      <w:lang w:eastAsia="zh-CN"/>
                    </w:rPr>
                    <w:t>搅拌、缠绕</w:t>
                  </w:r>
                  <w:r>
                    <w:rPr>
                      <w:rFonts w:hint="eastAsia" w:ascii="Times New Roman" w:hAnsi="Times New Roman" w:eastAsia="宋体" w:cs="Times New Roman"/>
                      <w:bCs/>
                      <w:color w:val="auto"/>
                      <w:sz w:val="21"/>
                      <w:szCs w:val="21"/>
                      <w:lang w:val="en-US" w:eastAsia="zh-CN"/>
                    </w:rPr>
                    <w:t>（浸润）</w:t>
                  </w:r>
                  <w:r>
                    <w:rPr>
                      <w:rFonts w:hint="eastAsia" w:ascii="Times New Roman" w:hAnsi="Times New Roman" w:eastAsia="宋体" w:cs="Times New Roman"/>
                      <w:bCs/>
                      <w:color w:val="auto"/>
                      <w:sz w:val="21"/>
                      <w:szCs w:val="21"/>
                      <w:lang w:eastAsia="zh-CN"/>
                    </w:rPr>
                    <w:t>、固化废气</w:t>
                  </w:r>
                </w:p>
              </w:tc>
              <w:tc>
                <w:tcPr>
                  <w:tcW w:w="716" w:type="dxa"/>
                  <w:vMerge w:val="continue"/>
                  <w:vAlign w:val="center"/>
                </w:tcPr>
                <w:p w14:paraId="2D7175EF">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restart"/>
                  <w:vAlign w:val="center"/>
                </w:tcPr>
                <w:p w14:paraId="193736DB">
                  <w:pPr>
                    <w:pStyle w:val="19"/>
                    <w:spacing w:before="0" w:beforeAutospacing="0" w:after="0" w:afterAutospacing="0"/>
                    <w:jc w:val="center"/>
                    <w:outlineLvl w:val="0"/>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二期</w:t>
                  </w:r>
                </w:p>
              </w:tc>
              <w:tc>
                <w:tcPr>
                  <w:tcW w:w="840" w:type="dxa"/>
                  <w:shd w:val="clear" w:color="auto" w:fill="auto"/>
                  <w:vAlign w:val="center"/>
                </w:tcPr>
                <w:p w14:paraId="35F141C0">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非甲烷总烃</w:t>
                  </w:r>
                </w:p>
              </w:tc>
              <w:tc>
                <w:tcPr>
                  <w:tcW w:w="995" w:type="dxa"/>
                  <w:vMerge w:val="continue"/>
                  <w:vAlign w:val="center"/>
                </w:tcPr>
                <w:p w14:paraId="7E2556C3">
                  <w:pPr>
                    <w:pStyle w:val="19"/>
                    <w:spacing w:before="0" w:beforeAutospacing="0" w:after="0" w:afterAutospacing="0"/>
                    <w:jc w:val="center"/>
                    <w:outlineLvl w:val="0"/>
                    <w:rPr>
                      <w:rFonts w:ascii="Times New Roman" w:hAnsi="Times New Roman"/>
                      <w:bCs/>
                      <w:color w:val="auto"/>
                      <w:sz w:val="21"/>
                      <w:szCs w:val="21"/>
                    </w:rPr>
                  </w:pPr>
                </w:p>
              </w:tc>
              <w:tc>
                <w:tcPr>
                  <w:tcW w:w="830" w:type="dxa"/>
                  <w:vAlign w:val="center"/>
                </w:tcPr>
                <w:p w14:paraId="0E780263">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0.001773</w:t>
                  </w:r>
                </w:p>
              </w:tc>
              <w:tc>
                <w:tcPr>
                  <w:tcW w:w="817" w:type="dxa"/>
                  <w:vAlign w:val="center"/>
                </w:tcPr>
                <w:p w14:paraId="0962B669">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1.7727</w:t>
                  </w:r>
                </w:p>
              </w:tc>
              <w:tc>
                <w:tcPr>
                  <w:tcW w:w="745" w:type="dxa"/>
                  <w:shd w:val="clear" w:color="auto" w:fill="auto"/>
                  <w:vAlign w:val="center"/>
                </w:tcPr>
                <w:p w14:paraId="62DA7856">
                  <w:pPr>
                    <w:widowControl/>
                    <w:jc w:val="center"/>
                    <w:rPr>
                      <w:rFonts w:hint="eastAsia" w:ascii="Times New Roman" w:hAnsi="Times New Roman" w:eastAsia="宋体" w:cs="Times New Roman"/>
                      <w:bCs/>
                      <w:color w:val="auto"/>
                      <w:kern w:val="0"/>
                      <w:sz w:val="21"/>
                      <w:szCs w:val="21"/>
                      <w:lang w:val="en-US" w:eastAsia="zh-CN" w:bidi="ar"/>
                    </w:rPr>
                  </w:pPr>
                  <w:r>
                    <w:rPr>
                      <w:bCs/>
                      <w:color w:val="auto"/>
                      <w:kern w:val="0"/>
                      <w:szCs w:val="21"/>
                      <w:lang w:bidi="ar"/>
                    </w:rPr>
                    <w:t>1</w:t>
                  </w:r>
                </w:p>
              </w:tc>
              <w:tc>
                <w:tcPr>
                  <w:tcW w:w="673" w:type="dxa"/>
                  <w:shd w:val="clear" w:color="auto" w:fill="auto"/>
                  <w:vAlign w:val="center"/>
                </w:tcPr>
                <w:p w14:paraId="24EADE79">
                  <w:pPr>
                    <w:widowControl/>
                    <w:jc w:val="center"/>
                    <w:rPr>
                      <w:rFonts w:ascii="Times New Roman" w:hAnsi="Times New Roman" w:eastAsia="宋体" w:cs="Times New Roman"/>
                      <w:bCs/>
                      <w:color w:val="auto"/>
                      <w:kern w:val="0"/>
                      <w:sz w:val="21"/>
                      <w:szCs w:val="21"/>
                      <w:lang w:val="en-US" w:eastAsia="zh-CN" w:bidi="ar"/>
                    </w:rPr>
                  </w:pPr>
                  <w:r>
                    <w:rPr>
                      <w:bCs/>
                      <w:color w:val="auto"/>
                      <w:kern w:val="0"/>
                      <w:szCs w:val="21"/>
                      <w:lang w:bidi="ar"/>
                    </w:rPr>
                    <w:t>1</w:t>
                  </w:r>
                </w:p>
              </w:tc>
              <w:tc>
                <w:tcPr>
                  <w:tcW w:w="860" w:type="dxa"/>
                  <w:vMerge w:val="continue"/>
                  <w:vAlign w:val="center"/>
                </w:tcPr>
                <w:p w14:paraId="0CE9273D">
                  <w:pPr>
                    <w:pStyle w:val="19"/>
                    <w:spacing w:before="0" w:beforeAutospacing="0" w:after="0" w:afterAutospacing="0"/>
                    <w:jc w:val="center"/>
                    <w:outlineLvl w:val="0"/>
                    <w:rPr>
                      <w:rFonts w:ascii="Times New Roman" w:hAnsi="Times New Roman" w:eastAsia="宋体" w:cs="Times New Roman"/>
                      <w:bCs/>
                      <w:color w:val="auto"/>
                      <w:sz w:val="21"/>
                      <w:szCs w:val="21"/>
                    </w:rPr>
                  </w:pPr>
                </w:p>
              </w:tc>
            </w:tr>
            <w:tr w14:paraId="6948B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26D34E81">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6</w:t>
                  </w:r>
                </w:p>
              </w:tc>
              <w:tc>
                <w:tcPr>
                  <w:tcW w:w="989" w:type="dxa"/>
                  <w:vMerge w:val="continue"/>
                  <w:vAlign w:val="center"/>
                </w:tcPr>
                <w:p w14:paraId="1AF3AE6F">
                  <w:pPr>
                    <w:pStyle w:val="19"/>
                    <w:spacing w:before="0" w:beforeAutospacing="0" w:after="0" w:afterAutospacing="0"/>
                    <w:jc w:val="center"/>
                    <w:outlineLvl w:val="0"/>
                    <w:rPr>
                      <w:rFonts w:ascii="Times New Roman" w:hAnsi="Times New Roman"/>
                      <w:bCs/>
                      <w:color w:val="auto"/>
                      <w:sz w:val="21"/>
                      <w:szCs w:val="21"/>
                    </w:rPr>
                  </w:pPr>
                </w:p>
              </w:tc>
              <w:tc>
                <w:tcPr>
                  <w:tcW w:w="716" w:type="dxa"/>
                  <w:vMerge w:val="continue"/>
                  <w:vAlign w:val="center"/>
                </w:tcPr>
                <w:p w14:paraId="64F4CF24">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continue"/>
                  <w:vAlign w:val="center"/>
                </w:tcPr>
                <w:p w14:paraId="40434819">
                  <w:pPr>
                    <w:pStyle w:val="19"/>
                    <w:spacing w:before="0" w:beforeAutospacing="0" w:after="0" w:afterAutospacing="0"/>
                    <w:jc w:val="center"/>
                    <w:outlineLvl w:val="0"/>
                    <w:rPr>
                      <w:rFonts w:ascii="Times New Roman" w:hAnsi="Times New Roman"/>
                      <w:bCs/>
                      <w:color w:val="auto"/>
                      <w:sz w:val="21"/>
                      <w:szCs w:val="21"/>
                    </w:rPr>
                  </w:pPr>
                </w:p>
              </w:tc>
              <w:tc>
                <w:tcPr>
                  <w:tcW w:w="840" w:type="dxa"/>
                  <w:shd w:val="clear" w:color="auto" w:fill="auto"/>
                  <w:vAlign w:val="center"/>
                </w:tcPr>
                <w:p w14:paraId="2E1B85CC">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臭气浓度</w:t>
                  </w:r>
                </w:p>
              </w:tc>
              <w:tc>
                <w:tcPr>
                  <w:tcW w:w="995" w:type="dxa"/>
                  <w:vMerge w:val="continue"/>
                  <w:vAlign w:val="center"/>
                </w:tcPr>
                <w:p w14:paraId="4141B684">
                  <w:pPr>
                    <w:pStyle w:val="19"/>
                    <w:spacing w:before="0" w:beforeAutospacing="0" w:after="0" w:afterAutospacing="0"/>
                    <w:jc w:val="center"/>
                    <w:outlineLvl w:val="0"/>
                    <w:rPr>
                      <w:rFonts w:ascii="Times New Roman" w:hAnsi="Times New Roman"/>
                      <w:bCs/>
                      <w:color w:val="auto"/>
                      <w:sz w:val="21"/>
                      <w:szCs w:val="21"/>
                    </w:rPr>
                  </w:pPr>
                </w:p>
              </w:tc>
              <w:tc>
                <w:tcPr>
                  <w:tcW w:w="830" w:type="dxa"/>
                  <w:shd w:val="clear" w:color="auto" w:fill="auto"/>
                  <w:vAlign w:val="center"/>
                </w:tcPr>
                <w:p w14:paraId="04375A9A">
                  <w:pPr>
                    <w:pStyle w:val="19"/>
                    <w:spacing w:before="0" w:beforeAutospacing="0" w:after="0" w:afterAutospacing="0"/>
                    <w:jc w:val="center"/>
                    <w:outlineLvl w:val="0"/>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w:t>
                  </w:r>
                </w:p>
              </w:tc>
              <w:tc>
                <w:tcPr>
                  <w:tcW w:w="817" w:type="dxa"/>
                  <w:shd w:val="clear" w:color="auto" w:fill="auto"/>
                  <w:vAlign w:val="center"/>
                </w:tcPr>
                <w:p w14:paraId="48F819AA">
                  <w:pPr>
                    <w:pStyle w:val="19"/>
                    <w:spacing w:before="0" w:beforeAutospacing="0" w:after="0" w:afterAutospacing="0"/>
                    <w:jc w:val="center"/>
                    <w:outlineLvl w:val="0"/>
                    <w:rPr>
                      <w:rFonts w:hint="eastAsia" w:ascii="Times New Roman" w:hAnsi="Times New Roman" w:eastAsia="宋体" w:cs="Times New Roman"/>
                      <w:bCs/>
                      <w:color w:val="auto"/>
                      <w:kern w:val="0"/>
                      <w:sz w:val="21"/>
                      <w:szCs w:val="21"/>
                      <w:lang w:val="en-US" w:eastAsia="zh-CN" w:bidi="ar-SA"/>
                    </w:rPr>
                  </w:pPr>
                  <w:r>
                    <w:rPr>
                      <w:rFonts w:hint="eastAsia" w:ascii="Times New Roman" w:hAnsi="Times New Roman"/>
                      <w:bCs/>
                      <w:color w:val="auto"/>
                      <w:sz w:val="21"/>
                      <w:szCs w:val="21"/>
                      <w:lang w:val="en-US" w:eastAsia="zh-CN"/>
                    </w:rPr>
                    <w:t>/</w:t>
                  </w:r>
                </w:p>
              </w:tc>
              <w:tc>
                <w:tcPr>
                  <w:tcW w:w="745" w:type="dxa"/>
                  <w:shd w:val="clear" w:color="auto" w:fill="auto"/>
                  <w:vAlign w:val="center"/>
                </w:tcPr>
                <w:p w14:paraId="25B83F45">
                  <w:pPr>
                    <w:widowControl/>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kern w:val="0"/>
                      <w:szCs w:val="21"/>
                      <w:lang w:val="en-US" w:eastAsia="zh-CN" w:bidi="ar"/>
                    </w:rPr>
                    <w:t>/</w:t>
                  </w:r>
                </w:p>
              </w:tc>
              <w:tc>
                <w:tcPr>
                  <w:tcW w:w="673" w:type="dxa"/>
                  <w:shd w:val="clear" w:color="auto" w:fill="auto"/>
                  <w:vAlign w:val="center"/>
                </w:tcPr>
                <w:p w14:paraId="1B2E5C69">
                  <w:pPr>
                    <w:widowControl/>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w:t>
                  </w:r>
                </w:p>
              </w:tc>
              <w:tc>
                <w:tcPr>
                  <w:tcW w:w="860" w:type="dxa"/>
                  <w:vMerge w:val="continue"/>
                  <w:vAlign w:val="center"/>
                </w:tcPr>
                <w:p w14:paraId="2A576968">
                  <w:pPr>
                    <w:pStyle w:val="19"/>
                    <w:spacing w:before="0" w:beforeAutospacing="0" w:after="0" w:afterAutospacing="0"/>
                    <w:jc w:val="center"/>
                    <w:outlineLvl w:val="0"/>
                    <w:rPr>
                      <w:rFonts w:ascii="Times New Roman" w:hAnsi="Times New Roman" w:eastAsia="宋体" w:cs="Times New Roman"/>
                      <w:bCs/>
                      <w:color w:val="auto"/>
                      <w:sz w:val="21"/>
                      <w:szCs w:val="21"/>
                    </w:rPr>
                  </w:pPr>
                </w:p>
              </w:tc>
            </w:tr>
            <w:tr w14:paraId="724F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3F1BF2DE">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7</w:t>
                  </w:r>
                </w:p>
              </w:tc>
              <w:tc>
                <w:tcPr>
                  <w:tcW w:w="989" w:type="dxa"/>
                  <w:vMerge w:val="restart"/>
                  <w:shd w:val="clear" w:color="auto" w:fill="auto"/>
                  <w:vAlign w:val="center"/>
                </w:tcPr>
                <w:p w14:paraId="26625661">
                  <w:pPr>
                    <w:pStyle w:val="19"/>
                    <w:spacing w:before="0" w:beforeAutospacing="0" w:after="0" w:afterAutospacing="0"/>
                    <w:jc w:val="center"/>
                    <w:outlineLvl w:val="0"/>
                    <w:rPr>
                      <w:rFonts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eastAsia="zh-CN"/>
                    </w:rPr>
                    <w:t>静电喷涂装置</w:t>
                  </w:r>
                </w:p>
              </w:tc>
              <w:tc>
                <w:tcPr>
                  <w:tcW w:w="716" w:type="dxa"/>
                  <w:vMerge w:val="continue"/>
                  <w:vAlign w:val="center"/>
                </w:tcPr>
                <w:p w14:paraId="01CE5637">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continue"/>
                  <w:vAlign w:val="center"/>
                </w:tcPr>
                <w:p w14:paraId="28D0FE58">
                  <w:pPr>
                    <w:pStyle w:val="19"/>
                    <w:spacing w:before="0" w:beforeAutospacing="0" w:after="0" w:afterAutospacing="0"/>
                    <w:jc w:val="center"/>
                    <w:outlineLvl w:val="0"/>
                    <w:rPr>
                      <w:rFonts w:ascii="Times New Roman" w:hAnsi="Times New Roman"/>
                      <w:bCs/>
                      <w:color w:val="auto"/>
                      <w:sz w:val="21"/>
                      <w:szCs w:val="21"/>
                    </w:rPr>
                  </w:pPr>
                </w:p>
              </w:tc>
              <w:tc>
                <w:tcPr>
                  <w:tcW w:w="840" w:type="dxa"/>
                  <w:shd w:val="clear" w:color="auto" w:fill="auto"/>
                  <w:vAlign w:val="center"/>
                </w:tcPr>
                <w:p w14:paraId="7BCA283D">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lang w:val="en-US" w:eastAsia="zh-CN"/>
                    </w:rPr>
                    <w:t>颗粒物</w:t>
                  </w:r>
                </w:p>
              </w:tc>
              <w:tc>
                <w:tcPr>
                  <w:tcW w:w="995" w:type="dxa"/>
                  <w:vMerge w:val="continue"/>
                  <w:vAlign w:val="center"/>
                </w:tcPr>
                <w:p w14:paraId="6BD5AF1B">
                  <w:pPr>
                    <w:pStyle w:val="19"/>
                    <w:spacing w:before="0" w:beforeAutospacing="0" w:after="0" w:afterAutospacing="0"/>
                    <w:jc w:val="center"/>
                    <w:outlineLvl w:val="0"/>
                    <w:rPr>
                      <w:rFonts w:ascii="Times New Roman" w:hAnsi="Times New Roman"/>
                      <w:bCs/>
                      <w:color w:val="auto"/>
                      <w:sz w:val="21"/>
                      <w:szCs w:val="21"/>
                    </w:rPr>
                  </w:pPr>
                </w:p>
              </w:tc>
              <w:tc>
                <w:tcPr>
                  <w:tcW w:w="830" w:type="dxa"/>
                  <w:vAlign w:val="center"/>
                </w:tcPr>
                <w:p w14:paraId="107B1F49">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0.00106</w:t>
                  </w:r>
                </w:p>
              </w:tc>
              <w:tc>
                <w:tcPr>
                  <w:tcW w:w="817" w:type="dxa"/>
                  <w:vAlign w:val="center"/>
                </w:tcPr>
                <w:p w14:paraId="4E5E9313">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1.06</w:t>
                  </w:r>
                </w:p>
              </w:tc>
              <w:tc>
                <w:tcPr>
                  <w:tcW w:w="745" w:type="dxa"/>
                  <w:shd w:val="clear" w:color="auto" w:fill="auto"/>
                  <w:vAlign w:val="center"/>
                </w:tcPr>
                <w:p w14:paraId="4C8CB782">
                  <w:pPr>
                    <w:widowControl/>
                    <w:jc w:val="center"/>
                    <w:rPr>
                      <w:rFonts w:hint="eastAsia"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673" w:type="dxa"/>
                  <w:shd w:val="clear" w:color="auto" w:fill="auto"/>
                  <w:vAlign w:val="center"/>
                </w:tcPr>
                <w:p w14:paraId="06363B16">
                  <w:pPr>
                    <w:widowControl/>
                    <w:jc w:val="center"/>
                    <w:rPr>
                      <w:rFonts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860" w:type="dxa"/>
                  <w:vMerge w:val="continue"/>
                  <w:vAlign w:val="center"/>
                </w:tcPr>
                <w:p w14:paraId="377AE1D5">
                  <w:pPr>
                    <w:pStyle w:val="19"/>
                    <w:spacing w:before="0" w:beforeAutospacing="0" w:after="0" w:afterAutospacing="0"/>
                    <w:jc w:val="center"/>
                    <w:outlineLvl w:val="0"/>
                    <w:rPr>
                      <w:rFonts w:ascii="Times New Roman" w:hAnsi="Times New Roman" w:eastAsia="宋体" w:cs="Times New Roman"/>
                      <w:bCs/>
                      <w:color w:val="auto"/>
                      <w:sz w:val="21"/>
                      <w:szCs w:val="21"/>
                    </w:rPr>
                  </w:pPr>
                </w:p>
              </w:tc>
            </w:tr>
            <w:tr w14:paraId="6CEF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81" w:type="dxa"/>
                  <w:vAlign w:val="center"/>
                </w:tcPr>
                <w:p w14:paraId="2B53D538">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8</w:t>
                  </w:r>
                </w:p>
              </w:tc>
              <w:tc>
                <w:tcPr>
                  <w:tcW w:w="989" w:type="dxa"/>
                  <w:vMerge w:val="continue"/>
                  <w:vAlign w:val="center"/>
                </w:tcPr>
                <w:p w14:paraId="5D442F95">
                  <w:pPr>
                    <w:pStyle w:val="19"/>
                    <w:spacing w:before="0" w:beforeAutospacing="0" w:after="0" w:afterAutospacing="0"/>
                    <w:jc w:val="center"/>
                    <w:outlineLvl w:val="0"/>
                    <w:rPr>
                      <w:rFonts w:ascii="Times New Roman" w:hAnsi="Times New Roman"/>
                      <w:bCs/>
                      <w:color w:val="auto"/>
                      <w:sz w:val="21"/>
                      <w:szCs w:val="21"/>
                    </w:rPr>
                  </w:pPr>
                </w:p>
              </w:tc>
              <w:tc>
                <w:tcPr>
                  <w:tcW w:w="716" w:type="dxa"/>
                  <w:vMerge w:val="continue"/>
                  <w:vAlign w:val="center"/>
                </w:tcPr>
                <w:p w14:paraId="0BB81BA7">
                  <w:pPr>
                    <w:pStyle w:val="19"/>
                    <w:spacing w:before="0" w:beforeAutospacing="0" w:after="0" w:afterAutospacing="0"/>
                    <w:jc w:val="center"/>
                    <w:outlineLvl w:val="0"/>
                    <w:rPr>
                      <w:rFonts w:ascii="Times New Roman" w:hAnsi="Times New Roman"/>
                      <w:bCs/>
                      <w:color w:val="auto"/>
                      <w:sz w:val="21"/>
                      <w:szCs w:val="21"/>
                    </w:rPr>
                  </w:pPr>
                </w:p>
              </w:tc>
              <w:tc>
                <w:tcPr>
                  <w:tcW w:w="529" w:type="dxa"/>
                  <w:vMerge w:val="continue"/>
                  <w:vAlign w:val="center"/>
                </w:tcPr>
                <w:p w14:paraId="244704AF">
                  <w:pPr>
                    <w:pStyle w:val="19"/>
                    <w:spacing w:before="0" w:beforeAutospacing="0" w:after="0" w:afterAutospacing="0"/>
                    <w:jc w:val="center"/>
                    <w:outlineLvl w:val="0"/>
                    <w:rPr>
                      <w:rFonts w:ascii="Times New Roman" w:hAnsi="Times New Roman"/>
                      <w:bCs/>
                      <w:color w:val="auto"/>
                      <w:sz w:val="21"/>
                      <w:szCs w:val="21"/>
                    </w:rPr>
                  </w:pPr>
                </w:p>
              </w:tc>
              <w:tc>
                <w:tcPr>
                  <w:tcW w:w="840" w:type="dxa"/>
                  <w:shd w:val="clear" w:color="auto" w:fill="auto"/>
                  <w:vAlign w:val="center"/>
                </w:tcPr>
                <w:p w14:paraId="5D043EA7">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color w:val="auto"/>
                      <w:lang w:val="en-US" w:eastAsia="zh-CN"/>
                    </w:rPr>
                    <w:t>非甲烷总烃</w:t>
                  </w:r>
                </w:p>
              </w:tc>
              <w:tc>
                <w:tcPr>
                  <w:tcW w:w="995" w:type="dxa"/>
                  <w:vMerge w:val="continue"/>
                  <w:vAlign w:val="center"/>
                </w:tcPr>
                <w:p w14:paraId="205AC695">
                  <w:pPr>
                    <w:pStyle w:val="19"/>
                    <w:spacing w:before="0" w:beforeAutospacing="0" w:after="0" w:afterAutospacing="0"/>
                    <w:jc w:val="center"/>
                    <w:outlineLvl w:val="0"/>
                    <w:rPr>
                      <w:rFonts w:ascii="Times New Roman" w:hAnsi="Times New Roman"/>
                      <w:bCs/>
                      <w:color w:val="auto"/>
                      <w:sz w:val="21"/>
                      <w:szCs w:val="21"/>
                    </w:rPr>
                  </w:pPr>
                </w:p>
              </w:tc>
              <w:tc>
                <w:tcPr>
                  <w:tcW w:w="830" w:type="dxa"/>
                  <w:vAlign w:val="center"/>
                </w:tcPr>
                <w:p w14:paraId="0307E8A9">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0.00012</w:t>
                  </w:r>
                </w:p>
              </w:tc>
              <w:tc>
                <w:tcPr>
                  <w:tcW w:w="817" w:type="dxa"/>
                  <w:vAlign w:val="center"/>
                </w:tcPr>
                <w:p w14:paraId="7FEE66B0">
                  <w:pPr>
                    <w:pStyle w:val="19"/>
                    <w:spacing w:before="0" w:beforeAutospacing="0" w:after="0" w:afterAutospacing="0"/>
                    <w:jc w:val="center"/>
                    <w:outlineLvl w:val="0"/>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0.12</w:t>
                  </w:r>
                </w:p>
              </w:tc>
              <w:tc>
                <w:tcPr>
                  <w:tcW w:w="745" w:type="dxa"/>
                  <w:shd w:val="clear" w:color="auto" w:fill="auto"/>
                  <w:vAlign w:val="center"/>
                </w:tcPr>
                <w:p w14:paraId="61415E7C">
                  <w:pPr>
                    <w:widowControl/>
                    <w:jc w:val="center"/>
                    <w:rPr>
                      <w:rFonts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673" w:type="dxa"/>
                  <w:shd w:val="clear" w:color="auto" w:fill="auto"/>
                  <w:vAlign w:val="center"/>
                </w:tcPr>
                <w:p w14:paraId="5ED6AAB8">
                  <w:pPr>
                    <w:widowControl/>
                    <w:jc w:val="center"/>
                    <w:rPr>
                      <w:rFonts w:ascii="Times New Roman" w:hAnsi="Times New Roman" w:eastAsia="宋体" w:cs="Times New Roman"/>
                      <w:bCs/>
                      <w:color w:val="auto"/>
                      <w:kern w:val="2"/>
                      <w:sz w:val="21"/>
                      <w:szCs w:val="21"/>
                      <w:lang w:val="en-US" w:eastAsia="zh-CN" w:bidi="ar-SA"/>
                    </w:rPr>
                  </w:pPr>
                  <w:r>
                    <w:rPr>
                      <w:bCs/>
                      <w:color w:val="auto"/>
                      <w:kern w:val="0"/>
                      <w:szCs w:val="21"/>
                      <w:lang w:bidi="ar"/>
                    </w:rPr>
                    <w:t>1</w:t>
                  </w:r>
                </w:p>
              </w:tc>
              <w:tc>
                <w:tcPr>
                  <w:tcW w:w="860" w:type="dxa"/>
                  <w:vMerge w:val="continue"/>
                  <w:vAlign w:val="center"/>
                </w:tcPr>
                <w:p w14:paraId="6CE270CF">
                  <w:pPr>
                    <w:pStyle w:val="19"/>
                    <w:spacing w:before="0" w:beforeAutospacing="0" w:after="0" w:afterAutospacing="0"/>
                    <w:jc w:val="center"/>
                    <w:outlineLvl w:val="0"/>
                    <w:rPr>
                      <w:rFonts w:ascii="Times New Roman" w:hAnsi="Times New Roman" w:eastAsia="宋体" w:cs="Times New Roman"/>
                      <w:bCs/>
                      <w:color w:val="auto"/>
                      <w:sz w:val="21"/>
                      <w:szCs w:val="21"/>
                    </w:rPr>
                  </w:pPr>
                </w:p>
              </w:tc>
            </w:tr>
          </w:tbl>
          <w:p w14:paraId="10429970">
            <w:pPr>
              <w:pStyle w:val="47"/>
              <w:spacing w:line="360" w:lineRule="auto"/>
              <w:ind w:firstLine="500" w:firstLineChars="200"/>
              <w:jc w:val="left"/>
              <w:rPr>
                <w:rFonts w:ascii="Times New Roman" w:hAnsi="Times New Roman" w:cs="Times New Roman"/>
                <w:color w:val="auto"/>
                <w:spacing w:val="5"/>
                <w:sz w:val="24"/>
                <w:szCs w:val="24"/>
                <w:highlight w:val="none"/>
                <w:lang w:eastAsia="zh-CN"/>
              </w:rPr>
            </w:pPr>
            <w:r>
              <w:rPr>
                <w:rFonts w:ascii="Times New Roman" w:hAnsi="Times New Roman" w:cs="Times New Roman"/>
                <w:color w:val="auto"/>
                <w:spacing w:val="5"/>
                <w:sz w:val="24"/>
                <w:szCs w:val="24"/>
                <w:highlight w:val="none"/>
                <w:lang w:eastAsia="zh-CN"/>
              </w:rPr>
              <w:t>出现非正常工况排放情况，应立刻查明原因，及时维修废气处理设施。待废气处理设备正常运行后，开始正常作业。</w:t>
            </w:r>
            <w:r>
              <w:rPr>
                <w:rFonts w:hint="eastAsia" w:ascii="Times New Roman" w:hAnsi="Times New Roman" w:cs="Times New Roman"/>
                <w:color w:val="auto"/>
                <w:spacing w:val="5"/>
                <w:sz w:val="24"/>
                <w:szCs w:val="24"/>
                <w:highlight w:val="none"/>
                <w:lang w:eastAsia="zh-CN"/>
              </w:rPr>
              <w:t xml:space="preserve">  </w:t>
            </w:r>
          </w:p>
          <w:p w14:paraId="06797059">
            <w:pPr>
              <w:pStyle w:val="47"/>
              <w:spacing w:line="360" w:lineRule="auto"/>
              <w:ind w:firstLine="500" w:firstLineChars="200"/>
              <w:jc w:val="left"/>
              <w:rPr>
                <w:rFonts w:hint="eastAsia" w:ascii="Times New Roman" w:hAnsi="Times New Roman" w:cs="Times New Roman"/>
                <w:color w:val="auto"/>
                <w:spacing w:val="5"/>
                <w:sz w:val="24"/>
                <w:szCs w:val="24"/>
                <w:highlight w:val="none"/>
                <w:lang w:val="en-US" w:eastAsia="zh-CN"/>
              </w:rPr>
            </w:pPr>
            <w:r>
              <w:rPr>
                <w:rFonts w:hint="eastAsia" w:ascii="Times New Roman" w:hAnsi="Times New Roman" w:cs="Times New Roman"/>
                <w:color w:val="auto"/>
                <w:spacing w:val="5"/>
                <w:sz w:val="24"/>
                <w:szCs w:val="24"/>
                <w:highlight w:val="none"/>
                <w:lang w:eastAsia="zh-CN"/>
              </w:rPr>
              <w:t xml:space="preserve">1.3 </w:t>
            </w:r>
            <w:r>
              <w:rPr>
                <w:rFonts w:hint="eastAsia" w:ascii="Times New Roman" w:hAnsi="Times New Roman" w:cs="Times New Roman"/>
                <w:color w:val="auto"/>
                <w:spacing w:val="5"/>
                <w:sz w:val="24"/>
                <w:szCs w:val="24"/>
                <w:highlight w:val="none"/>
                <w:lang w:val="en-US" w:eastAsia="zh-CN"/>
              </w:rPr>
              <w:t>废气达标排放</w:t>
            </w:r>
          </w:p>
          <w:p w14:paraId="09B2C9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eastAsia="zh-CN"/>
              </w:rPr>
              <w:t>根据污染物产生及排放情况分析结果，本项目运营过程中各废气污染物排放达标性分析详见</w:t>
            </w:r>
            <w:r>
              <w:rPr>
                <w:rFonts w:hint="eastAsia" w:cs="Times New Roman"/>
                <w:b w:val="0"/>
                <w:bCs w:val="0"/>
                <w:color w:val="auto"/>
                <w:sz w:val="24"/>
                <w:szCs w:val="24"/>
                <w:highlight w:val="none"/>
                <w:lang w:val="en-US" w:eastAsia="zh-CN"/>
              </w:rPr>
              <w:t>下表</w:t>
            </w:r>
            <w:r>
              <w:rPr>
                <w:rFonts w:hint="eastAsia" w:ascii="Times New Roman" w:hAnsi="Times New Roman" w:eastAsia="宋体" w:cs="Times New Roman"/>
                <w:b w:val="0"/>
                <w:bCs w:val="0"/>
                <w:color w:val="auto"/>
                <w:sz w:val="24"/>
                <w:szCs w:val="24"/>
                <w:highlight w:val="none"/>
                <w:lang w:val="en-US" w:eastAsia="zh-CN"/>
              </w:rPr>
              <w:t>。</w:t>
            </w:r>
          </w:p>
          <w:p w14:paraId="2BB4FDCF">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Times New Roman" w:hAnsi="Times New Roman" w:eastAsia="宋体" w:cs="Times New Roman"/>
                <w:b/>
                <w:color w:val="auto"/>
                <w:kern w:val="0"/>
                <w:sz w:val="24"/>
                <w:szCs w:val="20"/>
                <w:lang w:val="en-US" w:eastAsia="zh-CN" w:bidi="ar-SA"/>
              </w:rPr>
            </w:pPr>
            <w:r>
              <w:rPr>
                <w:rFonts w:hint="eastAsia" w:ascii="Times New Roman" w:hAnsi="Times New Roman" w:eastAsia="宋体" w:cs="Times New Roman"/>
                <w:b/>
                <w:color w:val="auto"/>
                <w:kern w:val="0"/>
                <w:sz w:val="24"/>
                <w:szCs w:val="20"/>
                <w:lang w:val="en-US" w:eastAsia="zh-CN" w:bidi="ar-SA"/>
              </w:rPr>
              <w:t>表4-</w:t>
            </w:r>
            <w:r>
              <w:rPr>
                <w:rFonts w:hint="eastAsia" w:cs="Times New Roman"/>
                <w:b/>
                <w:color w:val="auto"/>
                <w:kern w:val="0"/>
                <w:sz w:val="24"/>
                <w:szCs w:val="20"/>
                <w:lang w:val="en-US" w:eastAsia="zh-CN" w:bidi="ar-SA"/>
              </w:rPr>
              <w:t>7</w:t>
            </w:r>
            <w:r>
              <w:rPr>
                <w:rFonts w:hint="eastAsia" w:ascii="Times New Roman" w:hAnsi="Times New Roman" w:eastAsia="宋体" w:cs="Times New Roman"/>
                <w:b/>
                <w:color w:val="auto"/>
                <w:kern w:val="0"/>
                <w:sz w:val="24"/>
                <w:szCs w:val="20"/>
                <w:lang w:val="en-US" w:eastAsia="zh-CN" w:bidi="ar-SA"/>
              </w:rPr>
              <w:t xml:space="preserve">   </w:t>
            </w:r>
            <w:r>
              <w:rPr>
                <w:rFonts w:hint="default" w:ascii="Times New Roman" w:hAnsi="Times New Roman" w:eastAsia="宋体" w:cs="Times New Roman"/>
                <w:b/>
                <w:color w:val="auto"/>
                <w:kern w:val="0"/>
                <w:sz w:val="24"/>
                <w:szCs w:val="20"/>
                <w:lang w:val="en-US" w:eastAsia="zh-CN" w:bidi="ar-SA"/>
              </w:rPr>
              <w:t>本项目</w:t>
            </w:r>
            <w:r>
              <w:rPr>
                <w:rFonts w:hint="eastAsia" w:ascii="Times New Roman" w:hAnsi="Times New Roman" w:eastAsia="宋体" w:cs="Times New Roman"/>
                <w:b/>
                <w:color w:val="auto"/>
                <w:kern w:val="0"/>
                <w:sz w:val="24"/>
                <w:szCs w:val="20"/>
                <w:lang w:val="en-US" w:eastAsia="zh-CN" w:bidi="ar-SA"/>
              </w:rPr>
              <w:t>污染物排放达标性分析一览表</w:t>
            </w:r>
          </w:p>
          <w:tbl>
            <w:tblPr>
              <w:tblStyle w:val="22"/>
              <w:tblW w:w="491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47"/>
              <w:gridCol w:w="744"/>
              <w:gridCol w:w="883"/>
              <w:gridCol w:w="898"/>
              <w:gridCol w:w="732"/>
              <w:gridCol w:w="808"/>
              <w:gridCol w:w="836"/>
              <w:gridCol w:w="1944"/>
              <w:gridCol w:w="479"/>
            </w:tblGrid>
            <w:tr w14:paraId="2154C9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72" w:type="pct"/>
                  <w:vMerge w:val="restart"/>
                  <w:tcBorders>
                    <w:top w:val="single" w:color="auto" w:sz="4" w:space="0"/>
                    <w:left w:val="single" w:color="auto" w:sz="0" w:space="0"/>
                    <w:tl2br w:val="nil"/>
                    <w:tr2bl w:val="nil"/>
                  </w:tcBorders>
                  <w:noWrap w:val="0"/>
                  <w:vAlign w:val="center"/>
                </w:tcPr>
                <w:p w14:paraId="3B1FC4CB">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eastAsia="zh-CN"/>
                    </w:rPr>
                  </w:pPr>
                  <w:r>
                    <w:rPr>
                      <w:rFonts w:hint="default" w:ascii="Times New Roman" w:hAnsi="Times New Roman" w:eastAsia="宋体" w:cs="Times New Roman"/>
                      <w:b/>
                      <w:bCs/>
                      <w:i w:val="0"/>
                      <w:iCs w:val="0"/>
                      <w:color w:val="auto"/>
                      <w:kern w:val="0"/>
                      <w:sz w:val="21"/>
                      <w:szCs w:val="21"/>
                      <w:u w:val="none"/>
                      <w:lang w:val="en-US" w:eastAsia="zh-CN" w:bidi="ar"/>
                    </w:rPr>
                    <w:t>排放口编号</w:t>
                  </w:r>
                </w:p>
              </w:tc>
              <w:tc>
                <w:tcPr>
                  <w:tcW w:w="449" w:type="pct"/>
                  <w:vMerge w:val="restart"/>
                  <w:tcBorders>
                    <w:top w:val="single" w:color="auto" w:sz="4" w:space="0"/>
                    <w:tl2br w:val="nil"/>
                    <w:tr2bl w:val="nil"/>
                  </w:tcBorders>
                  <w:noWrap w:val="0"/>
                  <w:vAlign w:val="center"/>
                </w:tcPr>
                <w:p w14:paraId="22E6E6ED">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b/>
                      <w:bCs/>
                      <w:i w:val="0"/>
                      <w:iCs w:val="0"/>
                      <w:color w:val="auto"/>
                      <w:kern w:val="0"/>
                      <w:sz w:val="21"/>
                      <w:szCs w:val="21"/>
                      <w:u w:val="none"/>
                      <w:lang w:val="en-US" w:eastAsia="zh-CN" w:bidi="ar"/>
                    </w:rPr>
                  </w:pPr>
                  <w:r>
                    <w:rPr>
                      <w:rFonts w:hint="eastAsia" w:ascii="Times New Roman" w:hAnsi="Times New Roman" w:eastAsia="宋体" w:cs="Times New Roman"/>
                      <w:b/>
                      <w:bCs/>
                      <w:i w:val="0"/>
                      <w:iCs w:val="0"/>
                      <w:color w:val="auto"/>
                      <w:kern w:val="0"/>
                      <w:sz w:val="21"/>
                      <w:szCs w:val="21"/>
                      <w:u w:val="none"/>
                      <w:lang w:val="en-US" w:eastAsia="zh-CN" w:bidi="ar"/>
                    </w:rPr>
                    <w:t>期数</w:t>
                  </w:r>
                </w:p>
              </w:tc>
              <w:tc>
                <w:tcPr>
                  <w:tcW w:w="533" w:type="pct"/>
                  <w:vMerge w:val="restart"/>
                  <w:tcBorders>
                    <w:top w:val="single" w:color="auto" w:sz="4" w:space="0"/>
                    <w:tl2br w:val="nil"/>
                    <w:tr2bl w:val="nil"/>
                  </w:tcBorders>
                  <w:noWrap w:val="0"/>
                  <w:vAlign w:val="center"/>
                </w:tcPr>
                <w:p w14:paraId="30390C7C">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污染物种类</w:t>
                  </w:r>
                </w:p>
              </w:tc>
              <w:tc>
                <w:tcPr>
                  <w:tcW w:w="985" w:type="pct"/>
                  <w:gridSpan w:val="2"/>
                  <w:tcBorders>
                    <w:top w:val="single" w:color="auto" w:sz="4" w:space="0"/>
                    <w:tl2br w:val="nil"/>
                    <w:tr2bl w:val="nil"/>
                  </w:tcBorders>
                  <w:noWrap w:val="0"/>
                  <w:vAlign w:val="center"/>
                </w:tcPr>
                <w:p w14:paraId="39BFEBB3">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污染物排放情况</w:t>
                  </w:r>
                </w:p>
              </w:tc>
              <w:tc>
                <w:tcPr>
                  <w:tcW w:w="993" w:type="pct"/>
                  <w:gridSpan w:val="2"/>
                  <w:tcBorders>
                    <w:top w:val="single" w:color="auto" w:sz="4" w:space="0"/>
                    <w:tl2br w:val="nil"/>
                    <w:tr2bl w:val="nil"/>
                  </w:tcBorders>
                  <w:noWrap w:val="0"/>
                  <w:vAlign w:val="center"/>
                </w:tcPr>
                <w:p w14:paraId="7E44163D">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标准限值</w:t>
                  </w:r>
                </w:p>
              </w:tc>
              <w:tc>
                <w:tcPr>
                  <w:tcW w:w="1175" w:type="pct"/>
                  <w:vMerge w:val="restart"/>
                  <w:tcBorders>
                    <w:top w:val="single" w:color="auto" w:sz="4" w:space="0"/>
                    <w:tl2br w:val="nil"/>
                    <w:tr2bl w:val="nil"/>
                  </w:tcBorders>
                  <w:noWrap w:val="0"/>
                  <w:vAlign w:val="center"/>
                </w:tcPr>
                <w:p w14:paraId="037A53B5">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标准来源</w:t>
                  </w:r>
                </w:p>
              </w:tc>
              <w:tc>
                <w:tcPr>
                  <w:tcW w:w="289" w:type="pct"/>
                  <w:vMerge w:val="restart"/>
                  <w:tcBorders>
                    <w:top w:val="single" w:color="auto" w:sz="4" w:space="0"/>
                    <w:right w:val="single" w:color="auto" w:sz="4" w:space="0"/>
                    <w:tl2br w:val="nil"/>
                    <w:tr2bl w:val="nil"/>
                  </w:tcBorders>
                  <w:noWrap w:val="0"/>
                  <w:vAlign w:val="center"/>
                </w:tcPr>
                <w:p w14:paraId="1F51DD6B">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达标性</w:t>
                  </w:r>
                </w:p>
              </w:tc>
            </w:tr>
            <w:tr w14:paraId="41FF38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572" w:type="pct"/>
                  <w:vMerge w:val="continue"/>
                  <w:tcBorders>
                    <w:left w:val="single" w:color="auto" w:sz="4" w:space="0"/>
                    <w:tl2br w:val="nil"/>
                    <w:tr2bl w:val="nil"/>
                  </w:tcBorders>
                  <w:noWrap w:val="0"/>
                  <w:vAlign w:val="center"/>
                </w:tcPr>
                <w:p w14:paraId="3C9E0EDD">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449" w:type="pct"/>
                  <w:vMerge w:val="continue"/>
                  <w:tcBorders>
                    <w:tl2br w:val="nil"/>
                    <w:tr2bl w:val="nil"/>
                  </w:tcBorders>
                  <w:noWrap w:val="0"/>
                  <w:vAlign w:val="center"/>
                </w:tcPr>
                <w:p w14:paraId="0BBC5A4E">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533" w:type="pct"/>
                  <w:vMerge w:val="continue"/>
                  <w:tcBorders>
                    <w:tl2br w:val="nil"/>
                    <w:tr2bl w:val="nil"/>
                  </w:tcBorders>
                  <w:noWrap w:val="0"/>
                  <w:vAlign w:val="center"/>
                </w:tcPr>
                <w:p w14:paraId="6E6DE2D8">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val="en-US" w:eastAsia="zh-CN"/>
                    </w:rPr>
                  </w:pPr>
                </w:p>
              </w:tc>
              <w:tc>
                <w:tcPr>
                  <w:tcW w:w="542" w:type="pct"/>
                  <w:tcBorders>
                    <w:tl2br w:val="nil"/>
                    <w:tr2bl w:val="nil"/>
                  </w:tcBorders>
                  <w:noWrap w:val="0"/>
                  <w:vAlign w:val="center"/>
                </w:tcPr>
                <w:p w14:paraId="23AD3FA1">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排放速率kg/h</w:t>
                  </w:r>
                </w:p>
              </w:tc>
              <w:tc>
                <w:tcPr>
                  <w:tcW w:w="442" w:type="pct"/>
                  <w:tcBorders>
                    <w:tl2br w:val="nil"/>
                    <w:tr2bl w:val="nil"/>
                  </w:tcBorders>
                  <w:noWrap w:val="0"/>
                  <w:vAlign w:val="center"/>
                </w:tcPr>
                <w:p w14:paraId="25112DBE">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排放</w:t>
                  </w:r>
                </w:p>
                <w:p w14:paraId="39A62B04">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浓度mg/m</w:t>
                  </w:r>
                  <w:r>
                    <w:rPr>
                      <w:rFonts w:hint="eastAsia" w:ascii="Times New Roman" w:hAnsi="Times New Roman" w:eastAsia="宋体" w:cs="Times New Roman"/>
                      <w:b/>
                      <w:bCs/>
                      <w:color w:val="auto"/>
                      <w:sz w:val="21"/>
                      <w:szCs w:val="21"/>
                      <w:vertAlign w:val="superscript"/>
                      <w:lang w:val="en-US" w:eastAsia="zh-CN"/>
                    </w:rPr>
                    <w:t>3</w:t>
                  </w:r>
                </w:p>
              </w:tc>
              <w:tc>
                <w:tcPr>
                  <w:tcW w:w="488" w:type="pct"/>
                  <w:tcBorders>
                    <w:tl2br w:val="nil"/>
                    <w:tr2bl w:val="nil"/>
                  </w:tcBorders>
                  <w:noWrap w:val="0"/>
                  <w:vAlign w:val="center"/>
                </w:tcPr>
                <w:p w14:paraId="6A41E37C">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排放浓度限值mg/m</w:t>
                  </w:r>
                  <w:r>
                    <w:rPr>
                      <w:rFonts w:hint="eastAsia" w:ascii="Times New Roman" w:hAnsi="Times New Roman" w:eastAsia="宋体" w:cs="Times New Roman"/>
                      <w:b/>
                      <w:bCs/>
                      <w:color w:val="auto"/>
                      <w:sz w:val="21"/>
                      <w:szCs w:val="21"/>
                      <w:vertAlign w:val="superscript"/>
                      <w:lang w:val="en-US" w:eastAsia="zh-CN"/>
                    </w:rPr>
                    <w:t>3</w:t>
                  </w:r>
                </w:p>
              </w:tc>
              <w:tc>
                <w:tcPr>
                  <w:tcW w:w="505" w:type="pct"/>
                  <w:tcBorders>
                    <w:tl2br w:val="nil"/>
                    <w:tr2bl w:val="nil"/>
                  </w:tcBorders>
                  <w:noWrap w:val="0"/>
                  <w:vAlign w:val="center"/>
                </w:tcPr>
                <w:p w14:paraId="3FE8D092">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排放速率限值kg/h</w:t>
                  </w:r>
                </w:p>
              </w:tc>
              <w:tc>
                <w:tcPr>
                  <w:tcW w:w="1175" w:type="pct"/>
                  <w:vMerge w:val="continue"/>
                  <w:tcBorders>
                    <w:tl2br w:val="nil"/>
                    <w:tr2bl w:val="nil"/>
                  </w:tcBorders>
                  <w:noWrap w:val="0"/>
                  <w:vAlign w:val="center"/>
                </w:tcPr>
                <w:p w14:paraId="6AB054B0">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p>
              </w:tc>
              <w:tc>
                <w:tcPr>
                  <w:tcW w:w="289" w:type="pct"/>
                  <w:vMerge w:val="continue"/>
                  <w:tcBorders>
                    <w:right w:val="single" w:color="auto" w:sz="4" w:space="0"/>
                    <w:tl2br w:val="nil"/>
                    <w:tr2bl w:val="nil"/>
                  </w:tcBorders>
                  <w:noWrap w:val="0"/>
                  <w:vAlign w:val="center"/>
                </w:tcPr>
                <w:p w14:paraId="4C43C4DE">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color w:val="auto"/>
                      <w:sz w:val="21"/>
                      <w:szCs w:val="21"/>
                      <w:lang w:val="en-US" w:eastAsia="zh-CN"/>
                    </w:rPr>
                  </w:pPr>
                </w:p>
              </w:tc>
            </w:tr>
            <w:tr w14:paraId="3CE44A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572" w:type="pct"/>
                  <w:vMerge w:val="restart"/>
                  <w:tcBorders>
                    <w:left w:val="single" w:color="auto" w:sz="4" w:space="0"/>
                    <w:tl2br w:val="nil"/>
                    <w:tr2bl w:val="nil"/>
                  </w:tcBorders>
                  <w:shd w:val="clear" w:color="auto" w:fill="auto"/>
                  <w:noWrap w:val="0"/>
                  <w:vAlign w:val="center"/>
                </w:tcPr>
                <w:p w14:paraId="5A8263EE">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lang w:val="en-US" w:eastAsia="zh-CN" w:bidi="ar-SA"/>
                    </w:rPr>
                  </w:pPr>
                  <w:r>
                    <w:rPr>
                      <w:rFonts w:hint="eastAsia" w:ascii="Times New Roman" w:hAnsi="Times New Roman" w:eastAsia="宋体" w:cs="Times New Roman"/>
                      <w:bCs/>
                      <w:color w:val="auto"/>
                      <w:sz w:val="21"/>
                      <w:szCs w:val="21"/>
                      <w:lang w:val="en-US" w:eastAsia="zh-CN"/>
                    </w:rPr>
                    <w:t>DA</w:t>
                  </w:r>
                  <w:r>
                    <w:rPr>
                      <w:rFonts w:hint="eastAsia" w:ascii="Times New Roman" w:hAnsi="Times New Roman" w:eastAsia="宋体" w:cs="Times New Roman"/>
                      <w:bCs/>
                      <w:color w:val="auto"/>
                      <w:sz w:val="21"/>
                      <w:szCs w:val="21"/>
                      <w:lang w:eastAsia="zh-CN"/>
                    </w:rPr>
                    <w:t>（</w:t>
                  </w:r>
                  <w:r>
                    <w:rPr>
                      <w:rFonts w:hint="eastAsia" w:ascii="Times New Roman" w:hAnsi="Times New Roman" w:eastAsia="宋体" w:cs="Times New Roman"/>
                      <w:bCs/>
                      <w:color w:val="auto"/>
                      <w:sz w:val="21"/>
                      <w:szCs w:val="21"/>
                      <w:lang w:val="en-US" w:eastAsia="zh-CN"/>
                    </w:rPr>
                    <w:t>001</w:t>
                  </w:r>
                  <w:r>
                    <w:rPr>
                      <w:rFonts w:hint="eastAsia" w:ascii="Times New Roman" w:hAnsi="Times New Roman" w:eastAsia="宋体" w:cs="Times New Roman"/>
                      <w:bCs/>
                      <w:color w:val="auto"/>
                      <w:sz w:val="21"/>
                      <w:szCs w:val="21"/>
                      <w:lang w:eastAsia="zh-CN"/>
                    </w:rPr>
                    <w:t>）</w:t>
                  </w:r>
                </w:p>
              </w:tc>
              <w:tc>
                <w:tcPr>
                  <w:tcW w:w="449" w:type="pct"/>
                  <w:vMerge w:val="restart"/>
                  <w:tcBorders>
                    <w:tl2br w:val="nil"/>
                    <w:tr2bl w:val="nil"/>
                  </w:tcBorders>
                  <w:shd w:val="clear" w:color="auto" w:fill="auto"/>
                  <w:noWrap w:val="0"/>
                  <w:vAlign w:val="center"/>
                </w:tcPr>
                <w:p w14:paraId="121DD437">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一期</w:t>
                  </w:r>
                </w:p>
                <w:p w14:paraId="2D6A832D">
                  <w:pPr>
                    <w:pStyle w:val="19"/>
                    <w:spacing w:before="0" w:beforeAutospacing="0" w:after="0" w:afterAutospacing="0"/>
                    <w:jc w:val="center"/>
                    <w:outlineLvl w:val="0"/>
                    <w:rPr>
                      <w:rFonts w:hint="eastAsia" w:ascii="Times New Roman" w:hAnsi="Times New Roman" w:eastAsia="宋体" w:cs="Times New Roman"/>
                      <w:bCs/>
                      <w:color w:val="auto"/>
                      <w:sz w:val="21"/>
                      <w:szCs w:val="21"/>
                      <w:lang w:val="en-US" w:eastAsia="zh-CN"/>
                    </w:rPr>
                  </w:pPr>
                </w:p>
              </w:tc>
              <w:tc>
                <w:tcPr>
                  <w:tcW w:w="533" w:type="pct"/>
                  <w:tcBorders>
                    <w:tl2br w:val="nil"/>
                    <w:tr2bl w:val="nil"/>
                  </w:tcBorders>
                  <w:shd w:val="clear" w:color="auto" w:fill="auto"/>
                  <w:noWrap w:val="0"/>
                  <w:vAlign w:val="center"/>
                </w:tcPr>
                <w:p w14:paraId="3D6F2A57">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颗粒物</w:t>
                  </w:r>
                </w:p>
              </w:tc>
              <w:tc>
                <w:tcPr>
                  <w:tcW w:w="542" w:type="pct"/>
                  <w:tcBorders>
                    <w:tl2br w:val="nil"/>
                    <w:tr2bl w:val="nil"/>
                  </w:tcBorders>
                  <w:shd w:val="clear" w:color="auto" w:fill="auto"/>
                  <w:noWrap w:val="0"/>
                  <w:vAlign w:val="center"/>
                </w:tcPr>
                <w:p w14:paraId="4E9EE80E">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highlight w:val="none"/>
                      <w:lang w:val="en-US" w:eastAsia="zh-CN"/>
                    </w:rPr>
                    <w:t>0.00106</w:t>
                  </w:r>
                </w:p>
              </w:tc>
              <w:tc>
                <w:tcPr>
                  <w:tcW w:w="442" w:type="pct"/>
                  <w:tcBorders>
                    <w:tl2br w:val="nil"/>
                    <w:tr2bl w:val="nil"/>
                  </w:tcBorders>
                  <w:shd w:val="clear" w:color="auto" w:fill="auto"/>
                  <w:noWrap w:val="0"/>
                  <w:vAlign w:val="center"/>
                </w:tcPr>
                <w:p w14:paraId="75CCF48B">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0.106</w:t>
                  </w:r>
                </w:p>
              </w:tc>
              <w:tc>
                <w:tcPr>
                  <w:tcW w:w="488" w:type="pct"/>
                  <w:tcBorders>
                    <w:tl2br w:val="nil"/>
                    <w:tr2bl w:val="nil"/>
                  </w:tcBorders>
                  <w:noWrap w:val="0"/>
                  <w:vAlign w:val="center"/>
                </w:tcPr>
                <w:p w14:paraId="76769462">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30</w:t>
                  </w:r>
                </w:p>
              </w:tc>
              <w:tc>
                <w:tcPr>
                  <w:tcW w:w="505" w:type="pct"/>
                  <w:tcBorders>
                    <w:tl2br w:val="nil"/>
                    <w:tr2bl w:val="nil"/>
                  </w:tcBorders>
                  <w:noWrap w:val="0"/>
                  <w:vAlign w:val="center"/>
                </w:tcPr>
                <w:p w14:paraId="3841DEDE">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w:t>
                  </w:r>
                </w:p>
              </w:tc>
              <w:tc>
                <w:tcPr>
                  <w:tcW w:w="1175" w:type="pct"/>
                  <w:vMerge w:val="restart"/>
                  <w:tcBorders>
                    <w:tl2br w:val="nil"/>
                    <w:tr2bl w:val="nil"/>
                  </w:tcBorders>
                  <w:noWrap w:val="0"/>
                  <w:vAlign w:val="center"/>
                </w:tcPr>
                <w:p w14:paraId="7996EF2C">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lang w:val="en-US" w:eastAsia="zh-CN" w:bidi="ar"/>
                    </w:rPr>
                    <w:t>《合成树脂工业污染物排放标准》(GB31572-2015)表4标准</w:t>
                  </w:r>
                </w:p>
              </w:tc>
              <w:tc>
                <w:tcPr>
                  <w:tcW w:w="289" w:type="pct"/>
                  <w:tcBorders>
                    <w:right w:val="single" w:color="auto" w:sz="4" w:space="0"/>
                    <w:tl2br w:val="nil"/>
                    <w:tr2bl w:val="nil"/>
                  </w:tcBorders>
                  <w:noWrap w:val="0"/>
                  <w:vAlign w:val="center"/>
                </w:tcPr>
                <w:p w14:paraId="4444B990">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达标</w:t>
                  </w:r>
                </w:p>
              </w:tc>
            </w:tr>
            <w:tr w14:paraId="6B3A1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572" w:type="pct"/>
                  <w:vMerge w:val="continue"/>
                  <w:tcBorders>
                    <w:left w:val="single" w:color="auto" w:sz="4" w:space="0"/>
                    <w:tl2br w:val="nil"/>
                    <w:tr2bl w:val="nil"/>
                  </w:tcBorders>
                  <w:noWrap w:val="0"/>
                  <w:vAlign w:val="center"/>
                </w:tcPr>
                <w:p w14:paraId="5A1B6562">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449" w:type="pct"/>
                  <w:vMerge w:val="continue"/>
                  <w:tcBorders>
                    <w:tl2br w:val="nil"/>
                    <w:tr2bl w:val="nil"/>
                  </w:tcBorders>
                  <w:shd w:val="clear" w:color="auto" w:fill="auto"/>
                  <w:noWrap w:val="0"/>
                  <w:vAlign w:val="center"/>
                </w:tcPr>
                <w:p w14:paraId="54F7F0C1">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533" w:type="pct"/>
                  <w:tcBorders>
                    <w:tl2br w:val="nil"/>
                    <w:tr2bl w:val="nil"/>
                  </w:tcBorders>
                  <w:shd w:val="clear" w:color="auto" w:fill="auto"/>
                  <w:noWrap w:val="0"/>
                  <w:vAlign w:val="center"/>
                </w:tcPr>
                <w:p w14:paraId="4CB22DFC">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非甲烷总烃</w:t>
                  </w:r>
                </w:p>
              </w:tc>
              <w:tc>
                <w:tcPr>
                  <w:tcW w:w="542" w:type="pct"/>
                  <w:tcBorders>
                    <w:tl2br w:val="nil"/>
                    <w:tr2bl w:val="nil"/>
                  </w:tcBorders>
                  <w:shd w:val="clear" w:color="auto" w:fill="auto"/>
                  <w:noWrap w:val="0"/>
                  <w:vAlign w:val="center"/>
                </w:tcPr>
                <w:p w14:paraId="643EC423">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0.1667</w:t>
                  </w:r>
                </w:p>
              </w:tc>
              <w:tc>
                <w:tcPr>
                  <w:tcW w:w="442" w:type="pct"/>
                  <w:tcBorders>
                    <w:tl2br w:val="nil"/>
                    <w:tr2bl w:val="nil"/>
                  </w:tcBorders>
                  <w:shd w:val="clear" w:color="auto" w:fill="auto"/>
                  <w:noWrap w:val="0"/>
                  <w:vAlign w:val="center"/>
                </w:tcPr>
                <w:p w14:paraId="022DAC2D">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16.676</w:t>
                  </w:r>
                </w:p>
              </w:tc>
              <w:tc>
                <w:tcPr>
                  <w:tcW w:w="488" w:type="pct"/>
                  <w:tcBorders>
                    <w:tl2br w:val="nil"/>
                    <w:tr2bl w:val="nil"/>
                  </w:tcBorders>
                  <w:noWrap w:val="0"/>
                  <w:vAlign w:val="center"/>
                </w:tcPr>
                <w:p w14:paraId="55588920">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100</w:t>
                  </w:r>
                </w:p>
              </w:tc>
              <w:tc>
                <w:tcPr>
                  <w:tcW w:w="505" w:type="pct"/>
                  <w:tcBorders>
                    <w:tl2br w:val="nil"/>
                    <w:tr2bl w:val="nil"/>
                  </w:tcBorders>
                  <w:noWrap w:val="0"/>
                  <w:vAlign w:val="center"/>
                </w:tcPr>
                <w:p w14:paraId="6ECD5C56">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w:t>
                  </w:r>
                </w:p>
              </w:tc>
              <w:tc>
                <w:tcPr>
                  <w:tcW w:w="1175" w:type="pct"/>
                  <w:vMerge w:val="continue"/>
                  <w:tcBorders>
                    <w:tl2br w:val="nil"/>
                    <w:tr2bl w:val="nil"/>
                  </w:tcBorders>
                  <w:noWrap w:val="0"/>
                  <w:vAlign w:val="center"/>
                </w:tcPr>
                <w:p w14:paraId="5902AA1F">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p>
              </w:tc>
              <w:tc>
                <w:tcPr>
                  <w:tcW w:w="289" w:type="pct"/>
                  <w:tcBorders>
                    <w:right w:val="single" w:color="auto" w:sz="4" w:space="0"/>
                    <w:tl2br w:val="nil"/>
                    <w:tr2bl w:val="nil"/>
                  </w:tcBorders>
                  <w:noWrap w:val="0"/>
                  <w:vAlign w:val="center"/>
                </w:tcPr>
                <w:p w14:paraId="03BED728">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达标</w:t>
                  </w:r>
                </w:p>
              </w:tc>
            </w:tr>
            <w:tr w14:paraId="4A243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572" w:type="pct"/>
                  <w:vMerge w:val="continue"/>
                  <w:tcBorders>
                    <w:left w:val="single" w:color="auto" w:sz="4" w:space="0"/>
                    <w:tl2br w:val="nil"/>
                    <w:tr2bl w:val="nil"/>
                  </w:tcBorders>
                  <w:shd w:val="clear" w:color="auto" w:fill="auto"/>
                  <w:noWrap w:val="0"/>
                  <w:vAlign w:val="center"/>
                </w:tcPr>
                <w:p w14:paraId="6C32EB3F">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lang w:val="en-US" w:eastAsia="zh-CN" w:bidi="ar-SA"/>
                    </w:rPr>
                  </w:pPr>
                </w:p>
              </w:tc>
              <w:tc>
                <w:tcPr>
                  <w:tcW w:w="449" w:type="pct"/>
                  <w:vMerge w:val="continue"/>
                  <w:tcBorders>
                    <w:tl2br w:val="nil"/>
                    <w:tr2bl w:val="nil"/>
                  </w:tcBorders>
                  <w:shd w:val="clear" w:color="auto" w:fill="auto"/>
                  <w:noWrap w:val="0"/>
                  <w:vAlign w:val="center"/>
                </w:tcPr>
                <w:p w14:paraId="2BE8A9B3">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lang w:val="en-US" w:eastAsia="zh-CN" w:bidi="ar-SA"/>
                    </w:rPr>
                  </w:pPr>
                </w:p>
              </w:tc>
              <w:tc>
                <w:tcPr>
                  <w:tcW w:w="533" w:type="pct"/>
                  <w:tcBorders>
                    <w:tl2br w:val="nil"/>
                    <w:tr2bl w:val="nil"/>
                  </w:tcBorders>
                  <w:shd w:val="clear" w:color="auto" w:fill="auto"/>
                  <w:noWrap w:val="0"/>
                  <w:vAlign w:val="center"/>
                </w:tcPr>
                <w:p w14:paraId="1D2BFBA8">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臭气浓度</w:t>
                  </w:r>
                </w:p>
              </w:tc>
              <w:tc>
                <w:tcPr>
                  <w:tcW w:w="542" w:type="pct"/>
                  <w:tcBorders>
                    <w:tl2br w:val="nil"/>
                    <w:tr2bl w:val="nil"/>
                  </w:tcBorders>
                  <w:shd w:val="clear" w:color="auto" w:fill="auto"/>
                  <w:noWrap w:val="0"/>
                  <w:vAlign w:val="center"/>
                </w:tcPr>
                <w:p w14:paraId="05730C0C">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b/>
                      <w:bCs/>
                      <w:color w:val="auto"/>
                      <w:sz w:val="21"/>
                      <w:szCs w:val="21"/>
                      <w:lang w:val="en-US" w:eastAsia="zh-CN"/>
                    </w:rPr>
                    <w:t>/</w:t>
                  </w:r>
                </w:p>
              </w:tc>
              <w:tc>
                <w:tcPr>
                  <w:tcW w:w="442" w:type="pct"/>
                  <w:tcBorders>
                    <w:tl2br w:val="nil"/>
                    <w:tr2bl w:val="nil"/>
                  </w:tcBorders>
                  <w:shd w:val="clear" w:color="auto" w:fill="auto"/>
                  <w:noWrap w:val="0"/>
                  <w:vAlign w:val="center"/>
                </w:tcPr>
                <w:p w14:paraId="03B75669">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b/>
                      <w:bCs/>
                      <w:color w:val="auto"/>
                      <w:sz w:val="21"/>
                      <w:szCs w:val="21"/>
                      <w:lang w:val="en-US" w:eastAsia="zh-CN"/>
                    </w:rPr>
                    <w:t>/</w:t>
                  </w:r>
                </w:p>
              </w:tc>
              <w:tc>
                <w:tcPr>
                  <w:tcW w:w="488" w:type="pct"/>
                  <w:tcBorders>
                    <w:tl2br w:val="nil"/>
                    <w:tr2bl w:val="nil"/>
                  </w:tcBorders>
                  <w:noWrap w:val="0"/>
                  <w:vAlign w:val="center"/>
                </w:tcPr>
                <w:p w14:paraId="24FC4F4C">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宋体" w:cs="Times New Roman"/>
                      <w:b w:val="0"/>
                      <w:bCs w:val="0"/>
                      <w:color w:val="auto"/>
                      <w:sz w:val="21"/>
                      <w:szCs w:val="21"/>
                      <w:lang w:val="en-US" w:eastAsia="zh-CN"/>
                    </w:rPr>
                  </w:pPr>
                  <w:r>
                    <w:rPr>
                      <w:rFonts w:hint="eastAsia"/>
                      <w:b w:val="0"/>
                      <w:bCs w:val="0"/>
                      <w:color w:val="auto"/>
                      <w:sz w:val="21"/>
                      <w:szCs w:val="21"/>
                      <w:vertAlign w:val="baseline"/>
                      <w:lang w:val="en-US" w:eastAsia="zh-CN"/>
                    </w:rPr>
                    <w:t>2000（无量纲）</w:t>
                  </w:r>
                </w:p>
              </w:tc>
              <w:tc>
                <w:tcPr>
                  <w:tcW w:w="505" w:type="pct"/>
                  <w:tcBorders>
                    <w:tl2br w:val="nil"/>
                    <w:tr2bl w:val="nil"/>
                  </w:tcBorders>
                  <w:noWrap w:val="0"/>
                  <w:vAlign w:val="center"/>
                </w:tcPr>
                <w:p w14:paraId="672E57FB">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w:t>
                  </w:r>
                </w:p>
              </w:tc>
              <w:tc>
                <w:tcPr>
                  <w:tcW w:w="1175" w:type="pct"/>
                  <w:tcBorders>
                    <w:tl2br w:val="nil"/>
                    <w:tr2bl w:val="nil"/>
                  </w:tcBorders>
                  <w:noWrap w:val="0"/>
                  <w:vAlign w:val="center"/>
                </w:tcPr>
                <w:p w14:paraId="33C68B72">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lang w:val="en-US" w:eastAsia="zh-CN" w:bidi="ar"/>
                    </w:rPr>
                    <w:t>《恶臭污染物排放标准》(GB14554-93)表2中的恶臭污染物排放标准限值</w:t>
                  </w:r>
                </w:p>
              </w:tc>
              <w:tc>
                <w:tcPr>
                  <w:tcW w:w="289" w:type="pct"/>
                  <w:tcBorders>
                    <w:right w:val="single" w:color="auto" w:sz="4" w:space="0"/>
                    <w:tl2br w:val="nil"/>
                    <w:tr2bl w:val="nil"/>
                  </w:tcBorders>
                  <w:shd w:val="clear" w:color="auto" w:fill="auto"/>
                  <w:noWrap w:val="0"/>
                  <w:vAlign w:val="center"/>
                </w:tcPr>
                <w:p w14:paraId="29B642FD">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w:t>
                  </w:r>
                </w:p>
              </w:tc>
            </w:tr>
            <w:tr w14:paraId="1F45B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72" w:type="pct"/>
                  <w:vMerge w:val="continue"/>
                  <w:tcBorders>
                    <w:left w:val="single" w:color="auto" w:sz="4" w:space="0"/>
                    <w:tl2br w:val="nil"/>
                    <w:tr2bl w:val="nil"/>
                  </w:tcBorders>
                  <w:noWrap w:val="0"/>
                  <w:vAlign w:val="center"/>
                </w:tcPr>
                <w:p w14:paraId="03917470">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449" w:type="pct"/>
                  <w:vMerge w:val="restart"/>
                  <w:tcBorders>
                    <w:tl2br w:val="nil"/>
                    <w:tr2bl w:val="nil"/>
                  </w:tcBorders>
                  <w:shd w:val="clear" w:color="auto" w:fill="auto"/>
                  <w:noWrap w:val="0"/>
                  <w:vAlign w:val="center"/>
                </w:tcPr>
                <w:p w14:paraId="3726A749">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二期</w:t>
                  </w:r>
                  <w:r>
                    <w:rPr>
                      <w:rFonts w:hint="eastAsia" w:cs="Times New Roman"/>
                      <w:color w:val="auto"/>
                      <w:lang w:val="en-US" w:eastAsia="zh-CN"/>
                    </w:rPr>
                    <w:t>（全部建成后）</w:t>
                  </w:r>
                </w:p>
              </w:tc>
              <w:tc>
                <w:tcPr>
                  <w:tcW w:w="533" w:type="pct"/>
                  <w:tcBorders>
                    <w:tl2br w:val="nil"/>
                    <w:tr2bl w:val="nil"/>
                  </w:tcBorders>
                  <w:shd w:val="clear" w:color="auto" w:fill="auto"/>
                  <w:noWrap w:val="0"/>
                  <w:vAlign w:val="center"/>
                </w:tcPr>
                <w:p w14:paraId="2EB48EC3">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颗粒物</w:t>
                  </w:r>
                </w:p>
              </w:tc>
              <w:tc>
                <w:tcPr>
                  <w:tcW w:w="542" w:type="pct"/>
                  <w:tcBorders>
                    <w:tl2br w:val="nil"/>
                    <w:tr2bl w:val="nil"/>
                  </w:tcBorders>
                  <w:shd w:val="clear" w:color="auto" w:fill="auto"/>
                  <w:noWrap w:val="0"/>
                  <w:vAlign w:val="center"/>
                </w:tcPr>
                <w:p w14:paraId="292B3FBC">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0.00212</w:t>
                  </w:r>
                </w:p>
              </w:tc>
              <w:tc>
                <w:tcPr>
                  <w:tcW w:w="442" w:type="pct"/>
                  <w:tcBorders>
                    <w:tl2br w:val="nil"/>
                    <w:tr2bl w:val="nil"/>
                  </w:tcBorders>
                  <w:shd w:val="clear" w:color="auto" w:fill="auto"/>
                  <w:noWrap w:val="0"/>
                  <w:vAlign w:val="center"/>
                </w:tcPr>
                <w:p w14:paraId="1D7D8496">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0.212</w:t>
                  </w:r>
                </w:p>
              </w:tc>
              <w:tc>
                <w:tcPr>
                  <w:tcW w:w="488" w:type="pct"/>
                  <w:tcBorders>
                    <w:tl2br w:val="nil"/>
                    <w:tr2bl w:val="nil"/>
                  </w:tcBorders>
                  <w:shd w:val="clear" w:color="auto" w:fill="auto"/>
                  <w:noWrap w:val="0"/>
                  <w:vAlign w:val="center"/>
                </w:tcPr>
                <w:p w14:paraId="50E9A2C4">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30</w:t>
                  </w:r>
                </w:p>
              </w:tc>
              <w:tc>
                <w:tcPr>
                  <w:tcW w:w="505" w:type="pct"/>
                  <w:tcBorders>
                    <w:tl2br w:val="nil"/>
                    <w:tr2bl w:val="nil"/>
                  </w:tcBorders>
                  <w:shd w:val="clear" w:color="auto" w:fill="auto"/>
                  <w:noWrap w:val="0"/>
                  <w:vAlign w:val="center"/>
                </w:tcPr>
                <w:p w14:paraId="24281DFE">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bCs/>
                      <w:color w:val="auto"/>
                      <w:kern w:val="2"/>
                      <w:sz w:val="21"/>
                      <w:szCs w:val="21"/>
                      <w:lang w:val="en-US" w:eastAsia="zh-CN" w:bidi="ar-SA"/>
                    </w:rPr>
                  </w:pPr>
                  <w:r>
                    <w:rPr>
                      <w:rFonts w:hint="eastAsia" w:cs="Times New Roman"/>
                      <w:b/>
                      <w:bCs/>
                      <w:color w:val="auto"/>
                      <w:sz w:val="21"/>
                      <w:szCs w:val="21"/>
                      <w:lang w:val="en-US" w:eastAsia="zh-CN"/>
                    </w:rPr>
                    <w:t>/</w:t>
                  </w:r>
                </w:p>
              </w:tc>
              <w:tc>
                <w:tcPr>
                  <w:tcW w:w="1175" w:type="pct"/>
                  <w:vMerge w:val="restart"/>
                  <w:tcBorders>
                    <w:tl2br w:val="nil"/>
                    <w:tr2bl w:val="nil"/>
                  </w:tcBorders>
                  <w:noWrap w:val="0"/>
                  <w:vAlign w:val="center"/>
                </w:tcPr>
                <w:p w14:paraId="5B6D06DC">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kern w:val="0"/>
                      <w:sz w:val="21"/>
                      <w:szCs w:val="21"/>
                      <w:lang w:val="en-US" w:eastAsia="zh-CN" w:bidi="ar"/>
                    </w:rPr>
                    <w:t>《合成树脂工业污染物排放标准》(GB31572-2015)表4标准</w:t>
                  </w:r>
                </w:p>
              </w:tc>
              <w:tc>
                <w:tcPr>
                  <w:tcW w:w="289" w:type="pct"/>
                  <w:tcBorders>
                    <w:right w:val="single" w:color="auto" w:sz="4" w:space="0"/>
                    <w:tl2br w:val="nil"/>
                    <w:tr2bl w:val="nil"/>
                  </w:tcBorders>
                  <w:shd w:val="clear" w:color="auto" w:fill="auto"/>
                  <w:noWrap w:val="0"/>
                  <w:vAlign w:val="center"/>
                </w:tcPr>
                <w:p w14:paraId="775C0FF1">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达标</w:t>
                  </w:r>
                </w:p>
              </w:tc>
            </w:tr>
            <w:tr w14:paraId="01A323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72" w:type="pct"/>
                  <w:vMerge w:val="continue"/>
                  <w:tcBorders>
                    <w:left w:val="single" w:color="auto" w:sz="4" w:space="0"/>
                    <w:tl2br w:val="nil"/>
                    <w:tr2bl w:val="nil"/>
                  </w:tcBorders>
                  <w:noWrap w:val="0"/>
                  <w:vAlign w:val="center"/>
                </w:tcPr>
                <w:p w14:paraId="4597AFEB">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449" w:type="pct"/>
                  <w:vMerge w:val="continue"/>
                  <w:tcBorders>
                    <w:tl2br w:val="nil"/>
                    <w:tr2bl w:val="nil"/>
                  </w:tcBorders>
                  <w:shd w:val="clear" w:color="auto" w:fill="auto"/>
                  <w:noWrap w:val="0"/>
                  <w:vAlign w:val="center"/>
                </w:tcPr>
                <w:p w14:paraId="2A4209B5">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533" w:type="pct"/>
                  <w:tcBorders>
                    <w:tl2br w:val="nil"/>
                    <w:tr2bl w:val="nil"/>
                  </w:tcBorders>
                  <w:shd w:val="clear" w:color="auto" w:fill="auto"/>
                  <w:noWrap w:val="0"/>
                  <w:vAlign w:val="center"/>
                </w:tcPr>
                <w:p w14:paraId="49FEFFB6">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非甲烷总烃</w:t>
                  </w:r>
                </w:p>
              </w:tc>
              <w:tc>
                <w:tcPr>
                  <w:tcW w:w="542" w:type="pct"/>
                  <w:tcBorders>
                    <w:tl2br w:val="nil"/>
                    <w:tr2bl w:val="nil"/>
                  </w:tcBorders>
                  <w:shd w:val="clear" w:color="auto" w:fill="auto"/>
                  <w:noWrap w:val="0"/>
                  <w:vAlign w:val="center"/>
                </w:tcPr>
                <w:p w14:paraId="4802A352">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0.3334</w:t>
                  </w:r>
                </w:p>
              </w:tc>
              <w:tc>
                <w:tcPr>
                  <w:tcW w:w="442" w:type="pct"/>
                  <w:tcBorders>
                    <w:tl2br w:val="nil"/>
                    <w:tr2bl w:val="nil"/>
                  </w:tcBorders>
                  <w:shd w:val="clear" w:color="auto" w:fill="auto"/>
                  <w:noWrap w:val="0"/>
                  <w:vAlign w:val="center"/>
                </w:tcPr>
                <w:p w14:paraId="147E3BF2">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33.34</w:t>
                  </w:r>
                </w:p>
              </w:tc>
              <w:tc>
                <w:tcPr>
                  <w:tcW w:w="488" w:type="pct"/>
                  <w:tcBorders>
                    <w:tl2br w:val="nil"/>
                    <w:tr2bl w:val="nil"/>
                  </w:tcBorders>
                  <w:shd w:val="clear" w:color="auto" w:fill="auto"/>
                  <w:noWrap w:val="0"/>
                  <w:vAlign w:val="center"/>
                </w:tcPr>
                <w:p w14:paraId="567B8856">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100</w:t>
                  </w:r>
                </w:p>
              </w:tc>
              <w:tc>
                <w:tcPr>
                  <w:tcW w:w="505" w:type="pct"/>
                  <w:tcBorders>
                    <w:tl2br w:val="nil"/>
                    <w:tr2bl w:val="nil"/>
                  </w:tcBorders>
                  <w:shd w:val="clear" w:color="auto" w:fill="auto"/>
                  <w:noWrap w:val="0"/>
                  <w:vAlign w:val="center"/>
                </w:tcPr>
                <w:p w14:paraId="330FC2B5">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bCs/>
                      <w:color w:val="auto"/>
                      <w:kern w:val="2"/>
                      <w:sz w:val="21"/>
                      <w:szCs w:val="21"/>
                      <w:lang w:val="en-US" w:eastAsia="zh-CN" w:bidi="ar-SA"/>
                    </w:rPr>
                  </w:pPr>
                  <w:r>
                    <w:rPr>
                      <w:rFonts w:hint="eastAsia" w:cs="Times New Roman"/>
                      <w:b/>
                      <w:bCs/>
                      <w:color w:val="auto"/>
                      <w:sz w:val="21"/>
                      <w:szCs w:val="21"/>
                      <w:lang w:val="en-US" w:eastAsia="zh-CN"/>
                    </w:rPr>
                    <w:t>/</w:t>
                  </w:r>
                </w:p>
              </w:tc>
              <w:tc>
                <w:tcPr>
                  <w:tcW w:w="1175" w:type="pct"/>
                  <w:vMerge w:val="continue"/>
                  <w:tcBorders>
                    <w:tl2br w:val="nil"/>
                    <w:tr2bl w:val="nil"/>
                  </w:tcBorders>
                  <w:noWrap w:val="0"/>
                  <w:vAlign w:val="center"/>
                </w:tcPr>
                <w:p w14:paraId="5753F3C0">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eastAsia" w:ascii="Times New Roman" w:hAnsi="Times New Roman" w:eastAsia="宋体" w:cs="Times New Roman"/>
                      <w:b/>
                      <w:bCs/>
                      <w:color w:val="auto"/>
                      <w:sz w:val="21"/>
                      <w:szCs w:val="21"/>
                      <w:lang w:val="en-US" w:eastAsia="zh-CN"/>
                    </w:rPr>
                  </w:pPr>
                </w:p>
              </w:tc>
              <w:tc>
                <w:tcPr>
                  <w:tcW w:w="289" w:type="pct"/>
                  <w:tcBorders>
                    <w:right w:val="single" w:color="auto" w:sz="4" w:space="0"/>
                    <w:tl2br w:val="nil"/>
                    <w:tr2bl w:val="nil"/>
                  </w:tcBorders>
                  <w:shd w:val="clear" w:color="auto" w:fill="auto"/>
                  <w:noWrap w:val="0"/>
                  <w:vAlign w:val="center"/>
                </w:tcPr>
                <w:p w14:paraId="4ECA1C30">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达标</w:t>
                  </w:r>
                </w:p>
              </w:tc>
            </w:tr>
            <w:tr w14:paraId="27A5EF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572" w:type="pct"/>
                  <w:vMerge w:val="continue"/>
                  <w:tcBorders>
                    <w:left w:val="single" w:color="auto" w:sz="4" w:space="0"/>
                    <w:tl2br w:val="nil"/>
                    <w:tr2bl w:val="nil"/>
                  </w:tcBorders>
                  <w:noWrap w:val="0"/>
                  <w:vAlign w:val="center"/>
                </w:tcPr>
                <w:p w14:paraId="79003A46">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449" w:type="pct"/>
                  <w:vMerge w:val="continue"/>
                  <w:tcBorders>
                    <w:tl2br w:val="nil"/>
                    <w:tr2bl w:val="nil"/>
                  </w:tcBorders>
                  <w:shd w:val="clear" w:color="auto" w:fill="auto"/>
                  <w:noWrap w:val="0"/>
                  <w:vAlign w:val="center"/>
                </w:tcPr>
                <w:p w14:paraId="34938DDD">
                  <w:pPr>
                    <w:keepNext w:val="0"/>
                    <w:keepLines w:val="0"/>
                    <w:pageBreakBefore w:val="0"/>
                    <w:widowControl w:val="0"/>
                    <w:kinsoku/>
                    <w:wordWrap/>
                    <w:overflowPunct/>
                    <w:topLinePunct w:val="0"/>
                    <w:autoSpaceDE/>
                    <w:autoSpaceDN/>
                    <w:bidi w:val="0"/>
                    <w:adjustRightInd/>
                    <w:snapToGrid/>
                    <w:ind w:firstLine="0"/>
                    <w:contextualSpacing/>
                    <w:jc w:val="center"/>
                    <w:textAlignment w:val="auto"/>
                    <w:rPr>
                      <w:rFonts w:hint="default" w:ascii="Times New Roman" w:hAnsi="Times New Roman" w:eastAsia="Calibri" w:cs="Times New Roman"/>
                      <w:color w:val="auto"/>
                      <w:sz w:val="21"/>
                      <w:szCs w:val="21"/>
                      <w:lang w:eastAsia="zh-CN"/>
                    </w:rPr>
                  </w:pPr>
                </w:p>
              </w:tc>
              <w:tc>
                <w:tcPr>
                  <w:tcW w:w="533" w:type="pct"/>
                  <w:tcBorders>
                    <w:tl2br w:val="nil"/>
                    <w:tr2bl w:val="nil"/>
                  </w:tcBorders>
                  <w:shd w:val="clear" w:color="auto" w:fill="auto"/>
                  <w:noWrap w:val="0"/>
                  <w:vAlign w:val="center"/>
                </w:tcPr>
                <w:p w14:paraId="1062DD0F">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臭气浓度</w:t>
                  </w:r>
                </w:p>
              </w:tc>
              <w:tc>
                <w:tcPr>
                  <w:tcW w:w="542" w:type="pct"/>
                  <w:tcBorders>
                    <w:tl2br w:val="nil"/>
                    <w:tr2bl w:val="nil"/>
                  </w:tcBorders>
                  <w:shd w:val="clear" w:color="auto" w:fill="auto"/>
                  <w:noWrap w:val="0"/>
                  <w:vAlign w:val="center"/>
                </w:tcPr>
                <w:p w14:paraId="22E8FB7F">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b/>
                      <w:bCs/>
                      <w:color w:val="auto"/>
                      <w:sz w:val="21"/>
                      <w:szCs w:val="21"/>
                      <w:lang w:val="en-US" w:eastAsia="zh-CN"/>
                    </w:rPr>
                    <w:t>/</w:t>
                  </w:r>
                </w:p>
              </w:tc>
              <w:tc>
                <w:tcPr>
                  <w:tcW w:w="442" w:type="pct"/>
                  <w:tcBorders>
                    <w:tl2br w:val="nil"/>
                    <w:tr2bl w:val="nil"/>
                  </w:tcBorders>
                  <w:shd w:val="clear" w:color="auto" w:fill="auto"/>
                  <w:noWrap w:val="0"/>
                  <w:vAlign w:val="center"/>
                </w:tcPr>
                <w:p w14:paraId="34776C01">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cs="Times New Roman"/>
                      <w:b/>
                      <w:bCs/>
                      <w:color w:val="auto"/>
                      <w:sz w:val="21"/>
                      <w:szCs w:val="21"/>
                      <w:lang w:val="en-US" w:eastAsia="zh-CN"/>
                    </w:rPr>
                    <w:t>/</w:t>
                  </w:r>
                </w:p>
              </w:tc>
              <w:tc>
                <w:tcPr>
                  <w:tcW w:w="488" w:type="pct"/>
                  <w:tcBorders>
                    <w:tl2br w:val="nil"/>
                    <w:tr2bl w:val="nil"/>
                  </w:tcBorders>
                  <w:shd w:val="clear" w:color="auto" w:fill="auto"/>
                  <w:noWrap w:val="0"/>
                  <w:vAlign w:val="center"/>
                </w:tcPr>
                <w:p w14:paraId="56435772">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eastAsia"/>
                      <w:b w:val="0"/>
                      <w:bCs w:val="0"/>
                      <w:color w:val="auto"/>
                      <w:sz w:val="21"/>
                      <w:szCs w:val="21"/>
                      <w:vertAlign w:val="baseline"/>
                      <w:lang w:val="en-US" w:eastAsia="zh-CN"/>
                    </w:rPr>
                    <w:t>2000（无量纲）</w:t>
                  </w:r>
                </w:p>
              </w:tc>
              <w:tc>
                <w:tcPr>
                  <w:tcW w:w="505" w:type="pct"/>
                  <w:tcBorders>
                    <w:tl2br w:val="nil"/>
                    <w:tr2bl w:val="nil"/>
                  </w:tcBorders>
                  <w:shd w:val="clear" w:color="auto" w:fill="auto"/>
                  <w:noWrap w:val="0"/>
                  <w:vAlign w:val="center"/>
                </w:tcPr>
                <w:p w14:paraId="71460789">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bCs/>
                      <w:color w:val="auto"/>
                      <w:kern w:val="2"/>
                      <w:sz w:val="21"/>
                      <w:szCs w:val="21"/>
                      <w:lang w:val="en-US" w:eastAsia="zh-CN" w:bidi="ar-SA"/>
                    </w:rPr>
                  </w:pPr>
                  <w:r>
                    <w:rPr>
                      <w:rFonts w:hint="eastAsia" w:cs="Times New Roman"/>
                      <w:b/>
                      <w:bCs/>
                      <w:color w:val="auto"/>
                      <w:sz w:val="21"/>
                      <w:szCs w:val="21"/>
                      <w:lang w:val="en-US" w:eastAsia="zh-CN"/>
                    </w:rPr>
                    <w:t>/</w:t>
                  </w:r>
                </w:p>
              </w:tc>
              <w:tc>
                <w:tcPr>
                  <w:tcW w:w="1175" w:type="pct"/>
                  <w:tcBorders>
                    <w:tl2br w:val="nil"/>
                    <w:tr2bl w:val="nil"/>
                  </w:tcBorders>
                  <w:shd w:val="clear" w:color="auto" w:fill="auto"/>
                  <w:noWrap w:val="0"/>
                  <w:vAlign w:val="center"/>
                </w:tcPr>
                <w:p w14:paraId="21F07E7E">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
                    </w:rPr>
                    <w:t>《恶臭污染物排放标准》(GB14554-93)表2中的恶臭污染物排放标准限值</w:t>
                  </w:r>
                </w:p>
              </w:tc>
              <w:tc>
                <w:tcPr>
                  <w:tcW w:w="289" w:type="pct"/>
                  <w:tcBorders>
                    <w:right w:val="single" w:color="auto" w:sz="4" w:space="0"/>
                    <w:tl2br w:val="nil"/>
                    <w:tr2bl w:val="nil"/>
                  </w:tcBorders>
                  <w:shd w:val="clear" w:color="auto" w:fill="auto"/>
                  <w:noWrap w:val="0"/>
                  <w:vAlign w:val="center"/>
                </w:tcPr>
                <w:p w14:paraId="347663E9">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w:t>
                  </w:r>
                </w:p>
              </w:tc>
            </w:tr>
          </w:tbl>
          <w:p w14:paraId="383C3714">
            <w:pPr>
              <w:widowControl/>
              <w:spacing w:line="360" w:lineRule="auto"/>
              <w:ind w:firstLine="480" w:firstLineChars="200"/>
              <w:jc w:val="left"/>
              <w:rPr>
                <w:rFonts w:hint="eastAsia"/>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根据上表可知：一期颗粒物的排放浓度</w:t>
            </w:r>
            <w:r>
              <w:rPr>
                <w:rFonts w:hint="default" w:ascii="Times New Roman" w:hAnsi="Times New Roman" w:eastAsia="宋体" w:cs="Times New Roman"/>
                <w:color w:val="auto"/>
                <w:kern w:val="0"/>
                <w:sz w:val="24"/>
                <w:highlight w:val="none"/>
                <w:lang w:val="en-US" w:eastAsia="zh-CN" w:bidi="ar"/>
              </w:rPr>
              <w:t>为</w:t>
            </w:r>
            <w:r>
              <w:rPr>
                <w:rFonts w:hint="eastAsia" w:cs="Times New Roman"/>
                <w:color w:val="auto"/>
                <w:kern w:val="0"/>
                <w:sz w:val="24"/>
                <w:highlight w:val="none"/>
                <w:lang w:val="en-US" w:eastAsia="zh-CN" w:bidi="ar"/>
              </w:rPr>
              <w:t>0.106</w:t>
            </w:r>
            <w:r>
              <w:rPr>
                <w:rFonts w:hint="default" w:ascii="Times New Roman" w:hAnsi="Times New Roman" w:cs="Times New Roman"/>
                <w:color w:val="auto"/>
                <w:sz w:val="24"/>
                <w:highlight w:val="none"/>
                <w:lang w:val="en-US" w:eastAsia="zh-CN"/>
              </w:rPr>
              <w:t>m</w:t>
            </w:r>
            <w:r>
              <w:rPr>
                <w:rFonts w:hint="eastAsia"/>
                <w:color w:val="auto"/>
                <w:sz w:val="24"/>
                <w:highlight w:val="none"/>
                <w:lang w:val="en-US" w:eastAsia="zh-CN"/>
              </w:rPr>
              <w:t>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，项目建成后为0.212</w:t>
            </w:r>
            <w:r>
              <w:rPr>
                <w:rFonts w:hint="eastAsia"/>
                <w:color w:val="auto"/>
                <w:sz w:val="24"/>
                <w:highlight w:val="none"/>
                <w:lang w:val="en-US" w:eastAsia="zh-CN"/>
              </w:rPr>
              <w:t>mg/m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，均满足</w:t>
            </w:r>
            <w:r>
              <w:rPr>
                <w:rFonts w:hint="eastAsia"/>
                <w:color w:val="auto"/>
                <w:kern w:val="0"/>
                <w:sz w:val="24"/>
                <w:highlight w:val="none"/>
                <w:lang w:val="en-US" w:eastAsia="zh-CN" w:bidi="ar"/>
              </w:rPr>
              <w:t>《合成树脂工业污染物排放标准》(GB31572-2015)及其修改单表4中的30</w:t>
            </w:r>
            <w:r>
              <w:rPr>
                <w:rFonts w:hint="eastAsia"/>
                <w:color w:val="auto"/>
                <w:sz w:val="24"/>
                <w:highlight w:val="none"/>
                <w:lang w:val="en-US" w:eastAsia="zh-CN"/>
              </w:rPr>
              <w:t>mg/m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的</w:t>
            </w:r>
            <w:r>
              <w:rPr>
                <w:rFonts w:hint="eastAsia"/>
                <w:color w:val="auto"/>
                <w:kern w:val="0"/>
                <w:sz w:val="24"/>
                <w:highlight w:val="none"/>
                <w:lang w:val="en-US" w:eastAsia="zh-CN" w:bidi="ar"/>
              </w:rPr>
              <w:t>限值要求；一期</w:t>
            </w:r>
            <w:r>
              <w:rPr>
                <w:rFonts w:hint="eastAsia" w:ascii="宋体" w:hAnsi="宋体" w:eastAsia="宋体" w:cs="宋体"/>
                <w:color w:val="auto"/>
                <w:kern w:val="0"/>
                <w:sz w:val="24"/>
                <w:highlight w:val="none"/>
                <w:lang w:val="en-US" w:eastAsia="zh-CN" w:bidi="ar"/>
              </w:rPr>
              <w:t>非甲烷总烃的排放浓度</w:t>
            </w:r>
            <w:r>
              <w:rPr>
                <w:rFonts w:hint="default" w:ascii="Times New Roman" w:hAnsi="Times New Roman" w:eastAsia="宋体" w:cs="Times New Roman"/>
                <w:color w:val="auto"/>
                <w:kern w:val="0"/>
                <w:sz w:val="24"/>
                <w:highlight w:val="none"/>
                <w:lang w:val="en-US" w:eastAsia="zh-CN" w:bidi="ar"/>
              </w:rPr>
              <w:t>为</w:t>
            </w:r>
            <w:r>
              <w:rPr>
                <w:rFonts w:hint="eastAsia" w:cs="Times New Roman"/>
                <w:color w:val="auto"/>
                <w:kern w:val="0"/>
                <w:sz w:val="24"/>
                <w:highlight w:val="none"/>
                <w:lang w:val="en-US" w:eastAsia="zh-CN" w:bidi="ar"/>
              </w:rPr>
              <w:t>16.676</w:t>
            </w:r>
            <w:r>
              <w:rPr>
                <w:rFonts w:hint="eastAsia"/>
                <w:color w:val="auto"/>
                <w:sz w:val="24"/>
                <w:highlight w:val="none"/>
                <w:lang w:val="en-US" w:eastAsia="zh-CN"/>
              </w:rPr>
              <w:t>mg/m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，项目建成后为33.34</w:t>
            </w:r>
            <w:r>
              <w:rPr>
                <w:rFonts w:hint="eastAsia"/>
                <w:color w:val="auto"/>
                <w:sz w:val="24"/>
                <w:highlight w:val="none"/>
                <w:lang w:val="en-US" w:eastAsia="zh-CN"/>
              </w:rPr>
              <w:t>mg/m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，均满足</w:t>
            </w:r>
            <w:r>
              <w:rPr>
                <w:rFonts w:hint="eastAsia"/>
                <w:color w:val="auto"/>
                <w:kern w:val="0"/>
                <w:sz w:val="24"/>
                <w:highlight w:val="none"/>
                <w:lang w:val="en-US" w:eastAsia="zh-CN" w:bidi="ar"/>
              </w:rPr>
              <w:t>《合成树脂工业污染物排放标准》(GB31572-2015)及其修改单表4中的100</w:t>
            </w:r>
            <w:r>
              <w:rPr>
                <w:rFonts w:hint="eastAsia"/>
                <w:color w:val="auto"/>
                <w:sz w:val="24"/>
                <w:highlight w:val="none"/>
                <w:lang w:val="en-US" w:eastAsia="zh-CN"/>
              </w:rPr>
              <w:t>mg/m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的</w:t>
            </w:r>
            <w:r>
              <w:rPr>
                <w:rFonts w:hint="eastAsia"/>
                <w:color w:val="auto"/>
                <w:kern w:val="0"/>
                <w:sz w:val="24"/>
                <w:highlight w:val="none"/>
                <w:lang w:val="en-US" w:eastAsia="zh-CN" w:bidi="ar"/>
              </w:rPr>
              <w:t>限值要求。</w:t>
            </w:r>
          </w:p>
          <w:p w14:paraId="675CE84E">
            <w:pPr>
              <w:widowControl/>
              <w:spacing w:line="360" w:lineRule="auto"/>
              <w:ind w:firstLine="480" w:firstLineChars="200"/>
              <w:jc w:val="left"/>
              <w:rPr>
                <w:rFonts w:hint="eastAsia" w:ascii="Times New Roman" w:hAnsi="Times New Roman" w:eastAsia="宋体" w:cs="Times New Roman"/>
                <w:color w:val="auto"/>
                <w:spacing w:val="5"/>
                <w:sz w:val="24"/>
                <w:szCs w:val="24"/>
                <w:lang w:val="en-US" w:eastAsia="zh-CN"/>
              </w:rPr>
            </w:pPr>
            <w:r>
              <w:rPr>
                <w:rFonts w:hint="eastAsia"/>
                <w:color w:val="auto"/>
                <w:kern w:val="0"/>
                <w:sz w:val="24"/>
                <w:highlight w:val="none"/>
                <w:lang w:val="en-US" w:eastAsia="zh-CN" w:bidi="ar"/>
              </w:rPr>
              <w:t>因此，本项目经过处理设施处理后均能达标排放。</w:t>
            </w:r>
          </w:p>
          <w:p w14:paraId="6CBB8AFE">
            <w:pPr>
              <w:pStyle w:val="47"/>
              <w:spacing w:line="360" w:lineRule="auto"/>
              <w:ind w:firstLine="500" w:firstLineChars="200"/>
              <w:jc w:val="left"/>
              <w:rPr>
                <w:rFonts w:hint="eastAsia" w:ascii="Times New Roman" w:hAnsi="Times New Roman" w:eastAsia="宋体" w:cs="Times New Roman"/>
                <w:color w:val="auto"/>
                <w:spacing w:val="5"/>
                <w:sz w:val="24"/>
                <w:szCs w:val="24"/>
                <w:lang w:eastAsia="zh-CN"/>
              </w:rPr>
            </w:pPr>
            <w:r>
              <w:rPr>
                <w:rFonts w:hint="eastAsia" w:ascii="Times New Roman" w:hAnsi="Times New Roman" w:eastAsia="宋体" w:cs="Times New Roman"/>
                <w:color w:val="auto"/>
                <w:spacing w:val="5"/>
                <w:sz w:val="24"/>
                <w:szCs w:val="24"/>
                <w:lang w:val="en-US" w:eastAsia="zh-CN"/>
              </w:rPr>
              <w:t>1.4 污染防治技术可行性分析</w:t>
            </w:r>
          </w:p>
          <w:p w14:paraId="1DAE9A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auto"/>
                <w:sz w:val="24"/>
                <w:lang w:val="en-US" w:eastAsia="zh-CN"/>
              </w:rPr>
            </w:pPr>
            <w:r>
              <w:rPr>
                <w:rFonts w:ascii="Times New Roman" w:hAnsi="Times New Roman" w:cs="Times New Roman"/>
                <w:color w:val="auto"/>
                <w:sz w:val="24"/>
                <w:szCs w:val="24"/>
                <w:highlight w:val="none"/>
                <w:lang w:eastAsia="zh-CN"/>
              </w:rPr>
              <w:t>根据《排污许可证申请与核发技术规范 总则》（HJ942-2018）、《排污单位自行监测技术指南 总则》（HJ819-2017）</w:t>
            </w:r>
            <w:r>
              <w:rPr>
                <w:rFonts w:hint="eastAsia" w:ascii="Times New Roman" w:hAnsi="Times New Roman" w:cs="Times New Roman"/>
                <w:color w:val="auto"/>
                <w:sz w:val="24"/>
                <w:szCs w:val="24"/>
                <w:highlight w:val="none"/>
                <w:lang w:eastAsia="zh-CN"/>
              </w:rPr>
              <w:t>、《排污单位自行监测技术指南</w:t>
            </w:r>
            <w:r>
              <w:rPr>
                <w:rFonts w:hint="eastAsia" w:ascii="Times New Roman" w:hAnsi="Times New Roman" w:cs="Times New Roman"/>
                <w:color w:val="auto"/>
                <w:sz w:val="24"/>
                <w:szCs w:val="24"/>
                <w:highlight w:val="none"/>
                <w:lang w:val="en-US" w:eastAsia="zh-CN"/>
              </w:rPr>
              <w:t xml:space="preserve"> 涂装》（HJ 1086-2020）</w:t>
            </w:r>
            <w:r>
              <w:rPr>
                <w:rFonts w:ascii="Times New Roman" w:hAnsi="Times New Roman" w:cs="Times New Roman"/>
                <w:color w:val="auto"/>
                <w:sz w:val="24"/>
                <w:szCs w:val="24"/>
                <w:highlight w:val="none"/>
                <w:lang w:eastAsia="zh-CN"/>
              </w:rPr>
              <w:t>相关要求</w:t>
            </w:r>
            <w:r>
              <w:rPr>
                <w:rFonts w:hint="eastAsia" w:ascii="Times New Roman" w:hAnsi="Times New Roman" w:cs="Times New Roman"/>
                <w:color w:val="auto"/>
                <w:sz w:val="24"/>
                <w:szCs w:val="24"/>
                <w:highlight w:val="none"/>
                <w:lang w:val="en-US" w:eastAsia="zh-CN"/>
              </w:rPr>
              <w:t>采取</w:t>
            </w:r>
            <w:r>
              <w:rPr>
                <w:rFonts w:hint="eastAsia" w:cs="Times New Roman"/>
                <w:color w:val="auto"/>
                <w:sz w:val="24"/>
                <w:szCs w:val="24"/>
                <w:highlight w:val="none"/>
                <w:lang w:val="en-US" w:eastAsia="zh-CN"/>
              </w:rPr>
              <w:t>以下措施：</w:t>
            </w:r>
          </w:p>
          <w:p w14:paraId="460DC2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color w:val="auto"/>
                <w:sz w:val="24"/>
                <w:lang w:eastAsia="zh-CN"/>
              </w:rPr>
            </w:pPr>
            <w:r>
              <w:rPr>
                <w:rFonts w:hint="eastAsia" w:cs="Times New Roman"/>
                <w:color w:val="auto"/>
                <w:sz w:val="24"/>
                <w:lang w:eastAsia="zh-CN"/>
              </w:rPr>
              <w:t>本项目两期工程所用防治措施相同，以一期工程为例，大气污染防治措施如下：</w:t>
            </w:r>
          </w:p>
          <w:p w14:paraId="31B2D9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auto"/>
                <w:sz w:val="24"/>
                <w:lang w:val="en-US" w:eastAsia="zh-CN"/>
              </w:rPr>
            </w:pPr>
            <w:r>
              <w:rPr>
                <w:rFonts w:hint="eastAsia" w:cs="Times New Roman"/>
                <w:color w:val="auto"/>
                <w:sz w:val="24"/>
                <w:lang w:eastAsia="zh-CN"/>
              </w:rPr>
              <w:t>（</w:t>
            </w:r>
            <w:r>
              <w:rPr>
                <w:rFonts w:hint="eastAsia" w:cs="Times New Roman"/>
                <w:color w:val="auto"/>
                <w:sz w:val="24"/>
                <w:lang w:val="en-US" w:eastAsia="zh-CN"/>
              </w:rPr>
              <w:t>1</w:t>
            </w:r>
            <w:r>
              <w:rPr>
                <w:rFonts w:hint="eastAsia" w:cs="Times New Roman"/>
                <w:color w:val="auto"/>
                <w:sz w:val="24"/>
                <w:lang w:eastAsia="zh-CN"/>
              </w:rPr>
              <w:t>）</w:t>
            </w:r>
            <w:r>
              <w:rPr>
                <w:rFonts w:hint="eastAsia" w:ascii="Times New Roman" w:hAnsi="Times New Roman" w:eastAsia="宋体" w:cs="Times New Roman"/>
                <w:b w:val="0"/>
                <w:color w:val="auto"/>
                <w:kern w:val="2"/>
                <w:sz w:val="24"/>
                <w:szCs w:val="24"/>
                <w:lang w:val="en-US" w:eastAsia="zh-CN" w:bidi="ar-SA"/>
              </w:rPr>
              <w:t>搅拌、缠绕（浸润）、固化工序的二级活性炭吸附装置</w:t>
            </w:r>
          </w:p>
          <w:p w14:paraId="6175604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 w:val="0"/>
                <w:color w:val="auto"/>
                <w:kern w:val="2"/>
                <w:sz w:val="24"/>
                <w:szCs w:val="24"/>
                <w:lang w:val="en-US" w:eastAsia="zh-CN" w:bidi="ar-SA"/>
              </w:rPr>
            </w:pPr>
            <w:r>
              <w:rPr>
                <w:rFonts w:hint="eastAsia" w:ascii="Times New Roman" w:hAnsi="Times New Roman" w:eastAsia="宋体" w:cs="Times New Roman"/>
                <w:b w:val="0"/>
                <w:color w:val="auto"/>
                <w:kern w:val="2"/>
                <w:sz w:val="24"/>
                <w:szCs w:val="24"/>
                <w:lang w:val="en-US" w:eastAsia="zh-CN" w:bidi="ar-SA"/>
              </w:rPr>
              <w:t>本项目搅拌、缠绕（浸润）、固化工序工艺流程为“废气收集+一级活性炭吸附+二级活性炭吸附”达标排放。配料车间和缠绕、固化生产线在室内采用设备顶设置集气罩的方式进行收集。经收集的非甲烷总烃废气经气流均布板整流，均匀进入</w:t>
            </w:r>
            <w:r>
              <w:rPr>
                <w:rFonts w:hint="eastAsia" w:ascii="Times New Roman" w:hAnsi="Times New Roman" w:eastAsia="宋体" w:cs="Times New Roman"/>
                <w:b w:val="0"/>
                <w:color w:val="auto"/>
                <w:kern w:val="2"/>
                <w:sz w:val="24"/>
                <w:szCs w:val="24"/>
                <w:highlight w:val="none"/>
                <w:lang w:val="en-US" w:eastAsia="zh-CN" w:bidi="ar-SA"/>
              </w:rPr>
              <w:t>一级活性炭吸附箱</w:t>
            </w:r>
            <w:r>
              <w:rPr>
                <w:rFonts w:hint="eastAsia" w:ascii="Times New Roman" w:hAnsi="Times New Roman" w:eastAsia="宋体" w:cs="Times New Roman"/>
                <w:b w:val="0"/>
                <w:color w:val="auto"/>
                <w:kern w:val="2"/>
                <w:sz w:val="24"/>
                <w:szCs w:val="24"/>
                <w:lang w:val="en-US" w:eastAsia="zh-CN" w:bidi="ar-SA"/>
              </w:rPr>
              <w:t>，以设计流速垂直穿过活性炭床层，完成大部分非甲烷总烃的截留吸附，大幅降低废气污染物浓度。进入二</w:t>
            </w:r>
            <w:r>
              <w:rPr>
                <w:rFonts w:hint="eastAsia" w:ascii="Times New Roman" w:hAnsi="Times New Roman" w:eastAsia="宋体" w:cs="Times New Roman"/>
                <w:b w:val="0"/>
                <w:color w:val="auto"/>
                <w:kern w:val="2"/>
                <w:sz w:val="24"/>
                <w:szCs w:val="24"/>
                <w:highlight w:val="none"/>
                <w:lang w:val="en-US" w:eastAsia="zh-CN" w:bidi="ar-SA"/>
              </w:rPr>
              <w:t>级活性炭吸附箱</w:t>
            </w:r>
            <w:r>
              <w:rPr>
                <w:rFonts w:hint="eastAsia" w:ascii="Times New Roman" w:hAnsi="Times New Roman" w:eastAsia="宋体" w:cs="Times New Roman"/>
                <w:b w:val="0"/>
                <w:color w:val="auto"/>
                <w:kern w:val="2"/>
                <w:sz w:val="24"/>
                <w:szCs w:val="24"/>
                <w:lang w:val="en-US" w:eastAsia="zh-CN" w:bidi="ar-SA"/>
              </w:rPr>
              <w:t>，对残留的低浓度非甲烷总烃进行深度精处理，确保出口污染物浓度稳定低于排放标准限值。处理达标后的污染物经高</w:t>
            </w:r>
            <w:r>
              <w:rPr>
                <w:rFonts w:hint="eastAsia" w:cs="Times New Roman"/>
                <w:b w:val="0"/>
                <w:color w:val="auto"/>
                <w:kern w:val="2"/>
                <w:sz w:val="24"/>
                <w:szCs w:val="24"/>
                <w:lang w:val="en-US" w:eastAsia="zh-CN" w:bidi="ar-SA"/>
              </w:rPr>
              <w:t>20.5m</w:t>
            </w:r>
            <w:r>
              <w:rPr>
                <w:rFonts w:hint="eastAsia" w:ascii="Times New Roman" w:hAnsi="Times New Roman" w:eastAsia="宋体" w:cs="Times New Roman"/>
                <w:b w:val="0"/>
                <w:color w:val="auto"/>
                <w:kern w:val="2"/>
                <w:sz w:val="24"/>
                <w:szCs w:val="24"/>
                <w:lang w:val="en-US" w:eastAsia="zh-CN" w:bidi="ar-SA"/>
              </w:rPr>
              <w:t>的排气筒DA001排放。</w:t>
            </w:r>
            <w:r>
              <w:rPr>
                <w:rFonts w:hint="eastAsia" w:ascii="Times New Roman" w:hAnsi="Times New Roman" w:eastAsia="宋体" w:cs="Times New Roman"/>
                <w:color w:val="auto"/>
                <w:sz w:val="24"/>
                <w:lang w:val="en-US" w:eastAsia="zh-CN"/>
              </w:rPr>
              <w:t>根据本项目废气排放达标性分析结果，本项目运营过程中排放的各废气污染物均能满足相应的标准限值要求，因此，本项目采取的废气污染防治措施可行。</w:t>
            </w:r>
          </w:p>
          <w:p w14:paraId="4EBA6D50">
            <w:pPr>
              <w:pStyle w:val="47"/>
              <w:numPr>
                <w:ilvl w:val="0"/>
                <w:numId w:val="10"/>
              </w:numPr>
              <w:spacing w:line="360" w:lineRule="auto"/>
              <w:ind w:left="0" w:leftChars="0" w:firstLine="500" w:firstLineChars="200"/>
              <w:jc w:val="left"/>
              <w:rPr>
                <w:rFonts w:hint="eastAsia" w:ascii="Times New Roman" w:hAnsi="Times New Roman" w:cs="Times New Roman"/>
                <w:color w:val="auto"/>
                <w:spacing w:val="5"/>
                <w:sz w:val="24"/>
                <w:szCs w:val="24"/>
                <w:highlight w:val="none"/>
                <w:lang w:val="en-US" w:eastAsia="zh-CN"/>
              </w:rPr>
            </w:pPr>
            <w:r>
              <w:rPr>
                <w:rFonts w:hint="eastAsia" w:ascii="Times New Roman" w:hAnsi="Times New Roman" w:cs="Times New Roman"/>
                <w:color w:val="auto"/>
                <w:spacing w:val="5"/>
                <w:sz w:val="24"/>
                <w:szCs w:val="24"/>
                <w:highlight w:val="none"/>
                <w:lang w:val="en-US" w:eastAsia="zh-CN"/>
              </w:rPr>
              <w:t>切割、打磨工序</w:t>
            </w:r>
          </w:p>
          <w:p w14:paraId="09651C5C">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color w:val="auto"/>
                <w:kern w:val="2"/>
                <w:sz w:val="24"/>
                <w:szCs w:val="24"/>
                <w:lang w:val="en-US" w:eastAsia="zh-CN" w:bidi="ar-SA"/>
              </w:rPr>
            </w:pPr>
            <w:r>
              <w:rPr>
                <w:rFonts w:hint="eastAsia" w:ascii="Times New Roman" w:hAnsi="Times New Roman" w:eastAsia="宋体" w:cs="Times New Roman"/>
                <w:b w:val="0"/>
                <w:color w:val="auto"/>
                <w:kern w:val="2"/>
                <w:sz w:val="24"/>
                <w:szCs w:val="24"/>
                <w:lang w:val="en-US" w:eastAsia="zh-CN" w:bidi="ar-SA"/>
              </w:rPr>
              <w:t>切割、打磨工序在密闭环境中完成，产生的粉末由自带的吸尘管道收集，管道链接外置吸尘器由收集容器收集，不外排。</w:t>
            </w:r>
          </w:p>
          <w:p w14:paraId="466697DB">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静电喷涂</w:t>
            </w:r>
            <w:r>
              <w:rPr>
                <w:rFonts w:hint="eastAsia" w:cs="Times New Roman"/>
                <w:b w:val="0"/>
                <w:bCs w:val="0"/>
                <w:color w:val="auto"/>
                <w:sz w:val="24"/>
                <w:highlight w:val="none"/>
                <w:lang w:val="en-US" w:eastAsia="zh-CN"/>
              </w:rPr>
              <w:t>喷涂工序设置</w:t>
            </w:r>
            <w:r>
              <w:rPr>
                <w:rFonts w:hint="eastAsia" w:ascii="Times New Roman" w:hAnsi="Times New Roman" w:eastAsia="宋体" w:cs="Times New Roman"/>
                <w:b w:val="0"/>
                <w:bCs w:val="0"/>
                <w:color w:val="auto"/>
                <w:sz w:val="24"/>
                <w:highlight w:val="none"/>
                <w:lang w:val="en-US" w:eastAsia="zh-CN"/>
              </w:rPr>
              <w:t>大旋风分离器</w:t>
            </w:r>
            <w:r>
              <w:rPr>
                <w:rFonts w:hint="eastAsia" w:cs="Times New Roman"/>
                <w:b w:val="0"/>
                <w:bCs w:val="0"/>
                <w:color w:val="auto"/>
                <w:sz w:val="24"/>
                <w:highlight w:val="none"/>
                <w:lang w:val="en-US" w:eastAsia="zh-CN"/>
              </w:rPr>
              <w:t>和</w:t>
            </w:r>
            <w:r>
              <w:rPr>
                <w:rFonts w:hint="eastAsia" w:ascii="Times New Roman" w:hAnsi="Times New Roman" w:eastAsia="宋体" w:cs="Times New Roman"/>
                <w:b w:val="0"/>
                <w:bCs w:val="0"/>
                <w:color w:val="auto"/>
                <w:sz w:val="24"/>
                <w:highlight w:val="none"/>
                <w:lang w:val="en-US" w:eastAsia="zh-CN"/>
              </w:rPr>
              <w:t>转翼式滤芯过滤器二级回收系统</w:t>
            </w:r>
            <w:r>
              <w:rPr>
                <w:rFonts w:hint="eastAsia" w:cs="Times New Roman"/>
                <w:b w:val="0"/>
                <w:bCs w:val="0"/>
                <w:color w:val="auto"/>
                <w:sz w:val="24"/>
                <w:highlight w:val="none"/>
                <w:lang w:val="en-US" w:eastAsia="zh-CN"/>
              </w:rPr>
              <w:t>装置</w:t>
            </w:r>
          </w:p>
          <w:p w14:paraId="5B544AE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b w:val="0"/>
                <w:bCs w:val="0"/>
                <w:color w:val="auto"/>
                <w:sz w:val="24"/>
                <w:highlight w:val="none"/>
                <w:lang w:val="en-US" w:eastAsia="zh-CN"/>
              </w:rPr>
            </w:pPr>
            <w:r>
              <w:rPr>
                <w:rFonts w:hint="default" w:cs="Times New Roman"/>
                <w:b w:val="0"/>
                <w:bCs w:val="0"/>
                <w:color w:val="auto"/>
                <w:sz w:val="24"/>
                <w:highlight w:val="none"/>
                <w:lang w:val="en-US" w:eastAsia="zh-CN"/>
              </w:rPr>
              <w:t>喷涂室含尘气体经底风口抽风进入一级大旋风分离器，在离心力作用下，大部分较粗颗粒被甩向筒壁并沿壁沉降至下锥料斗，粉末通过自动回收系统送回粉桶循环使</w:t>
            </w:r>
            <w:r>
              <w:rPr>
                <w:rFonts w:hint="eastAsia" w:cs="Times New Roman"/>
                <w:b w:val="0"/>
                <w:bCs w:val="0"/>
                <w:color w:val="auto"/>
                <w:sz w:val="24"/>
                <w:highlight w:val="none"/>
                <w:lang w:val="en-US" w:eastAsia="zh-CN"/>
              </w:rPr>
              <w:t>用</w:t>
            </w:r>
            <w:r>
              <w:rPr>
                <w:rFonts w:hint="default" w:cs="Times New Roman"/>
                <w:b w:val="0"/>
                <w:bCs w:val="0"/>
                <w:color w:val="auto"/>
                <w:sz w:val="24"/>
                <w:highlight w:val="none"/>
                <w:lang w:val="en-US" w:eastAsia="zh-CN"/>
              </w:rPr>
              <w:t>用于喷涂；</w:t>
            </w:r>
            <w:r>
              <w:rPr>
                <w:rFonts w:hint="eastAsia" w:cs="Times New Roman"/>
                <w:b w:val="0"/>
                <w:bCs w:val="0"/>
                <w:color w:val="auto"/>
                <w:sz w:val="24"/>
                <w:highlight w:val="none"/>
                <w:lang w:val="en-US" w:eastAsia="zh-CN"/>
              </w:rPr>
              <w:t>剩余废气</w:t>
            </w:r>
            <w:r>
              <w:rPr>
                <w:rFonts w:hint="default" w:cs="Times New Roman"/>
                <w:b w:val="0"/>
                <w:bCs w:val="0"/>
                <w:color w:val="auto"/>
                <w:sz w:val="24"/>
                <w:highlight w:val="none"/>
                <w:lang w:val="en-US" w:eastAsia="zh-CN"/>
              </w:rPr>
              <w:t>进入二级转翼式滤芯过滤器，经滤筒表面截留净化，较细粉尘由转翼（旋转翼）机构连续吹扫落入集粉斗，净化后气体经引风机由排气筒达标排放。</w:t>
            </w:r>
          </w:p>
          <w:p w14:paraId="3AFEE30A">
            <w:pPr>
              <w:keepNext w:val="0"/>
              <w:keepLines w:val="0"/>
              <w:pageBreakBefore w:val="0"/>
              <w:widowControl w:val="0"/>
              <w:kinsoku/>
              <w:wordWrap/>
              <w:overflowPunct/>
              <w:topLinePunct w:val="0"/>
              <w:autoSpaceDE/>
              <w:autoSpaceDN/>
              <w:bidi w:val="0"/>
              <w:adjustRightInd w:val="0"/>
              <w:snapToGrid w:val="0"/>
              <w:spacing w:line="360" w:lineRule="auto"/>
              <w:ind w:firstLine="500" w:firstLineChars="200"/>
              <w:jc w:val="both"/>
              <w:textAlignment w:val="auto"/>
              <w:rPr>
                <w:rFonts w:hint="eastAsia" w:ascii="Times New Roman" w:hAnsi="Times New Roman" w:eastAsia="宋体" w:cs="Times New Roman"/>
                <w:color w:val="auto"/>
                <w:sz w:val="24"/>
                <w:lang w:eastAsia="zh-CN"/>
              </w:rPr>
            </w:pPr>
            <w:r>
              <w:rPr>
                <w:rFonts w:hint="eastAsia" w:cs="Times New Roman"/>
                <w:color w:val="auto"/>
                <w:spacing w:val="5"/>
                <w:sz w:val="24"/>
                <w:szCs w:val="24"/>
                <w:highlight w:val="none"/>
                <w:lang w:eastAsia="zh-CN"/>
              </w:rPr>
              <w:t>（</w:t>
            </w:r>
            <w:r>
              <w:rPr>
                <w:rFonts w:hint="eastAsia" w:cs="Times New Roman"/>
                <w:color w:val="auto"/>
                <w:spacing w:val="5"/>
                <w:sz w:val="24"/>
                <w:szCs w:val="24"/>
                <w:highlight w:val="none"/>
                <w:lang w:val="en-US" w:eastAsia="zh-CN"/>
              </w:rPr>
              <w:t>4</w:t>
            </w:r>
            <w:r>
              <w:rPr>
                <w:rFonts w:hint="eastAsia" w:cs="Times New Roman"/>
                <w:color w:val="auto"/>
                <w:spacing w:val="5"/>
                <w:sz w:val="24"/>
                <w:szCs w:val="24"/>
                <w:highlight w:val="none"/>
                <w:lang w:eastAsia="zh-CN"/>
              </w:rPr>
              <w:t>）</w:t>
            </w:r>
            <w:r>
              <w:rPr>
                <w:rFonts w:hint="eastAsia" w:ascii="Times New Roman" w:hAnsi="Times New Roman" w:eastAsia="宋体" w:cs="Times New Roman"/>
                <w:color w:val="auto"/>
                <w:sz w:val="24"/>
                <w:lang w:val="en-US" w:eastAsia="zh-CN"/>
              </w:rPr>
              <w:t>静电喷涂</w:t>
            </w:r>
            <w:r>
              <w:rPr>
                <w:rFonts w:hint="eastAsia" w:cs="Times New Roman"/>
                <w:color w:val="auto"/>
                <w:sz w:val="24"/>
                <w:lang w:val="en-US" w:eastAsia="zh-CN"/>
              </w:rPr>
              <w:t>固化烘干工序设置</w:t>
            </w:r>
            <w:r>
              <w:rPr>
                <w:rFonts w:hint="eastAsia" w:ascii="Times New Roman" w:hAnsi="Times New Roman" w:eastAsia="宋体" w:cs="Times New Roman"/>
                <w:color w:val="auto"/>
                <w:sz w:val="24"/>
                <w:lang w:eastAsia="zh-CN"/>
              </w:rPr>
              <w:t>两级活性炭处理装置</w:t>
            </w:r>
          </w:p>
          <w:p w14:paraId="30343F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静电喷涂</w:t>
            </w:r>
            <w:r>
              <w:rPr>
                <w:rFonts w:hint="eastAsia" w:cs="Times New Roman"/>
                <w:color w:val="auto"/>
                <w:sz w:val="24"/>
                <w:lang w:val="en-US" w:eastAsia="zh-CN"/>
              </w:rPr>
              <w:t>固化烘干工序</w:t>
            </w:r>
            <w:r>
              <w:rPr>
                <w:rFonts w:hint="eastAsia" w:ascii="Times New Roman" w:hAnsi="Times New Roman" w:eastAsia="宋体" w:cs="Times New Roman"/>
                <w:color w:val="auto"/>
                <w:sz w:val="24"/>
                <w:lang w:val="en-US" w:eastAsia="zh-CN"/>
              </w:rPr>
              <w:t>运行过程中产生的废气通过设备自带收集装置收集后，废气经气流均布板整流，</w:t>
            </w:r>
            <w:r>
              <w:rPr>
                <w:rFonts w:hint="eastAsia" w:ascii="Times New Roman" w:hAnsi="Times New Roman" w:eastAsia="宋体" w:cs="Times New Roman"/>
                <w:color w:val="auto"/>
                <w:sz w:val="24"/>
                <w:highlight w:val="none"/>
                <w:lang w:val="en-US" w:eastAsia="zh-CN"/>
              </w:rPr>
              <w:t>均匀进入</w:t>
            </w:r>
            <w:r>
              <w:rPr>
                <w:rFonts w:hint="eastAsia" w:ascii="Times New Roman" w:hAnsi="Times New Roman" w:eastAsia="宋体" w:cs="Times New Roman"/>
                <w:b w:val="0"/>
                <w:color w:val="auto"/>
                <w:kern w:val="2"/>
                <w:sz w:val="24"/>
                <w:szCs w:val="24"/>
                <w:highlight w:val="none"/>
                <w:lang w:val="en-US" w:eastAsia="zh-CN" w:bidi="ar-SA"/>
              </w:rPr>
              <w:t>一级活性炭吸附箱</w:t>
            </w:r>
            <w:r>
              <w:rPr>
                <w:rFonts w:hint="eastAsia" w:ascii="Times New Roman" w:hAnsi="Times New Roman" w:eastAsia="宋体" w:cs="Times New Roman"/>
                <w:color w:val="auto"/>
                <w:sz w:val="24"/>
                <w:highlight w:val="none"/>
                <w:lang w:val="en-US" w:eastAsia="zh-CN"/>
              </w:rPr>
              <w:t>，以设计流速垂直穿过活性炭床层，完成大部分非甲烷总烃的截留吸附，大幅降低废气污染物浓度。之后进入二</w:t>
            </w:r>
            <w:r>
              <w:rPr>
                <w:rFonts w:hint="eastAsia" w:ascii="Times New Roman" w:hAnsi="Times New Roman" w:eastAsia="宋体" w:cs="Times New Roman"/>
                <w:b w:val="0"/>
                <w:color w:val="auto"/>
                <w:kern w:val="2"/>
                <w:sz w:val="24"/>
                <w:szCs w:val="24"/>
                <w:highlight w:val="none"/>
                <w:lang w:val="en-US" w:eastAsia="zh-CN" w:bidi="ar-SA"/>
              </w:rPr>
              <w:t>级活性炭吸附箱</w:t>
            </w:r>
            <w:r>
              <w:rPr>
                <w:rFonts w:hint="eastAsia" w:ascii="Times New Roman" w:hAnsi="Times New Roman" w:eastAsia="宋体" w:cs="Times New Roman"/>
                <w:color w:val="auto"/>
                <w:sz w:val="24"/>
                <w:highlight w:val="none"/>
                <w:lang w:val="en-US" w:eastAsia="zh-CN"/>
              </w:rPr>
              <w:t>，对</w:t>
            </w:r>
            <w:r>
              <w:rPr>
                <w:rFonts w:hint="eastAsia" w:ascii="Times New Roman" w:hAnsi="Times New Roman" w:eastAsia="宋体" w:cs="Times New Roman"/>
                <w:color w:val="auto"/>
                <w:sz w:val="24"/>
                <w:lang w:val="en-US" w:eastAsia="zh-CN"/>
              </w:rPr>
              <w:t>残留的低浓度非甲烷总烃进行深度精处理，尾气通过</w:t>
            </w:r>
            <w:r>
              <w:rPr>
                <w:rFonts w:hint="eastAsia" w:cs="Times New Roman"/>
                <w:color w:val="auto"/>
                <w:sz w:val="24"/>
                <w:lang w:val="en-US" w:eastAsia="zh-CN"/>
              </w:rPr>
              <w:t>20.5m</w:t>
            </w:r>
            <w:r>
              <w:rPr>
                <w:rFonts w:hint="eastAsia" w:ascii="Times New Roman" w:hAnsi="Times New Roman" w:eastAsia="宋体" w:cs="Times New Roman"/>
                <w:color w:val="auto"/>
                <w:sz w:val="24"/>
                <w:lang w:val="en-US" w:eastAsia="zh-CN"/>
              </w:rPr>
              <w:t>高排气筒（DA00</w:t>
            </w:r>
            <w:r>
              <w:rPr>
                <w:rFonts w:hint="eastAsia" w:cs="Times New Roman"/>
                <w:color w:val="auto"/>
                <w:sz w:val="24"/>
                <w:lang w:val="en-US" w:eastAsia="zh-CN"/>
              </w:rPr>
              <w:t>1</w:t>
            </w:r>
            <w:r>
              <w:rPr>
                <w:rFonts w:hint="eastAsia" w:ascii="Times New Roman" w:hAnsi="Times New Roman" w:eastAsia="宋体" w:cs="Times New Roman"/>
                <w:color w:val="auto"/>
                <w:sz w:val="24"/>
                <w:lang w:val="en-US" w:eastAsia="zh-CN"/>
              </w:rPr>
              <w:t>）排放，确保出口污染物浓度稳定低于排放标准限值。根据本项目废气排放达标性分析结果，本项目运营过程中排放的各废气污染物均能满足相应的标准限值要求，因此，本项目采取的废气污染防治措施可行。</w:t>
            </w:r>
          </w:p>
          <w:p w14:paraId="409DEC8F">
            <w:pPr>
              <w:pStyle w:val="47"/>
              <w:spacing w:line="360" w:lineRule="auto"/>
              <w:ind w:firstLine="500" w:firstLineChars="200"/>
              <w:jc w:val="left"/>
              <w:rPr>
                <w:rFonts w:ascii="Times New Roman" w:hAnsi="Times New Roman" w:cs="Times New Roman"/>
                <w:color w:val="auto"/>
                <w:spacing w:val="5"/>
                <w:sz w:val="24"/>
                <w:szCs w:val="24"/>
                <w:highlight w:val="none"/>
                <w:lang w:eastAsia="zh-CN"/>
              </w:rPr>
            </w:pPr>
            <w:r>
              <w:rPr>
                <w:rFonts w:hint="eastAsia" w:ascii="Times New Roman" w:hAnsi="Times New Roman" w:cs="Times New Roman"/>
                <w:color w:val="auto"/>
                <w:spacing w:val="5"/>
                <w:sz w:val="24"/>
                <w:szCs w:val="24"/>
                <w:highlight w:val="none"/>
                <w:lang w:eastAsia="zh-CN"/>
              </w:rPr>
              <w:t>（</w:t>
            </w:r>
            <w:r>
              <w:rPr>
                <w:rFonts w:hint="eastAsia" w:ascii="Times New Roman" w:hAnsi="Times New Roman" w:cs="Times New Roman"/>
                <w:color w:val="auto"/>
                <w:spacing w:val="5"/>
                <w:sz w:val="24"/>
                <w:szCs w:val="24"/>
                <w:highlight w:val="none"/>
                <w:lang w:val="en-US" w:eastAsia="zh-CN"/>
              </w:rPr>
              <w:t>5</w:t>
            </w:r>
            <w:r>
              <w:rPr>
                <w:rFonts w:hint="eastAsia" w:ascii="Times New Roman" w:hAnsi="Times New Roman" w:cs="Times New Roman"/>
                <w:color w:val="auto"/>
                <w:spacing w:val="5"/>
                <w:sz w:val="24"/>
                <w:szCs w:val="24"/>
                <w:highlight w:val="none"/>
                <w:lang w:eastAsia="zh-CN"/>
              </w:rPr>
              <w:t>）排气筒</w:t>
            </w:r>
          </w:p>
          <w:p w14:paraId="797776ED">
            <w:pPr>
              <w:pStyle w:val="19"/>
              <w:numPr>
                <w:ilvl w:val="0"/>
                <w:numId w:val="0"/>
              </w:numPr>
              <w:spacing w:before="0" w:beforeAutospacing="0" w:after="0" w:afterAutospacing="0" w:line="360" w:lineRule="auto"/>
              <w:ind w:firstLine="480" w:firstLineChars="200"/>
              <w:outlineLvl w:val="0"/>
              <w:rPr>
                <w:color w:val="auto"/>
                <w:highlight w:val="none"/>
              </w:rPr>
            </w:pPr>
            <w:r>
              <w:rPr>
                <w:rFonts w:hint="eastAsia" w:ascii="宋体" w:hAnsi="宋体" w:cs="宋体"/>
                <w:color w:val="auto"/>
                <w:kern w:val="0"/>
                <w:sz w:val="24"/>
                <w:highlight w:val="none"/>
                <w:lang w:bidi="ar"/>
              </w:rPr>
              <w:t>本项目</w:t>
            </w:r>
            <w:r>
              <w:rPr>
                <w:rFonts w:hint="eastAsia" w:ascii="Times New Roman" w:hAnsi="Times New Roman" w:cs="Times New Roman"/>
                <w:color w:val="auto"/>
                <w:sz w:val="24"/>
                <w:szCs w:val="24"/>
                <w:highlight w:val="none"/>
                <w:lang w:eastAsia="zh-CN"/>
              </w:rPr>
              <w:t>搅拌废气（G1）、缠绕</w:t>
            </w:r>
            <w:r>
              <w:rPr>
                <w:rFonts w:hint="eastAsia" w:cs="Times New Roman"/>
                <w:color w:val="auto"/>
                <w:kern w:val="2"/>
                <w:sz w:val="24"/>
                <w:szCs w:val="24"/>
                <w:highlight w:val="none"/>
                <w:lang w:val="en-US" w:eastAsia="zh-CN" w:bidi="ar-SA"/>
              </w:rPr>
              <w:t>（浸润）</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固化</w:t>
            </w:r>
            <w:r>
              <w:rPr>
                <w:rFonts w:hint="eastAsia" w:ascii="Times New Roman" w:hAnsi="Times New Roman" w:cs="Times New Roman"/>
                <w:color w:val="auto"/>
                <w:sz w:val="24"/>
                <w:szCs w:val="24"/>
                <w:highlight w:val="none"/>
                <w:lang w:eastAsia="zh-CN"/>
              </w:rPr>
              <w:t>废气（G</w:t>
            </w:r>
            <w:r>
              <w:rPr>
                <w:rFonts w:hint="eastAsia" w:ascii="Times New Roman" w:hAnsi="Times New Roman" w:eastAsia="宋体" w:cs="Times New Roman"/>
                <w:color w:val="auto"/>
                <w:kern w:val="2"/>
                <w:sz w:val="24"/>
                <w:szCs w:val="24"/>
                <w:highlight w:val="none"/>
                <w:lang w:val="en-US" w:eastAsia="zh-CN" w:bidi="ar-SA"/>
              </w:rPr>
              <w:t>2）经集气罩收集后通过“二级活性炭吸附”装置处理后经</w:t>
            </w:r>
            <w:r>
              <w:rPr>
                <w:rFonts w:hint="eastAsia" w:ascii="Times New Roman" w:hAnsi="Times New Roman" w:cs="Times New Roman"/>
                <w:color w:val="auto"/>
                <w:kern w:val="2"/>
                <w:sz w:val="24"/>
                <w:szCs w:val="24"/>
                <w:highlight w:val="none"/>
                <w:lang w:val="en-US" w:eastAsia="zh-CN" w:bidi="ar-SA"/>
              </w:rPr>
              <w:t>20.5m</w:t>
            </w:r>
            <w:r>
              <w:rPr>
                <w:rFonts w:hint="eastAsia" w:ascii="Times New Roman" w:hAnsi="Times New Roman" w:eastAsia="宋体" w:cs="Times New Roman"/>
                <w:color w:val="auto"/>
                <w:kern w:val="2"/>
                <w:sz w:val="24"/>
                <w:szCs w:val="24"/>
                <w:highlight w:val="none"/>
                <w:lang w:val="en-US" w:eastAsia="zh-CN" w:bidi="ar-SA"/>
              </w:rPr>
              <w:t>高排气筒排放</w:t>
            </w:r>
            <w:r>
              <w:rPr>
                <w:rFonts w:hint="eastAsia" w:cs="Times New Roman"/>
                <w:color w:val="auto"/>
                <w:kern w:val="2"/>
                <w:sz w:val="24"/>
                <w:szCs w:val="24"/>
                <w:highlight w:val="none"/>
                <w:lang w:val="en-US" w:eastAsia="zh-CN" w:bidi="ar-SA"/>
              </w:rPr>
              <w:t>。静电喷涂喷涂工序经回收系统收集后由大旋风分离器和转翼式滤芯过滤器二级回收系统处置；静电喷涂固化烘干工序经自带负压吸收装置和“两级活性炭吸附”装置，废气（G5）通过负压收集装置收集后，通过“两级活性炭处理装置”进行净化处理，尾</w:t>
            </w:r>
            <w:r>
              <w:rPr>
                <w:rFonts w:hint="eastAsia" w:ascii="Times New Roman" w:hAnsi="Times New Roman" w:eastAsia="宋体" w:cs="Times New Roman"/>
                <w:color w:val="auto"/>
                <w:kern w:val="2"/>
                <w:sz w:val="24"/>
                <w:szCs w:val="24"/>
                <w:highlight w:val="none"/>
                <w:lang w:val="en-US" w:eastAsia="zh-CN" w:bidi="ar-SA"/>
              </w:rPr>
              <w:t>气通过</w:t>
            </w:r>
            <w:r>
              <w:rPr>
                <w:rFonts w:hint="eastAsia" w:ascii="Times New Roman" w:hAnsi="Times New Roman" w:cs="Times New Roman"/>
                <w:color w:val="auto"/>
                <w:kern w:val="2"/>
                <w:sz w:val="24"/>
                <w:szCs w:val="24"/>
                <w:highlight w:val="none"/>
                <w:lang w:val="en-US" w:eastAsia="zh-CN" w:bidi="ar-SA"/>
              </w:rPr>
              <w:t>20.5m</w:t>
            </w:r>
            <w:r>
              <w:rPr>
                <w:rFonts w:hint="eastAsia" w:ascii="Times New Roman" w:hAnsi="Times New Roman" w:eastAsia="宋体" w:cs="Times New Roman"/>
                <w:color w:val="auto"/>
                <w:kern w:val="2"/>
                <w:sz w:val="24"/>
                <w:szCs w:val="24"/>
                <w:highlight w:val="none"/>
                <w:lang w:val="en-US" w:eastAsia="zh-CN" w:bidi="ar-SA"/>
              </w:rPr>
              <w:t>高排气筒（DA001）排放。</w:t>
            </w:r>
          </w:p>
          <w:p w14:paraId="5B89401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kern w:val="0"/>
                <w:sz w:val="24"/>
                <w:szCs w:val="20"/>
                <w:highlight w:val="none"/>
                <w:lang w:val="en-US" w:eastAsia="zh-CN" w:bidi="ar-SA"/>
              </w:rPr>
            </w:pPr>
            <w:r>
              <w:rPr>
                <w:rFonts w:hint="default" w:ascii="Times New Roman" w:hAnsi="Times New Roman" w:eastAsia="宋体" w:cs="Times New Roman"/>
                <w:color w:val="auto"/>
                <w:kern w:val="0"/>
                <w:sz w:val="24"/>
                <w:szCs w:val="20"/>
                <w:highlight w:val="none"/>
                <w:lang w:val="en-US" w:eastAsia="zh-CN" w:bidi="ar-SA"/>
              </w:rPr>
              <w:t>根据《大气污染物综合排放标准》（GB16297-1996）规定排气筒高度应高于周围200米范围内建筑5米以上，项目周围200米范围内最高建筑为</w:t>
            </w:r>
            <w:r>
              <w:rPr>
                <w:rFonts w:hint="eastAsia" w:cs="Times New Roman"/>
                <w:color w:val="auto"/>
                <w:kern w:val="0"/>
                <w:sz w:val="24"/>
                <w:szCs w:val="20"/>
                <w:highlight w:val="none"/>
                <w:lang w:val="en-US" w:eastAsia="zh-CN" w:bidi="ar-SA"/>
              </w:rPr>
              <w:t>15.17</w:t>
            </w:r>
            <w:r>
              <w:rPr>
                <w:rFonts w:hint="default" w:ascii="Times New Roman" w:hAnsi="Times New Roman" w:eastAsia="宋体" w:cs="Times New Roman"/>
                <w:color w:val="auto"/>
                <w:kern w:val="0"/>
                <w:sz w:val="24"/>
                <w:szCs w:val="20"/>
                <w:highlight w:val="none"/>
                <w:lang w:val="en-US" w:eastAsia="zh-CN" w:bidi="ar-SA"/>
              </w:rPr>
              <w:t>米，因此排气筒高度设置为</w:t>
            </w:r>
            <w:r>
              <w:rPr>
                <w:rFonts w:hint="eastAsia" w:cs="Times New Roman"/>
                <w:color w:val="auto"/>
                <w:kern w:val="0"/>
                <w:sz w:val="24"/>
                <w:szCs w:val="20"/>
                <w:highlight w:val="none"/>
                <w:lang w:val="en-US" w:eastAsia="zh-CN" w:bidi="ar-SA"/>
              </w:rPr>
              <w:t>20.5</w:t>
            </w:r>
            <w:r>
              <w:rPr>
                <w:rFonts w:hint="default" w:ascii="Times New Roman" w:hAnsi="Times New Roman" w:eastAsia="宋体" w:cs="Times New Roman"/>
                <w:color w:val="auto"/>
                <w:kern w:val="0"/>
                <w:sz w:val="24"/>
                <w:szCs w:val="20"/>
                <w:highlight w:val="none"/>
                <w:lang w:val="en-US" w:eastAsia="zh-CN" w:bidi="ar-SA"/>
              </w:rPr>
              <w:t>米合理。</w:t>
            </w:r>
          </w:p>
          <w:p w14:paraId="4EBE6FEF">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eastAsia" w:ascii="Times New Roman" w:hAnsi="Times New Roman" w:eastAsia="宋体" w:cs="Times New Roman"/>
                <w:b w:val="0"/>
                <w:bCs/>
                <w:color w:val="auto"/>
                <w:spacing w:val="-10"/>
                <w:sz w:val="24"/>
                <w:szCs w:val="24"/>
                <w:lang w:val="en-US" w:eastAsia="zh-CN"/>
              </w:rPr>
            </w:pPr>
            <w:r>
              <w:rPr>
                <w:rFonts w:hint="eastAsia" w:ascii="Times New Roman" w:hAnsi="Times New Roman" w:eastAsia="宋体" w:cs="Times New Roman"/>
                <w:b w:val="0"/>
                <w:bCs/>
                <w:color w:val="auto"/>
                <w:spacing w:val="-10"/>
                <w:sz w:val="24"/>
                <w:szCs w:val="24"/>
                <w:lang w:val="en-US" w:eastAsia="zh-CN"/>
              </w:rPr>
              <w:t>1.</w:t>
            </w:r>
            <w:r>
              <w:rPr>
                <w:rFonts w:hint="eastAsia" w:cs="Times New Roman"/>
                <w:b w:val="0"/>
                <w:bCs/>
                <w:color w:val="auto"/>
                <w:spacing w:val="-10"/>
                <w:sz w:val="24"/>
                <w:szCs w:val="24"/>
                <w:lang w:val="en-US" w:eastAsia="zh-CN"/>
              </w:rPr>
              <w:t xml:space="preserve">5 </w:t>
            </w:r>
            <w:r>
              <w:rPr>
                <w:rFonts w:hint="eastAsia" w:ascii="Times New Roman" w:hAnsi="Times New Roman" w:eastAsia="宋体" w:cs="Times New Roman"/>
                <w:b w:val="0"/>
                <w:bCs/>
                <w:color w:val="auto"/>
                <w:spacing w:val="-10"/>
                <w:sz w:val="24"/>
                <w:szCs w:val="24"/>
                <w:lang w:val="en-US" w:eastAsia="zh-CN"/>
              </w:rPr>
              <w:t>大气环境影响分析</w:t>
            </w:r>
          </w:p>
          <w:p w14:paraId="7D6BAA66">
            <w:pPr>
              <w:adjustRightInd w:val="0"/>
              <w:snapToGrid w:val="0"/>
              <w:spacing w:line="360" w:lineRule="auto"/>
              <w:ind w:firstLine="480" w:firstLineChars="200"/>
              <w:rPr>
                <w:rFonts w:hint="eastAsia" w:ascii="Times New Roman" w:hAnsi="Times New Roman" w:cs="Times New Roman"/>
                <w:color w:val="auto"/>
                <w:spacing w:val="5"/>
                <w:sz w:val="24"/>
                <w:szCs w:val="24"/>
                <w:highlight w:val="yellow"/>
                <w:lang w:eastAsia="zh-CN"/>
              </w:rPr>
            </w:pPr>
            <w:r>
              <w:rPr>
                <w:rFonts w:hint="eastAsia" w:ascii="Times New Roman" w:hAnsi="Times New Roman" w:eastAsia="宋体" w:cs="Times New Roman"/>
                <w:color w:val="auto"/>
                <w:sz w:val="24"/>
                <w:highlight w:val="none"/>
                <w:lang w:val="en-US" w:eastAsia="zh-CN"/>
              </w:rPr>
              <w:t>本项目针对其运行过程中污染物特性及产生情况采取相应的收集和净化措施，且项目生产作业全部在厂房内进行，能够有效控制项目运营过程中各污染物排放，同时，根据</w:t>
            </w:r>
            <w:r>
              <w:rPr>
                <w:rFonts w:hint="eastAsia" w:ascii="Times New Roman" w:hAnsi="Times New Roman" w:eastAsia="宋体" w:cs="Times New Roman"/>
                <w:color w:val="auto"/>
                <w:sz w:val="24"/>
                <w:lang w:val="en-US" w:eastAsia="zh-CN"/>
              </w:rPr>
              <w:t>本项目废气污染物排放达标性分析结果，本项目运营过程中排放的各废气污染物均能满足相应的标准限值要求，另外，根据环境敏感目标识别结果，本项目周边500m范围内无大气环境敏感目标，</w:t>
            </w:r>
            <w:r>
              <w:rPr>
                <w:rFonts w:hint="eastAsia" w:ascii="Times New Roman" w:hAnsi="Times New Roman" w:eastAsia="宋体" w:cs="Times New Roman"/>
                <w:color w:val="auto"/>
                <w:sz w:val="24"/>
                <w:highlight w:val="none"/>
                <w:lang w:eastAsia="zh-CN"/>
              </w:rPr>
              <w:t>因此，正常情况下，本项目排放的污染物不会对区域大气环境及周边大气环境敏感目标产生明显不利影响。</w:t>
            </w:r>
          </w:p>
          <w:p w14:paraId="7F855D90">
            <w:pPr>
              <w:widowControl/>
              <w:spacing w:line="360" w:lineRule="auto"/>
              <w:ind w:firstLine="500" w:firstLineChars="200"/>
              <w:jc w:val="left"/>
              <w:rPr>
                <w:rFonts w:ascii="Times New Roman" w:hAnsi="Times New Roman" w:cs="Times New Roman"/>
                <w:color w:val="auto"/>
                <w:spacing w:val="5"/>
                <w:sz w:val="24"/>
                <w:szCs w:val="24"/>
                <w:highlight w:val="none"/>
                <w:lang w:eastAsia="zh-CN"/>
              </w:rPr>
            </w:pPr>
            <w:r>
              <w:rPr>
                <w:rFonts w:hint="eastAsia" w:ascii="Times New Roman" w:hAnsi="Times New Roman" w:cs="Times New Roman"/>
                <w:color w:val="auto"/>
                <w:spacing w:val="5"/>
                <w:sz w:val="24"/>
                <w:szCs w:val="24"/>
                <w:highlight w:val="none"/>
                <w:lang w:eastAsia="zh-CN"/>
              </w:rPr>
              <w:t>1.</w:t>
            </w:r>
            <w:r>
              <w:rPr>
                <w:rFonts w:hint="eastAsia" w:cs="Times New Roman"/>
                <w:color w:val="auto"/>
                <w:spacing w:val="5"/>
                <w:sz w:val="24"/>
                <w:szCs w:val="24"/>
                <w:highlight w:val="none"/>
                <w:lang w:val="en-US" w:eastAsia="zh-CN"/>
              </w:rPr>
              <w:t>6</w:t>
            </w:r>
            <w:r>
              <w:rPr>
                <w:rFonts w:hint="eastAsia" w:ascii="Times New Roman" w:hAnsi="Times New Roman" w:cs="Times New Roman"/>
                <w:color w:val="auto"/>
                <w:spacing w:val="5"/>
                <w:sz w:val="24"/>
                <w:szCs w:val="24"/>
                <w:highlight w:val="none"/>
                <w:lang w:eastAsia="zh-CN"/>
              </w:rPr>
              <w:t xml:space="preserve"> 大气监测计划</w:t>
            </w:r>
          </w:p>
          <w:p w14:paraId="35837058">
            <w:pPr>
              <w:pStyle w:val="47"/>
              <w:spacing w:line="360" w:lineRule="auto"/>
              <w:ind w:firstLine="480" w:firstLineChars="200"/>
              <w:jc w:val="left"/>
              <w:rPr>
                <w:rFonts w:ascii="Times New Roman" w:hAnsi="Times New Roman" w:cs="Times New Roman"/>
                <w:color w:val="auto"/>
                <w:sz w:val="24"/>
                <w:szCs w:val="24"/>
                <w:highlight w:val="none"/>
                <w:lang w:eastAsia="zh-CN"/>
              </w:rPr>
            </w:pPr>
            <w:r>
              <w:rPr>
                <w:rFonts w:ascii="Times New Roman" w:hAnsi="Times New Roman" w:cs="Times New Roman"/>
                <w:color w:val="auto"/>
                <w:sz w:val="24"/>
                <w:szCs w:val="24"/>
                <w:highlight w:val="none"/>
                <w:lang w:eastAsia="zh-CN"/>
              </w:rPr>
              <w:t>根据《排污许可证申请与核发技术规范 总则》（HJ942-2018）、《排污单位自行监测技术指南 总则》（HJ819-2017）</w:t>
            </w:r>
            <w:r>
              <w:rPr>
                <w:rFonts w:hint="eastAsia" w:ascii="Times New Roman" w:hAnsi="Times New Roman" w:cs="Times New Roman"/>
                <w:color w:val="auto"/>
                <w:sz w:val="24"/>
                <w:szCs w:val="24"/>
                <w:highlight w:val="none"/>
                <w:lang w:eastAsia="zh-CN"/>
              </w:rPr>
              <w:t>、《排污单位自行监测技术指南</w:t>
            </w:r>
            <w:r>
              <w:rPr>
                <w:rFonts w:hint="eastAsia" w:ascii="Times New Roman" w:hAnsi="Times New Roman" w:cs="Times New Roman"/>
                <w:color w:val="auto"/>
                <w:sz w:val="24"/>
                <w:szCs w:val="24"/>
                <w:highlight w:val="none"/>
                <w:lang w:val="en-US" w:eastAsia="zh-CN"/>
              </w:rPr>
              <w:t xml:space="preserve">  涂装》（HJ 1086-2020）</w:t>
            </w:r>
            <w:r>
              <w:rPr>
                <w:rFonts w:ascii="Times New Roman" w:hAnsi="Times New Roman" w:cs="Times New Roman"/>
                <w:color w:val="auto"/>
                <w:sz w:val="24"/>
                <w:szCs w:val="24"/>
                <w:highlight w:val="none"/>
                <w:lang w:eastAsia="zh-CN"/>
              </w:rPr>
              <w:t>相关要求，本项目大气环境监测方案如下。</w:t>
            </w:r>
          </w:p>
          <w:p w14:paraId="70167608">
            <w:pPr>
              <w:pStyle w:val="47"/>
              <w:ind w:firstLine="482" w:firstLineChars="200"/>
              <w:jc w:val="center"/>
              <w:rPr>
                <w:rFonts w:ascii="Times New Roman" w:hAnsi="Times New Roman" w:cs="Times New Roman"/>
                <w:b/>
                <w:color w:val="auto"/>
                <w:kern w:val="0"/>
                <w:sz w:val="24"/>
                <w:highlight w:val="none"/>
                <w:lang w:eastAsia="zh-CN"/>
              </w:rPr>
            </w:pPr>
            <w:r>
              <w:rPr>
                <w:rFonts w:hint="eastAsia" w:ascii="Times New Roman" w:hAnsi="Times New Roman" w:cs="Times New Roman"/>
                <w:b/>
                <w:color w:val="auto"/>
                <w:kern w:val="0"/>
                <w:sz w:val="24"/>
                <w:highlight w:val="none"/>
                <w:lang w:eastAsia="zh-CN"/>
              </w:rPr>
              <w:t>表4-</w:t>
            </w:r>
            <w:r>
              <w:rPr>
                <w:rFonts w:hint="eastAsia" w:ascii="Times New Roman" w:hAnsi="Times New Roman" w:cs="Times New Roman"/>
                <w:b/>
                <w:color w:val="auto"/>
                <w:kern w:val="0"/>
                <w:sz w:val="24"/>
                <w:highlight w:val="none"/>
                <w:lang w:val="en-US" w:eastAsia="zh-CN"/>
              </w:rPr>
              <w:t>8</w:t>
            </w:r>
            <w:r>
              <w:rPr>
                <w:rFonts w:hint="eastAsia" w:ascii="Times New Roman" w:hAnsi="Times New Roman" w:cs="Times New Roman"/>
                <w:b/>
                <w:color w:val="auto"/>
                <w:kern w:val="0"/>
                <w:sz w:val="24"/>
                <w:highlight w:val="none"/>
                <w:lang w:eastAsia="zh-CN"/>
              </w:rPr>
              <w:t xml:space="preserve">    环境监测工作内容一览表</w:t>
            </w:r>
          </w:p>
          <w:tbl>
            <w:tblPr>
              <w:tblStyle w:val="23"/>
              <w:tblW w:w="8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430"/>
              <w:gridCol w:w="1486"/>
              <w:gridCol w:w="1150"/>
              <w:gridCol w:w="3236"/>
            </w:tblGrid>
            <w:tr w14:paraId="6F08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854" w:type="dxa"/>
                  <w:vAlign w:val="center"/>
                </w:tcPr>
                <w:p w14:paraId="37F16EA1">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名称</w:t>
                  </w:r>
                </w:p>
              </w:tc>
              <w:tc>
                <w:tcPr>
                  <w:tcW w:w="1430" w:type="dxa"/>
                  <w:vAlign w:val="center"/>
                </w:tcPr>
                <w:p w14:paraId="586B646B">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监测点位</w:t>
                  </w:r>
                </w:p>
              </w:tc>
              <w:tc>
                <w:tcPr>
                  <w:tcW w:w="1486" w:type="dxa"/>
                  <w:vAlign w:val="center"/>
                </w:tcPr>
                <w:p w14:paraId="33B238E0">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监测因子</w:t>
                  </w:r>
                </w:p>
              </w:tc>
              <w:tc>
                <w:tcPr>
                  <w:tcW w:w="1150" w:type="dxa"/>
                  <w:vAlign w:val="center"/>
                </w:tcPr>
                <w:p w14:paraId="65E54B03">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监测</w:t>
                  </w:r>
                </w:p>
                <w:p w14:paraId="68EBC0D7">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频次</w:t>
                  </w:r>
                </w:p>
              </w:tc>
              <w:tc>
                <w:tcPr>
                  <w:tcW w:w="3236" w:type="dxa"/>
                  <w:vAlign w:val="center"/>
                </w:tcPr>
                <w:p w14:paraId="2D4CFC81">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执行标准</w:t>
                  </w:r>
                </w:p>
              </w:tc>
            </w:tr>
            <w:tr w14:paraId="4ACB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854" w:type="dxa"/>
                  <w:vMerge w:val="restart"/>
                  <w:vAlign w:val="center"/>
                </w:tcPr>
                <w:p w14:paraId="7BFED2BA">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有组织废气</w:t>
                  </w:r>
                </w:p>
              </w:tc>
              <w:tc>
                <w:tcPr>
                  <w:tcW w:w="1430" w:type="dxa"/>
                  <w:vMerge w:val="restart"/>
                  <w:vAlign w:val="center"/>
                </w:tcPr>
                <w:p w14:paraId="73AC331C">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排气筒（DA001）</w:t>
                  </w:r>
                </w:p>
              </w:tc>
              <w:tc>
                <w:tcPr>
                  <w:tcW w:w="1486" w:type="dxa"/>
                  <w:shd w:val="clear" w:color="auto" w:fill="auto"/>
                  <w:vAlign w:val="center"/>
                </w:tcPr>
                <w:p w14:paraId="783A14CA">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非甲烷总烃</w:t>
                  </w:r>
                </w:p>
              </w:tc>
              <w:tc>
                <w:tcPr>
                  <w:tcW w:w="1150" w:type="dxa"/>
                  <w:vAlign w:val="center"/>
                </w:tcPr>
                <w:p w14:paraId="1451FD77">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1次/半年</w:t>
                  </w:r>
                </w:p>
              </w:tc>
              <w:tc>
                <w:tcPr>
                  <w:tcW w:w="3236" w:type="dxa"/>
                  <w:vMerge w:val="restart"/>
                  <w:vAlign w:val="center"/>
                </w:tcPr>
                <w:p w14:paraId="4AD930CD">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《合成树脂工业污染物排放标准》(GB31572-2015)及其修改单表4中的限值要求</w:t>
                  </w:r>
                </w:p>
              </w:tc>
            </w:tr>
            <w:tr w14:paraId="111F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854" w:type="dxa"/>
                  <w:vMerge w:val="continue"/>
                  <w:vAlign w:val="center"/>
                </w:tcPr>
                <w:p w14:paraId="35E6D92D">
                  <w:pPr>
                    <w:pStyle w:val="47"/>
                    <w:jc w:val="center"/>
                    <w:rPr>
                      <w:rFonts w:hint="default" w:ascii="Times New Roman" w:hAnsi="Times New Roman" w:eastAsia="宋体" w:cs="Times New Roman"/>
                      <w:color w:val="auto"/>
                      <w:kern w:val="0"/>
                      <w:sz w:val="21"/>
                      <w:szCs w:val="21"/>
                      <w:lang w:val="en-US" w:eastAsia="zh-CN" w:bidi="ar"/>
                    </w:rPr>
                  </w:pPr>
                </w:p>
              </w:tc>
              <w:tc>
                <w:tcPr>
                  <w:tcW w:w="1430" w:type="dxa"/>
                  <w:vMerge w:val="continue"/>
                  <w:vAlign w:val="center"/>
                </w:tcPr>
                <w:p w14:paraId="49E95E4B">
                  <w:pPr>
                    <w:pStyle w:val="47"/>
                    <w:jc w:val="center"/>
                    <w:rPr>
                      <w:rFonts w:hint="default" w:ascii="Times New Roman" w:hAnsi="Times New Roman" w:eastAsia="宋体" w:cs="Times New Roman"/>
                      <w:color w:val="auto"/>
                      <w:kern w:val="0"/>
                      <w:sz w:val="21"/>
                      <w:szCs w:val="21"/>
                      <w:lang w:val="en-US" w:eastAsia="zh-CN" w:bidi="ar"/>
                    </w:rPr>
                  </w:pPr>
                </w:p>
              </w:tc>
              <w:tc>
                <w:tcPr>
                  <w:tcW w:w="1486" w:type="dxa"/>
                  <w:shd w:val="clear" w:color="auto" w:fill="auto"/>
                  <w:vAlign w:val="center"/>
                </w:tcPr>
                <w:p w14:paraId="6914FCE9">
                  <w:pPr>
                    <w:pStyle w:val="47"/>
                    <w:jc w:val="center"/>
                    <w:rPr>
                      <w:rFonts w:hint="default" w:ascii="Times New Roman" w:hAnsi="Times New Roman" w:eastAsia="宋体" w:cs="Times New Roman"/>
                      <w:color w:val="auto"/>
                      <w:kern w:val="0"/>
                      <w:sz w:val="21"/>
                      <w:szCs w:val="21"/>
                      <w:lang w:val="zh-CN" w:eastAsia="zh-CN" w:bidi="ar"/>
                    </w:rPr>
                  </w:pPr>
                  <w:r>
                    <w:rPr>
                      <w:rFonts w:hint="default" w:ascii="Times New Roman" w:hAnsi="Times New Roman" w:eastAsia="宋体" w:cs="Times New Roman"/>
                      <w:color w:val="auto"/>
                      <w:kern w:val="0"/>
                      <w:sz w:val="21"/>
                      <w:szCs w:val="21"/>
                      <w:lang w:val="en-US" w:eastAsia="zh-CN" w:bidi="ar"/>
                    </w:rPr>
                    <w:t>颗粒物</w:t>
                  </w:r>
                </w:p>
              </w:tc>
              <w:tc>
                <w:tcPr>
                  <w:tcW w:w="1150" w:type="dxa"/>
                  <w:vAlign w:val="center"/>
                </w:tcPr>
                <w:p w14:paraId="3CB9AA77">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1次/年</w:t>
                  </w:r>
                </w:p>
              </w:tc>
              <w:tc>
                <w:tcPr>
                  <w:tcW w:w="3236" w:type="dxa"/>
                  <w:vMerge w:val="continue"/>
                  <w:vAlign w:val="center"/>
                </w:tcPr>
                <w:p w14:paraId="28E58373">
                  <w:pPr>
                    <w:pStyle w:val="47"/>
                    <w:jc w:val="center"/>
                    <w:rPr>
                      <w:rFonts w:hint="default" w:ascii="Times New Roman" w:hAnsi="Times New Roman" w:eastAsia="宋体" w:cs="Times New Roman"/>
                      <w:color w:val="auto"/>
                      <w:kern w:val="0"/>
                      <w:sz w:val="21"/>
                      <w:szCs w:val="21"/>
                      <w:lang w:val="en-US" w:eastAsia="zh-CN" w:bidi="ar"/>
                    </w:rPr>
                  </w:pPr>
                </w:p>
              </w:tc>
            </w:tr>
            <w:tr w14:paraId="563A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4" w:type="dxa"/>
                  <w:vMerge w:val="continue"/>
                  <w:vAlign w:val="center"/>
                </w:tcPr>
                <w:p w14:paraId="28907741">
                  <w:pPr>
                    <w:pStyle w:val="47"/>
                    <w:jc w:val="center"/>
                    <w:rPr>
                      <w:rFonts w:hint="default" w:ascii="Times New Roman" w:hAnsi="Times New Roman" w:eastAsia="宋体" w:cs="Times New Roman"/>
                      <w:color w:val="auto"/>
                      <w:kern w:val="0"/>
                      <w:sz w:val="21"/>
                      <w:szCs w:val="21"/>
                      <w:lang w:val="en-US" w:eastAsia="zh-CN" w:bidi="ar"/>
                    </w:rPr>
                  </w:pPr>
                </w:p>
              </w:tc>
              <w:tc>
                <w:tcPr>
                  <w:tcW w:w="1430" w:type="dxa"/>
                  <w:vMerge w:val="continue"/>
                  <w:vAlign w:val="center"/>
                </w:tcPr>
                <w:p w14:paraId="2B96153F">
                  <w:pPr>
                    <w:pStyle w:val="47"/>
                    <w:jc w:val="center"/>
                    <w:rPr>
                      <w:rFonts w:hint="default" w:ascii="Times New Roman" w:hAnsi="Times New Roman" w:eastAsia="宋体" w:cs="Times New Roman"/>
                      <w:color w:val="auto"/>
                      <w:kern w:val="0"/>
                      <w:sz w:val="21"/>
                      <w:szCs w:val="21"/>
                      <w:lang w:val="en-US" w:eastAsia="zh-CN" w:bidi="ar"/>
                    </w:rPr>
                  </w:pPr>
                </w:p>
              </w:tc>
              <w:tc>
                <w:tcPr>
                  <w:tcW w:w="1486" w:type="dxa"/>
                  <w:shd w:val="clear" w:color="auto" w:fill="auto"/>
                  <w:vAlign w:val="center"/>
                </w:tcPr>
                <w:p w14:paraId="7709F731">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臭气浓度</w:t>
                  </w:r>
                </w:p>
              </w:tc>
              <w:tc>
                <w:tcPr>
                  <w:tcW w:w="1150" w:type="dxa"/>
                  <w:vAlign w:val="center"/>
                </w:tcPr>
                <w:p w14:paraId="21BDFAF5">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1次/年</w:t>
                  </w:r>
                </w:p>
              </w:tc>
              <w:tc>
                <w:tcPr>
                  <w:tcW w:w="3236" w:type="dxa"/>
                  <w:vAlign w:val="center"/>
                </w:tcPr>
                <w:p w14:paraId="27E2CE5E">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《恶臭污染物排放标准》(GB14554-93)表2中的恶臭污染物排放标准限值</w:t>
                  </w:r>
                </w:p>
              </w:tc>
            </w:tr>
            <w:tr w14:paraId="2AFC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4" w:type="dxa"/>
                  <w:vMerge w:val="restart"/>
                  <w:vAlign w:val="center"/>
                </w:tcPr>
                <w:p w14:paraId="6A3D5A39">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无组织废气</w:t>
                  </w:r>
                </w:p>
              </w:tc>
              <w:tc>
                <w:tcPr>
                  <w:tcW w:w="1430" w:type="dxa"/>
                  <w:vAlign w:val="center"/>
                </w:tcPr>
                <w:p w14:paraId="12EF4B9C">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厂内</w:t>
                  </w:r>
                </w:p>
              </w:tc>
              <w:tc>
                <w:tcPr>
                  <w:tcW w:w="1486" w:type="dxa"/>
                  <w:vAlign w:val="center"/>
                </w:tcPr>
                <w:p w14:paraId="424BACAC">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非甲烷总烃</w:t>
                  </w:r>
                </w:p>
              </w:tc>
              <w:tc>
                <w:tcPr>
                  <w:tcW w:w="1150" w:type="dxa"/>
                  <w:vAlign w:val="center"/>
                </w:tcPr>
                <w:p w14:paraId="37CD3DCB">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1次/年</w:t>
                  </w:r>
                </w:p>
              </w:tc>
              <w:tc>
                <w:tcPr>
                  <w:tcW w:w="3236" w:type="dxa"/>
                  <w:vAlign w:val="center"/>
                </w:tcPr>
                <w:p w14:paraId="6835DEBA">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《挥发性有机物无组织排放控制标准》(GB37822-2019)附录A.1排放限值要求</w:t>
                  </w:r>
                </w:p>
              </w:tc>
            </w:tr>
            <w:tr w14:paraId="67B4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54" w:type="dxa"/>
                  <w:vMerge w:val="continue"/>
                  <w:vAlign w:val="center"/>
                </w:tcPr>
                <w:p w14:paraId="44F58804">
                  <w:pPr>
                    <w:pStyle w:val="47"/>
                    <w:jc w:val="center"/>
                    <w:rPr>
                      <w:rFonts w:hint="default" w:ascii="Times New Roman" w:hAnsi="Times New Roman" w:eastAsia="宋体" w:cs="Times New Roman"/>
                      <w:color w:val="auto"/>
                      <w:kern w:val="0"/>
                      <w:sz w:val="21"/>
                      <w:szCs w:val="21"/>
                      <w:lang w:val="en-US" w:eastAsia="zh-CN" w:bidi="ar"/>
                    </w:rPr>
                  </w:pPr>
                </w:p>
              </w:tc>
              <w:tc>
                <w:tcPr>
                  <w:tcW w:w="1430" w:type="dxa"/>
                  <w:vMerge w:val="restart"/>
                  <w:vAlign w:val="center"/>
                </w:tcPr>
                <w:p w14:paraId="2FD86332">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厂界上风向</w:t>
                  </w:r>
                </w:p>
                <w:p w14:paraId="1AD7B793">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 个点，下风向3 个点</w:t>
                  </w:r>
                </w:p>
              </w:tc>
              <w:tc>
                <w:tcPr>
                  <w:tcW w:w="1486" w:type="dxa"/>
                  <w:shd w:val="clear" w:color="auto" w:fill="auto"/>
                  <w:vAlign w:val="center"/>
                </w:tcPr>
                <w:p w14:paraId="232AA25F">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非甲烷总烃</w:t>
                  </w:r>
                </w:p>
              </w:tc>
              <w:tc>
                <w:tcPr>
                  <w:tcW w:w="1150" w:type="dxa"/>
                  <w:vMerge w:val="restart"/>
                  <w:vAlign w:val="center"/>
                </w:tcPr>
                <w:p w14:paraId="7A7C7538">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1次/半年</w:t>
                  </w:r>
                </w:p>
              </w:tc>
              <w:tc>
                <w:tcPr>
                  <w:tcW w:w="3236" w:type="dxa"/>
                  <w:vMerge w:val="restart"/>
                  <w:vAlign w:val="center"/>
                </w:tcPr>
                <w:p w14:paraId="1C6D46C6">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《合成树脂工业污染物排放标准》(GB31572-2015)及其修改单表9中的限值要求</w:t>
                  </w:r>
                </w:p>
              </w:tc>
            </w:tr>
            <w:tr w14:paraId="1EBC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54" w:type="dxa"/>
                  <w:vMerge w:val="continue"/>
                  <w:vAlign w:val="center"/>
                </w:tcPr>
                <w:p w14:paraId="022FFF8F">
                  <w:pPr>
                    <w:pStyle w:val="47"/>
                    <w:jc w:val="center"/>
                    <w:rPr>
                      <w:rFonts w:hint="default" w:ascii="Times New Roman" w:hAnsi="Times New Roman" w:eastAsia="宋体" w:cs="Times New Roman"/>
                      <w:color w:val="auto"/>
                      <w:kern w:val="0"/>
                      <w:sz w:val="21"/>
                      <w:szCs w:val="21"/>
                      <w:lang w:val="en-US" w:eastAsia="zh-CN" w:bidi="ar"/>
                    </w:rPr>
                  </w:pPr>
                </w:p>
              </w:tc>
              <w:tc>
                <w:tcPr>
                  <w:tcW w:w="1430" w:type="dxa"/>
                  <w:vMerge w:val="continue"/>
                  <w:vAlign w:val="center"/>
                </w:tcPr>
                <w:p w14:paraId="53D1DAAC">
                  <w:pPr>
                    <w:pStyle w:val="47"/>
                    <w:jc w:val="center"/>
                    <w:rPr>
                      <w:rFonts w:hint="default" w:ascii="Times New Roman" w:hAnsi="Times New Roman" w:eastAsia="宋体" w:cs="Times New Roman"/>
                      <w:color w:val="auto"/>
                      <w:kern w:val="0"/>
                      <w:sz w:val="21"/>
                      <w:szCs w:val="21"/>
                      <w:lang w:val="en-US" w:eastAsia="zh-CN" w:bidi="ar"/>
                    </w:rPr>
                  </w:pPr>
                </w:p>
              </w:tc>
              <w:tc>
                <w:tcPr>
                  <w:tcW w:w="1486" w:type="dxa"/>
                  <w:shd w:val="clear" w:color="auto" w:fill="auto"/>
                  <w:vAlign w:val="center"/>
                </w:tcPr>
                <w:p w14:paraId="12D419D2">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颗粒物</w:t>
                  </w:r>
                </w:p>
              </w:tc>
              <w:tc>
                <w:tcPr>
                  <w:tcW w:w="1150" w:type="dxa"/>
                  <w:vMerge w:val="continue"/>
                  <w:vAlign w:val="center"/>
                </w:tcPr>
                <w:p w14:paraId="7E224ACB">
                  <w:pPr>
                    <w:pStyle w:val="47"/>
                    <w:jc w:val="center"/>
                    <w:rPr>
                      <w:rFonts w:hint="default" w:ascii="Times New Roman" w:hAnsi="Times New Roman" w:eastAsia="宋体" w:cs="Times New Roman"/>
                      <w:color w:val="auto"/>
                      <w:kern w:val="0"/>
                      <w:sz w:val="21"/>
                      <w:szCs w:val="21"/>
                      <w:lang w:val="en-US" w:eastAsia="zh-CN" w:bidi="ar"/>
                    </w:rPr>
                  </w:pPr>
                </w:p>
              </w:tc>
              <w:tc>
                <w:tcPr>
                  <w:tcW w:w="3236" w:type="dxa"/>
                  <w:vMerge w:val="continue"/>
                  <w:vAlign w:val="center"/>
                </w:tcPr>
                <w:p w14:paraId="62DECD60">
                  <w:pPr>
                    <w:pStyle w:val="47"/>
                    <w:jc w:val="center"/>
                    <w:rPr>
                      <w:rFonts w:hint="default" w:ascii="Times New Roman" w:hAnsi="Times New Roman" w:eastAsia="宋体" w:cs="Times New Roman"/>
                      <w:color w:val="auto"/>
                      <w:kern w:val="0"/>
                      <w:sz w:val="21"/>
                      <w:szCs w:val="21"/>
                      <w:lang w:val="en-US" w:eastAsia="zh-CN" w:bidi="ar"/>
                    </w:rPr>
                  </w:pPr>
                </w:p>
              </w:tc>
            </w:tr>
            <w:tr w14:paraId="667D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54" w:type="dxa"/>
                  <w:vMerge w:val="continue"/>
                  <w:vAlign w:val="center"/>
                </w:tcPr>
                <w:p w14:paraId="7B8A217D">
                  <w:pPr>
                    <w:pStyle w:val="47"/>
                    <w:jc w:val="center"/>
                    <w:rPr>
                      <w:rFonts w:hint="default" w:ascii="Times New Roman" w:hAnsi="Times New Roman" w:eastAsia="宋体" w:cs="Times New Roman"/>
                      <w:color w:val="auto"/>
                      <w:kern w:val="0"/>
                      <w:sz w:val="21"/>
                      <w:szCs w:val="21"/>
                      <w:lang w:val="en-US" w:eastAsia="zh-CN" w:bidi="ar"/>
                    </w:rPr>
                  </w:pPr>
                </w:p>
              </w:tc>
              <w:tc>
                <w:tcPr>
                  <w:tcW w:w="1430" w:type="dxa"/>
                  <w:vMerge w:val="continue"/>
                  <w:vAlign w:val="center"/>
                </w:tcPr>
                <w:p w14:paraId="3BD056B0">
                  <w:pPr>
                    <w:pStyle w:val="47"/>
                    <w:jc w:val="center"/>
                    <w:rPr>
                      <w:rFonts w:hint="default" w:ascii="Times New Roman" w:hAnsi="Times New Roman" w:eastAsia="宋体" w:cs="Times New Roman"/>
                      <w:color w:val="auto"/>
                      <w:kern w:val="0"/>
                      <w:sz w:val="21"/>
                      <w:szCs w:val="21"/>
                      <w:lang w:val="en-US" w:eastAsia="zh-CN" w:bidi="ar"/>
                    </w:rPr>
                  </w:pPr>
                </w:p>
              </w:tc>
              <w:tc>
                <w:tcPr>
                  <w:tcW w:w="1486" w:type="dxa"/>
                  <w:shd w:val="clear" w:color="auto" w:fill="auto"/>
                  <w:vAlign w:val="center"/>
                </w:tcPr>
                <w:p w14:paraId="56E307AF">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臭气浓度</w:t>
                  </w:r>
                </w:p>
              </w:tc>
              <w:tc>
                <w:tcPr>
                  <w:tcW w:w="1150" w:type="dxa"/>
                  <w:vMerge w:val="continue"/>
                  <w:vAlign w:val="center"/>
                </w:tcPr>
                <w:p w14:paraId="7F6DA0B1">
                  <w:pPr>
                    <w:pStyle w:val="47"/>
                    <w:jc w:val="center"/>
                    <w:rPr>
                      <w:rFonts w:hint="default" w:ascii="Times New Roman" w:hAnsi="Times New Roman" w:eastAsia="宋体" w:cs="Times New Roman"/>
                      <w:color w:val="auto"/>
                      <w:kern w:val="0"/>
                      <w:sz w:val="21"/>
                      <w:szCs w:val="21"/>
                      <w:lang w:val="en-US" w:eastAsia="zh-CN" w:bidi="ar"/>
                    </w:rPr>
                  </w:pPr>
                </w:p>
              </w:tc>
              <w:tc>
                <w:tcPr>
                  <w:tcW w:w="3236" w:type="dxa"/>
                  <w:vAlign w:val="center"/>
                </w:tcPr>
                <w:p w14:paraId="6BE46E59">
                  <w:pPr>
                    <w:pStyle w:val="47"/>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《恶臭污染物排放标准》(GB14554-93)中表1恶臭污染物厂界标准值中的二级标准</w:t>
                  </w:r>
                </w:p>
              </w:tc>
            </w:tr>
          </w:tbl>
          <w:p w14:paraId="12B741FD">
            <w:pPr>
              <w:pStyle w:val="19"/>
              <w:spacing w:before="0" w:beforeAutospacing="0" w:after="0" w:afterAutospacing="0" w:line="360" w:lineRule="auto"/>
              <w:ind w:firstLine="482" w:firstLineChars="200"/>
              <w:outlineLvl w:val="0"/>
              <w:rPr>
                <w:rFonts w:hint="default" w:ascii="Times New Roman" w:hAnsi="Times New Roman" w:cs="Times New Roman"/>
                <w:b/>
                <w:bCs/>
                <w:snapToGrid w:val="0"/>
                <w:color w:val="auto"/>
                <w:szCs w:val="24"/>
              </w:rPr>
            </w:pPr>
            <w:r>
              <w:rPr>
                <w:rFonts w:hint="default" w:ascii="Times New Roman" w:hAnsi="Times New Roman" w:cs="Times New Roman"/>
                <w:b/>
                <w:bCs/>
                <w:snapToGrid w:val="0"/>
                <w:color w:val="auto"/>
                <w:szCs w:val="24"/>
                <w:lang w:val="en-US" w:eastAsia="zh-CN"/>
              </w:rPr>
              <w:t>二</w:t>
            </w:r>
            <w:r>
              <w:rPr>
                <w:rFonts w:hint="default" w:ascii="Times New Roman" w:hAnsi="Times New Roman" w:cs="Times New Roman"/>
                <w:b/>
                <w:bCs/>
                <w:snapToGrid w:val="0"/>
                <w:color w:val="auto"/>
                <w:szCs w:val="24"/>
              </w:rPr>
              <w:t>、废水影响分析</w:t>
            </w:r>
          </w:p>
          <w:p w14:paraId="5C3E9F1B">
            <w:pPr>
              <w:widowControl/>
              <w:spacing w:line="360" w:lineRule="auto"/>
              <w:ind w:firstLine="480" w:firstLineChars="200"/>
              <w:jc w:val="left"/>
              <w:rPr>
                <w:rFonts w:hint="default"/>
                <w:snapToGrid w:val="0"/>
                <w:color w:val="auto"/>
                <w:sz w:val="24"/>
                <w:lang w:val="en-US" w:eastAsia="zh-CN"/>
              </w:rPr>
            </w:pPr>
            <w:r>
              <w:rPr>
                <w:rFonts w:hint="eastAsia"/>
                <w:snapToGrid w:val="0"/>
                <w:color w:val="auto"/>
                <w:sz w:val="24"/>
                <w:lang w:val="en-US" w:eastAsia="zh-CN"/>
              </w:rPr>
              <w:t>1）生活污水</w:t>
            </w:r>
          </w:p>
          <w:p w14:paraId="19A84C03">
            <w:pPr>
              <w:widowControl/>
              <w:spacing w:line="360" w:lineRule="auto"/>
              <w:ind w:firstLine="480" w:firstLineChars="200"/>
              <w:jc w:val="left"/>
              <w:rPr>
                <w:color w:val="auto"/>
                <w:sz w:val="24"/>
                <w:highlight w:val="none"/>
              </w:rPr>
            </w:pPr>
            <w:r>
              <w:rPr>
                <w:rFonts w:hint="eastAsia" w:ascii="Times New Roman" w:hAnsi="Times New Roman" w:eastAsia="宋体" w:cs="Times New Roman"/>
                <w:color w:val="auto"/>
                <w:sz w:val="24"/>
                <w:highlight w:val="none"/>
                <w:lang w:val="en-US" w:eastAsia="zh-CN"/>
              </w:rPr>
              <w:t>一期：劳动定员37人，</w:t>
            </w:r>
            <w:r>
              <w:rPr>
                <w:color w:val="auto"/>
                <w:sz w:val="24"/>
                <w:highlight w:val="none"/>
              </w:rPr>
              <w:t>则生活用水量</w:t>
            </w:r>
            <w:r>
              <w:rPr>
                <w:rFonts w:hint="eastAsia"/>
                <w:color w:val="auto"/>
                <w:sz w:val="24"/>
                <w:highlight w:val="none"/>
                <w:lang w:val="en-US" w:eastAsia="zh-CN"/>
              </w:rPr>
              <w:t>0.74</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244.2</w:t>
            </w:r>
            <w:r>
              <w:rPr>
                <w:rFonts w:hint="eastAsia"/>
                <w:color w:val="auto"/>
                <w:sz w:val="24"/>
                <w:highlight w:val="none"/>
              </w:rPr>
              <w:t>t</w:t>
            </w:r>
            <w:r>
              <w:rPr>
                <w:rFonts w:hint="eastAsia"/>
                <w:color w:val="auto"/>
                <w:sz w:val="24"/>
                <w:highlight w:val="none"/>
                <w:lang w:val="en-US" w:eastAsia="zh-CN"/>
              </w:rPr>
              <w:t>/a</w:t>
            </w:r>
            <w:r>
              <w:rPr>
                <w:color w:val="auto"/>
                <w:sz w:val="24"/>
                <w:highlight w:val="none"/>
              </w:rPr>
              <w:t>）</w:t>
            </w:r>
            <w:r>
              <w:rPr>
                <w:rFonts w:hint="eastAsia"/>
                <w:color w:val="auto"/>
                <w:sz w:val="24"/>
                <w:highlight w:val="none"/>
                <w:lang w:eastAsia="zh-CN"/>
              </w:rPr>
              <w:t>，</w:t>
            </w:r>
            <w:r>
              <w:rPr>
                <w:color w:val="auto"/>
                <w:sz w:val="24"/>
                <w:highlight w:val="none"/>
              </w:rPr>
              <w:t>生活污水的排放系数按0.8计算，则生活污水的产生量为</w:t>
            </w:r>
            <w:r>
              <w:rPr>
                <w:rFonts w:hint="eastAsia"/>
                <w:color w:val="auto"/>
                <w:sz w:val="24"/>
                <w:highlight w:val="none"/>
                <w:lang w:val="en-US" w:eastAsia="zh-CN"/>
              </w:rPr>
              <w:t>0.592</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rPr>
              <w:t>（</w:t>
            </w:r>
            <w:r>
              <w:rPr>
                <w:rFonts w:hint="eastAsia"/>
                <w:color w:val="auto"/>
                <w:sz w:val="24"/>
                <w:highlight w:val="none"/>
                <w:lang w:val="en-US" w:eastAsia="zh-CN"/>
              </w:rPr>
              <w:t>195.36</w:t>
            </w:r>
            <w:r>
              <w:rPr>
                <w:rFonts w:hint="eastAsia"/>
                <w:color w:val="auto"/>
                <w:sz w:val="24"/>
                <w:highlight w:val="none"/>
              </w:rPr>
              <w:t>t</w:t>
            </w:r>
            <w:r>
              <w:rPr>
                <w:color w:val="auto"/>
                <w:sz w:val="24"/>
                <w:highlight w:val="none"/>
              </w:rPr>
              <w:t>/a</w:t>
            </w:r>
            <w:r>
              <w:rPr>
                <w:rFonts w:hint="eastAsia"/>
                <w:color w:val="auto"/>
                <w:sz w:val="24"/>
                <w:highlight w:val="none"/>
              </w:rPr>
              <w:t>）</w:t>
            </w:r>
            <w:r>
              <w:rPr>
                <w:color w:val="auto"/>
                <w:sz w:val="24"/>
                <w:highlight w:val="none"/>
              </w:rPr>
              <w:t>。</w:t>
            </w:r>
          </w:p>
          <w:p w14:paraId="747A6E92">
            <w:pPr>
              <w:widowControl/>
              <w:spacing w:line="360" w:lineRule="auto"/>
              <w:ind w:firstLine="480" w:firstLineChars="200"/>
              <w:jc w:val="left"/>
              <w:rPr>
                <w:color w:val="auto"/>
                <w:sz w:val="24"/>
                <w:highlight w:val="none"/>
              </w:rPr>
            </w:pPr>
            <w:r>
              <w:rPr>
                <w:rFonts w:hint="eastAsia" w:ascii="Times New Roman" w:hAnsi="Times New Roman" w:eastAsia="宋体" w:cs="Times New Roman"/>
                <w:color w:val="auto"/>
                <w:sz w:val="24"/>
                <w:highlight w:val="none"/>
                <w:lang w:val="en-US" w:eastAsia="zh-CN"/>
              </w:rPr>
              <w:t>二期：劳动定员新增27人，</w:t>
            </w:r>
            <w:r>
              <w:rPr>
                <w:color w:val="auto"/>
                <w:sz w:val="24"/>
                <w:highlight w:val="none"/>
              </w:rPr>
              <w:t>则生活用水量</w:t>
            </w:r>
            <w:r>
              <w:rPr>
                <w:rFonts w:hint="eastAsia"/>
                <w:color w:val="auto"/>
                <w:sz w:val="24"/>
                <w:highlight w:val="none"/>
                <w:lang w:val="en-US" w:eastAsia="zh-CN"/>
              </w:rPr>
              <w:t>0.54</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178.2</w:t>
            </w:r>
            <w:r>
              <w:rPr>
                <w:rFonts w:hint="eastAsia"/>
                <w:color w:val="auto"/>
                <w:sz w:val="24"/>
                <w:highlight w:val="none"/>
              </w:rPr>
              <w:t>t</w:t>
            </w:r>
            <w:r>
              <w:rPr>
                <w:rFonts w:hint="eastAsia"/>
                <w:color w:val="auto"/>
                <w:sz w:val="24"/>
                <w:highlight w:val="none"/>
                <w:lang w:val="en-US" w:eastAsia="zh-CN"/>
              </w:rPr>
              <w:t>/a</w:t>
            </w:r>
            <w:r>
              <w:rPr>
                <w:color w:val="auto"/>
                <w:sz w:val="24"/>
                <w:highlight w:val="none"/>
              </w:rPr>
              <w:t>）。生活污水的排放系数按0.8计算，则生活污水的产生量为</w:t>
            </w:r>
            <w:r>
              <w:rPr>
                <w:rFonts w:hint="eastAsia"/>
                <w:color w:val="auto"/>
                <w:sz w:val="24"/>
                <w:highlight w:val="none"/>
                <w:lang w:val="en-US" w:eastAsia="zh-CN"/>
              </w:rPr>
              <w:t>0.432</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rPr>
              <w:t>（</w:t>
            </w:r>
            <w:r>
              <w:rPr>
                <w:rFonts w:hint="eastAsia"/>
                <w:color w:val="auto"/>
                <w:sz w:val="24"/>
                <w:highlight w:val="none"/>
                <w:lang w:val="en-US" w:eastAsia="zh-CN"/>
              </w:rPr>
              <w:t>142.56</w:t>
            </w:r>
            <w:r>
              <w:rPr>
                <w:rFonts w:hint="eastAsia"/>
                <w:color w:val="auto"/>
                <w:sz w:val="24"/>
                <w:highlight w:val="none"/>
              </w:rPr>
              <w:t>t</w:t>
            </w:r>
            <w:r>
              <w:rPr>
                <w:color w:val="auto"/>
                <w:sz w:val="24"/>
                <w:highlight w:val="none"/>
              </w:rPr>
              <w:t>/a</w:t>
            </w:r>
            <w:r>
              <w:rPr>
                <w:rFonts w:hint="eastAsia"/>
                <w:color w:val="auto"/>
                <w:sz w:val="24"/>
                <w:highlight w:val="none"/>
              </w:rPr>
              <w:t>）</w:t>
            </w:r>
            <w:r>
              <w:rPr>
                <w:color w:val="auto"/>
                <w:sz w:val="24"/>
                <w:highlight w:val="none"/>
              </w:rPr>
              <w:t>。</w:t>
            </w:r>
          </w:p>
          <w:p w14:paraId="706EBE91">
            <w:pPr>
              <w:snapToGrid w:val="0"/>
              <w:spacing w:line="360" w:lineRule="auto"/>
              <w:ind w:firstLine="480" w:firstLineChars="200"/>
              <w:rPr>
                <w:color w:val="auto"/>
                <w:sz w:val="24"/>
              </w:rPr>
            </w:pPr>
            <w:r>
              <w:rPr>
                <w:rFonts w:hint="eastAsia" w:ascii="Times New Roman" w:hAnsi="Times New Roman" w:eastAsia="宋体" w:cs="Times New Roman"/>
                <w:color w:val="auto"/>
                <w:sz w:val="24"/>
                <w:highlight w:val="none"/>
                <w:lang w:val="en-US" w:eastAsia="zh-CN"/>
              </w:rPr>
              <w:t>本项目全部建成后劳动定员为64人，则</w:t>
            </w:r>
            <w:r>
              <w:rPr>
                <w:color w:val="auto"/>
                <w:sz w:val="24"/>
                <w:highlight w:val="none"/>
              </w:rPr>
              <w:t>生活用水量</w:t>
            </w:r>
            <w:r>
              <w:rPr>
                <w:rFonts w:hint="eastAsia"/>
                <w:color w:val="auto"/>
                <w:sz w:val="24"/>
                <w:highlight w:val="none"/>
                <w:lang w:val="en-US" w:eastAsia="zh-CN"/>
              </w:rPr>
              <w:t>1.28</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lang w:val="en-US" w:eastAsia="zh-CN"/>
              </w:rPr>
              <w:t>422.4</w:t>
            </w:r>
            <w:r>
              <w:rPr>
                <w:rFonts w:hint="eastAsia"/>
                <w:color w:val="auto"/>
                <w:sz w:val="24"/>
                <w:highlight w:val="none"/>
              </w:rPr>
              <w:t>t</w:t>
            </w:r>
            <w:r>
              <w:rPr>
                <w:rFonts w:hint="eastAsia"/>
                <w:color w:val="auto"/>
                <w:sz w:val="24"/>
                <w:highlight w:val="none"/>
                <w:lang w:val="en-US" w:eastAsia="zh-CN"/>
              </w:rPr>
              <w:t>/a</w:t>
            </w:r>
            <w:r>
              <w:rPr>
                <w:color w:val="auto"/>
                <w:sz w:val="24"/>
                <w:highlight w:val="none"/>
              </w:rPr>
              <w:t>）。生活污水的排放系数按0.8计算，则生活污水的产生量为</w:t>
            </w:r>
            <w:r>
              <w:rPr>
                <w:rFonts w:hint="eastAsia"/>
                <w:color w:val="auto"/>
                <w:sz w:val="24"/>
                <w:highlight w:val="none"/>
                <w:lang w:val="en-US" w:eastAsia="zh-CN"/>
              </w:rPr>
              <w:t>1.024</w:t>
            </w:r>
            <w:r>
              <w:rPr>
                <w:color w:val="auto"/>
                <w:sz w:val="24"/>
                <w:highlight w:val="none"/>
              </w:rPr>
              <w:t>m</w:t>
            </w:r>
            <w:r>
              <w:rPr>
                <w:color w:val="auto"/>
                <w:sz w:val="24"/>
                <w:highlight w:val="none"/>
                <w:vertAlign w:val="superscript"/>
              </w:rPr>
              <w:t>3</w:t>
            </w:r>
            <w:r>
              <w:rPr>
                <w:color w:val="auto"/>
                <w:sz w:val="24"/>
                <w:highlight w:val="none"/>
              </w:rPr>
              <w:t>/d</w:t>
            </w:r>
            <w:r>
              <w:rPr>
                <w:rFonts w:hint="eastAsia"/>
                <w:color w:val="auto"/>
                <w:sz w:val="24"/>
                <w:highlight w:val="none"/>
              </w:rPr>
              <w:t>（</w:t>
            </w:r>
            <w:r>
              <w:rPr>
                <w:rFonts w:hint="eastAsia"/>
                <w:color w:val="auto"/>
                <w:sz w:val="24"/>
                <w:highlight w:val="none"/>
                <w:lang w:val="en-US" w:eastAsia="zh-CN"/>
              </w:rPr>
              <w:t>337.92</w:t>
            </w:r>
            <w:r>
              <w:rPr>
                <w:rFonts w:hint="eastAsia"/>
                <w:color w:val="auto"/>
                <w:sz w:val="24"/>
                <w:highlight w:val="none"/>
              </w:rPr>
              <w:t>t</w:t>
            </w:r>
            <w:r>
              <w:rPr>
                <w:color w:val="auto"/>
                <w:sz w:val="24"/>
                <w:highlight w:val="none"/>
              </w:rPr>
              <w:t>/a</w:t>
            </w:r>
            <w:r>
              <w:rPr>
                <w:rFonts w:hint="eastAsia"/>
                <w:color w:val="auto"/>
                <w:sz w:val="24"/>
                <w:highlight w:val="none"/>
              </w:rPr>
              <w:t>）</w:t>
            </w:r>
            <w:r>
              <w:rPr>
                <w:color w:val="auto"/>
                <w:sz w:val="24"/>
                <w:highlight w:val="none"/>
              </w:rPr>
              <w:t>。</w:t>
            </w:r>
            <w:r>
              <w:rPr>
                <w:rFonts w:hint="eastAsia"/>
                <w:color w:val="auto"/>
                <w:sz w:val="24"/>
                <w:highlight w:val="none"/>
                <w:lang w:val="en-US" w:eastAsia="zh-CN"/>
              </w:rPr>
              <w:t>生活污水经园区化粪池处理后，接管排入内蒙古天河水务有限公司进一步处理。</w:t>
            </w:r>
          </w:p>
          <w:p w14:paraId="698908FB">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排入污水处理站依托可行性分析：准格尔</w:t>
            </w:r>
            <w:r>
              <w:rPr>
                <w:rFonts w:hint="eastAsia" w:ascii="Times New Roman" w:hAnsi="Times New Roman" w:cs="Times New Roman"/>
                <w:color w:val="auto"/>
                <w:kern w:val="0"/>
                <w:sz w:val="24"/>
                <w:szCs w:val="24"/>
                <w:lang w:val="en-US" w:eastAsia="zh-CN" w:bidi="ar"/>
              </w:rPr>
              <w:t>内蒙古天河水务有限公司</w:t>
            </w:r>
            <w:r>
              <w:rPr>
                <w:rFonts w:hint="eastAsia" w:ascii="Times New Roman" w:hAnsi="Times New Roman" w:eastAsia="宋体" w:cs="Times New Roman"/>
                <w:color w:val="auto"/>
                <w:kern w:val="0"/>
                <w:sz w:val="24"/>
                <w:szCs w:val="24"/>
                <w:lang w:val="en-US" w:eastAsia="zh-CN" w:bidi="ar"/>
              </w:rPr>
              <w:t>集中处理市政区和工业区生产废水、生活污水以及浓盐水的综合性污水处理厂，</w:t>
            </w:r>
            <w:r>
              <w:rPr>
                <w:rFonts w:hint="eastAsia" w:ascii="Times New Roman" w:hAnsi="Times New Roman" w:cs="Times New Roman"/>
                <w:color w:val="auto"/>
                <w:kern w:val="0"/>
                <w:sz w:val="24"/>
                <w:szCs w:val="24"/>
                <w:lang w:val="en-US" w:eastAsia="zh-CN" w:bidi="ar"/>
              </w:rPr>
              <w:t>内蒙古天河水务有限公司</w:t>
            </w:r>
            <w:r>
              <w:rPr>
                <w:rFonts w:hint="eastAsia" w:ascii="Times New Roman" w:hAnsi="Times New Roman" w:eastAsia="宋体" w:cs="Times New Roman"/>
                <w:color w:val="auto"/>
                <w:kern w:val="0"/>
                <w:sz w:val="24"/>
                <w:szCs w:val="24"/>
                <w:lang w:val="en-US" w:eastAsia="zh-CN" w:bidi="ar"/>
              </w:rPr>
              <w:t>处理污水的规模为2.5万m</w:t>
            </w:r>
            <w:r>
              <w:rPr>
                <w:rFonts w:hint="eastAsia" w:ascii="Times New Roman" w:hAnsi="Times New Roman" w:eastAsia="宋体" w:cs="Times New Roman"/>
                <w:color w:val="auto"/>
                <w:kern w:val="0"/>
                <w:sz w:val="24"/>
                <w:szCs w:val="24"/>
                <w:vertAlign w:val="superscript"/>
                <w:lang w:val="en-US" w:eastAsia="zh-CN" w:bidi="ar"/>
              </w:rPr>
              <w:t>3</w:t>
            </w:r>
            <w:r>
              <w:rPr>
                <w:rFonts w:hint="eastAsia" w:ascii="Times New Roman" w:hAnsi="Times New Roman" w:eastAsia="宋体" w:cs="Times New Roman"/>
                <w:color w:val="auto"/>
                <w:kern w:val="0"/>
                <w:sz w:val="24"/>
                <w:szCs w:val="24"/>
                <w:lang w:val="en-US" w:eastAsia="zh-CN" w:bidi="ar"/>
              </w:rPr>
              <w:t>/d，两条1.25万m</w:t>
            </w:r>
            <w:r>
              <w:rPr>
                <w:rFonts w:hint="eastAsia" w:ascii="Times New Roman" w:hAnsi="Times New Roman" w:eastAsia="宋体" w:cs="Times New Roman"/>
                <w:color w:val="auto"/>
                <w:kern w:val="0"/>
                <w:sz w:val="24"/>
                <w:szCs w:val="24"/>
                <w:vertAlign w:val="superscript"/>
                <w:lang w:val="en-US" w:eastAsia="zh-CN" w:bidi="ar"/>
              </w:rPr>
              <w:t>3</w:t>
            </w:r>
            <w:r>
              <w:rPr>
                <w:rFonts w:hint="eastAsia" w:ascii="Times New Roman" w:hAnsi="Times New Roman" w:eastAsia="宋体" w:cs="Times New Roman"/>
                <w:color w:val="auto"/>
                <w:kern w:val="0"/>
                <w:sz w:val="24"/>
                <w:szCs w:val="24"/>
                <w:lang w:val="en-US" w:eastAsia="zh-CN" w:bidi="ar"/>
              </w:rPr>
              <w:t>/d的污水处理线，污水处理采用</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预处理+水解酸化+A</w:t>
            </w:r>
            <w:r>
              <w:rPr>
                <w:rFonts w:hint="eastAsia" w:ascii="Times New Roman" w:hAnsi="Times New Roman" w:eastAsia="宋体" w:cs="Times New Roman"/>
                <w:color w:val="auto"/>
                <w:kern w:val="0"/>
                <w:sz w:val="24"/>
                <w:szCs w:val="24"/>
                <w:vertAlign w:val="subscript"/>
                <w:lang w:val="en-US" w:eastAsia="zh-CN" w:bidi="ar"/>
              </w:rPr>
              <w:t>2</w:t>
            </w:r>
            <w:r>
              <w:rPr>
                <w:rFonts w:hint="eastAsia" w:ascii="Times New Roman" w:hAnsi="Times New Roman" w:eastAsia="宋体" w:cs="Times New Roman"/>
                <w:color w:val="auto"/>
                <w:kern w:val="0"/>
                <w:sz w:val="24"/>
                <w:szCs w:val="24"/>
                <w:lang w:val="en-US" w:eastAsia="zh-CN" w:bidi="ar"/>
              </w:rPr>
              <w:t>O二级生物处理工艺</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，综合污水处理厂平均处理量0.87万m</w:t>
            </w:r>
            <w:r>
              <w:rPr>
                <w:rFonts w:hint="eastAsia" w:ascii="Times New Roman" w:hAnsi="Times New Roman" w:eastAsia="宋体" w:cs="Times New Roman"/>
                <w:color w:val="auto"/>
                <w:kern w:val="0"/>
                <w:sz w:val="24"/>
                <w:szCs w:val="24"/>
                <w:vertAlign w:val="superscript"/>
                <w:lang w:val="en-US" w:eastAsia="zh-CN" w:bidi="ar"/>
              </w:rPr>
              <w:t>3</w:t>
            </w:r>
            <w:r>
              <w:rPr>
                <w:rFonts w:hint="eastAsia" w:ascii="Times New Roman" w:hAnsi="Times New Roman" w:eastAsia="宋体" w:cs="Times New Roman"/>
                <w:color w:val="auto"/>
                <w:kern w:val="0"/>
                <w:sz w:val="24"/>
                <w:szCs w:val="24"/>
                <w:lang w:val="en-US" w:eastAsia="zh-CN" w:bidi="ar"/>
              </w:rPr>
              <w:t>/d ，产水由管道输送至园区各企业，</w:t>
            </w:r>
            <w:r>
              <w:rPr>
                <w:rFonts w:hint="eastAsia" w:ascii="Times New Roman" w:hAnsi="Times New Roman" w:cs="Times New Roman"/>
                <w:color w:val="auto"/>
                <w:kern w:val="0"/>
                <w:sz w:val="24"/>
                <w:szCs w:val="24"/>
                <w:lang w:val="en-US" w:eastAsia="zh-CN" w:bidi="ar"/>
              </w:rPr>
              <w:t>内蒙古天河水务有限公司</w:t>
            </w:r>
            <w:r>
              <w:rPr>
                <w:rFonts w:hint="eastAsia" w:ascii="Times New Roman" w:hAnsi="Times New Roman" w:eastAsia="宋体" w:cs="Times New Roman"/>
                <w:color w:val="auto"/>
                <w:kern w:val="0"/>
                <w:sz w:val="24"/>
                <w:szCs w:val="24"/>
                <w:lang w:val="en-US" w:eastAsia="zh-CN" w:bidi="ar"/>
              </w:rPr>
              <w:t>目前正常运行</w:t>
            </w:r>
            <w:r>
              <w:rPr>
                <w:rFonts w:hint="eastAsia" w:ascii="Times New Roman" w:hAnsi="Times New Roman" w:cs="Times New Roman"/>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污水处理站可以接纳本项目污水。</w:t>
            </w:r>
          </w:p>
          <w:p w14:paraId="44A62A4C">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因此，项目废水依托企业内部污水处理站处理可行。</w:t>
            </w:r>
          </w:p>
          <w:p w14:paraId="2C67A0D1">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default" w:ascii="Times New Roman" w:hAnsi="Times New Roman" w:cs="Times New Roman"/>
                <w:b/>
                <w:bCs/>
                <w:snapToGrid w:val="0"/>
                <w:color w:val="auto"/>
                <w:szCs w:val="24"/>
                <w:highlight w:val="none"/>
              </w:rPr>
            </w:pPr>
            <w:r>
              <w:rPr>
                <w:rFonts w:hint="default" w:ascii="Times New Roman" w:hAnsi="Times New Roman" w:cs="Times New Roman"/>
                <w:b/>
                <w:bCs/>
                <w:snapToGrid w:val="0"/>
                <w:color w:val="auto"/>
                <w:szCs w:val="24"/>
                <w:highlight w:val="none"/>
                <w:lang w:val="en-US" w:eastAsia="zh-CN"/>
              </w:rPr>
              <w:t>三、</w:t>
            </w:r>
            <w:r>
              <w:rPr>
                <w:rFonts w:hint="default" w:ascii="Times New Roman" w:hAnsi="Times New Roman" w:cs="Times New Roman"/>
                <w:b/>
                <w:bCs/>
                <w:snapToGrid w:val="0"/>
                <w:color w:val="auto"/>
                <w:szCs w:val="24"/>
                <w:highlight w:val="none"/>
              </w:rPr>
              <w:t>噪声影响分析</w:t>
            </w:r>
          </w:p>
          <w:p w14:paraId="231E4ACC">
            <w:pPr>
              <w:pStyle w:val="19"/>
              <w:spacing w:before="0" w:beforeAutospacing="0" w:after="0" w:afterAutospacing="0" w:line="360" w:lineRule="auto"/>
              <w:ind w:left="420" w:left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（1）噪声源分析</w:t>
            </w:r>
          </w:p>
          <w:p w14:paraId="390E8827">
            <w:pPr>
              <w:pStyle w:val="19"/>
              <w:spacing w:before="0" w:beforeAutospacing="0" w:after="0" w:afterAutospacing="0" w:line="360" w:lineRule="auto"/>
              <w:ind w:firstLine="480" w:firstLineChars="200"/>
              <w:outlineLvl w:val="0"/>
              <w:rPr>
                <w:rFonts w:hint="eastAsia" w:ascii="Times New Roman" w:hAnsi="Times New Roman"/>
                <w:snapToGrid w:val="0"/>
                <w:color w:val="auto"/>
                <w:szCs w:val="24"/>
                <w:highlight w:val="none"/>
              </w:rPr>
            </w:pPr>
            <w:r>
              <w:rPr>
                <w:rFonts w:hint="eastAsia" w:ascii="Times New Roman" w:hAnsi="Times New Roman"/>
                <w:snapToGrid w:val="0"/>
                <w:color w:val="auto"/>
                <w:szCs w:val="24"/>
                <w:highlight w:val="none"/>
              </w:rPr>
              <w:t>项目运营后噪声污染源主要</w:t>
            </w:r>
            <w:r>
              <w:rPr>
                <w:rFonts w:hint="eastAsia" w:ascii="Times New Roman" w:hAnsi="Times New Roman"/>
                <w:snapToGrid w:val="0"/>
                <w:color w:val="auto"/>
                <w:szCs w:val="24"/>
                <w:highlight w:val="none"/>
                <w:lang w:val="en-US" w:eastAsia="zh-CN"/>
              </w:rPr>
              <w:t>为</w:t>
            </w:r>
            <w:r>
              <w:rPr>
                <w:rFonts w:hint="eastAsia" w:ascii="Times New Roman" w:hAnsi="Times New Roman"/>
                <w:snapToGrid w:val="0"/>
                <w:color w:val="auto"/>
                <w:szCs w:val="24"/>
                <w:highlight w:val="none"/>
              </w:rPr>
              <w:t>缠绕机</w:t>
            </w:r>
            <w:r>
              <w:rPr>
                <w:rFonts w:hint="eastAsia" w:ascii="Times New Roman" w:hAnsi="Times New Roman"/>
                <w:snapToGrid w:val="0"/>
                <w:color w:val="auto"/>
                <w:szCs w:val="24"/>
                <w:highlight w:val="none"/>
                <w:lang w:eastAsia="zh-CN"/>
              </w:rPr>
              <w:t>、</w:t>
            </w:r>
            <w:r>
              <w:rPr>
                <w:rFonts w:hint="eastAsia" w:ascii="Times New Roman" w:hAnsi="Times New Roman"/>
                <w:snapToGrid w:val="0"/>
                <w:color w:val="auto"/>
                <w:szCs w:val="24"/>
                <w:highlight w:val="none"/>
              </w:rPr>
              <w:t>数控车床</w:t>
            </w:r>
            <w:r>
              <w:rPr>
                <w:rFonts w:hint="eastAsia" w:ascii="Times New Roman" w:hAnsi="Times New Roman"/>
                <w:snapToGrid w:val="0"/>
                <w:color w:val="auto"/>
                <w:szCs w:val="24"/>
                <w:highlight w:val="none"/>
                <w:lang w:eastAsia="zh-CN"/>
              </w:rPr>
              <w:t>、</w:t>
            </w:r>
            <w:r>
              <w:rPr>
                <w:rFonts w:hint="eastAsia" w:ascii="Times New Roman" w:hAnsi="Times New Roman"/>
                <w:snapToGrid w:val="0"/>
                <w:color w:val="auto"/>
                <w:szCs w:val="24"/>
                <w:highlight w:val="none"/>
              </w:rPr>
              <w:t>空压机</w:t>
            </w:r>
            <w:r>
              <w:rPr>
                <w:rFonts w:hint="eastAsia" w:ascii="Times New Roman" w:hAnsi="Times New Roman"/>
                <w:snapToGrid w:val="0"/>
                <w:color w:val="auto"/>
                <w:szCs w:val="24"/>
                <w:highlight w:val="none"/>
                <w:lang w:eastAsia="zh-CN"/>
              </w:rPr>
              <w:t>、</w:t>
            </w:r>
            <w:r>
              <w:rPr>
                <w:rFonts w:hint="eastAsia" w:ascii="Times New Roman" w:hAnsi="Times New Roman"/>
                <w:snapToGrid w:val="0"/>
                <w:color w:val="auto"/>
                <w:szCs w:val="24"/>
                <w:highlight w:val="none"/>
              </w:rPr>
              <w:t>静电喷涂设备，以及废气处理措施配套风机</w:t>
            </w:r>
            <w:r>
              <w:rPr>
                <w:rFonts w:hint="eastAsia" w:ascii="Times New Roman" w:hAnsi="Times New Roman"/>
                <w:snapToGrid w:val="0"/>
                <w:color w:val="auto"/>
                <w:szCs w:val="24"/>
                <w:highlight w:val="none"/>
                <w:lang w:val="en-US" w:eastAsia="zh-CN"/>
              </w:rPr>
              <w:t>等</w:t>
            </w:r>
            <w:r>
              <w:rPr>
                <w:rFonts w:hint="eastAsia" w:ascii="Times New Roman" w:hAnsi="Times New Roman"/>
                <w:snapToGrid w:val="0"/>
                <w:color w:val="auto"/>
                <w:szCs w:val="24"/>
                <w:highlight w:val="none"/>
              </w:rPr>
              <w:t>产生的噪声。设备噪声级在</w:t>
            </w:r>
            <w:r>
              <w:rPr>
                <w:rFonts w:hint="eastAsia" w:ascii="Times New Roman" w:hAnsi="Times New Roman"/>
                <w:snapToGrid w:val="0"/>
                <w:color w:val="auto"/>
                <w:szCs w:val="24"/>
                <w:highlight w:val="none"/>
                <w:lang w:val="en-US" w:eastAsia="zh-CN"/>
              </w:rPr>
              <w:t>40</w:t>
            </w:r>
            <w:r>
              <w:rPr>
                <w:rFonts w:hint="eastAsia" w:ascii="Times New Roman" w:hAnsi="Times New Roman"/>
                <w:snapToGrid w:val="0"/>
                <w:color w:val="auto"/>
                <w:szCs w:val="24"/>
                <w:highlight w:val="none"/>
              </w:rPr>
              <w:t>～8</w:t>
            </w:r>
            <w:r>
              <w:rPr>
                <w:rFonts w:hint="eastAsia" w:ascii="Times New Roman" w:hAnsi="Times New Roman"/>
                <w:snapToGrid w:val="0"/>
                <w:color w:val="auto"/>
                <w:szCs w:val="24"/>
                <w:highlight w:val="none"/>
                <w:lang w:val="en-US" w:eastAsia="zh-CN"/>
              </w:rPr>
              <w:t>5</w:t>
            </w:r>
            <w:r>
              <w:rPr>
                <w:rFonts w:hint="eastAsia" w:ascii="Times New Roman" w:hAnsi="Times New Roman"/>
                <w:snapToGrid w:val="0"/>
                <w:color w:val="auto"/>
                <w:szCs w:val="24"/>
                <w:highlight w:val="none"/>
              </w:rPr>
              <w:t>dB（A）左右。</w:t>
            </w:r>
          </w:p>
          <w:p w14:paraId="095F73D2">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各声源源强等相关情况详见下表。</w:t>
            </w:r>
          </w:p>
          <w:p w14:paraId="4621E268">
            <w:pPr>
              <w:pStyle w:val="19"/>
              <w:spacing w:before="0" w:beforeAutospacing="0" w:after="0" w:afterAutospacing="0"/>
              <w:ind w:firstLine="482" w:firstLineChars="200"/>
              <w:jc w:val="center"/>
              <w:outlineLvl w:val="0"/>
              <w:rPr>
                <w:rFonts w:hint="eastAsia" w:ascii="Times New Roman" w:hAnsi="Times New Roman"/>
                <w:b/>
                <w:color w:val="auto"/>
                <w:highlight w:val="none"/>
              </w:rPr>
            </w:pPr>
            <w:r>
              <w:rPr>
                <w:rFonts w:hint="eastAsia" w:ascii="Times New Roman" w:hAnsi="Times New Roman"/>
                <w:b/>
                <w:color w:val="auto"/>
                <w:highlight w:val="none"/>
              </w:rPr>
              <w:t>表4-</w:t>
            </w:r>
            <w:r>
              <w:rPr>
                <w:rFonts w:hint="eastAsia" w:ascii="Times New Roman" w:hAnsi="Times New Roman"/>
                <w:b/>
                <w:color w:val="auto"/>
                <w:highlight w:val="none"/>
                <w:lang w:val="en-US" w:eastAsia="zh-CN"/>
              </w:rPr>
              <w:t>9</w:t>
            </w:r>
            <w:r>
              <w:rPr>
                <w:rFonts w:hint="eastAsia" w:ascii="Times New Roman" w:hAnsi="Times New Roman"/>
                <w:b/>
                <w:color w:val="auto"/>
                <w:highlight w:val="none"/>
              </w:rPr>
              <w:t xml:space="preserve">    工程主要噪声源及噪声治理情况</w:t>
            </w:r>
          </w:p>
          <w:tbl>
            <w:tblPr>
              <w:tblStyle w:val="46"/>
              <w:tblW w:w="8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3"/>
              <w:gridCol w:w="337"/>
              <w:gridCol w:w="671"/>
              <w:gridCol w:w="403"/>
              <w:gridCol w:w="615"/>
              <w:gridCol w:w="603"/>
              <w:gridCol w:w="729"/>
              <w:gridCol w:w="617"/>
              <w:gridCol w:w="687"/>
              <w:gridCol w:w="490"/>
              <w:gridCol w:w="729"/>
              <w:gridCol w:w="533"/>
              <w:gridCol w:w="464"/>
              <w:gridCol w:w="516"/>
              <w:gridCol w:w="411"/>
              <w:gridCol w:w="395"/>
            </w:tblGrid>
            <w:tr w14:paraId="6ABA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213" w:type="dxa"/>
                  <w:vMerge w:val="restart"/>
                  <w:noWrap w:val="0"/>
                  <w:vAlign w:val="center"/>
                </w:tcPr>
                <w:p w14:paraId="7978DB35">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14"/>
                      <w:sz w:val="21"/>
                      <w:szCs w:val="21"/>
                      <w:highlight w:val="none"/>
                    </w:rPr>
                    <w:t>序</w:t>
                  </w:r>
                  <w:r>
                    <w:rPr>
                      <w:rFonts w:ascii="Times New Roman" w:hAnsi="Times New Roman" w:eastAsia="宋体" w:cs="Times New Roman"/>
                      <w:b/>
                      <w:bCs/>
                      <w:color w:val="auto"/>
                      <w:spacing w:val="-12"/>
                      <w:sz w:val="21"/>
                      <w:szCs w:val="21"/>
                      <w:highlight w:val="none"/>
                    </w:rPr>
                    <w:t>号</w:t>
                  </w:r>
                </w:p>
              </w:tc>
              <w:tc>
                <w:tcPr>
                  <w:tcW w:w="337" w:type="dxa"/>
                  <w:vMerge w:val="restart"/>
                  <w:noWrap w:val="0"/>
                  <w:vAlign w:val="center"/>
                </w:tcPr>
                <w:p w14:paraId="2DA1E75E">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4"/>
                      <w:sz w:val="21"/>
                      <w:szCs w:val="21"/>
                      <w:highlight w:val="none"/>
                    </w:rPr>
                    <w:t>建</w:t>
                  </w:r>
                  <w:r>
                    <w:rPr>
                      <w:rFonts w:ascii="Times New Roman" w:hAnsi="Times New Roman" w:eastAsia="宋体" w:cs="Times New Roman"/>
                      <w:b/>
                      <w:bCs/>
                      <w:color w:val="auto"/>
                      <w:spacing w:val="-3"/>
                      <w:sz w:val="21"/>
                      <w:szCs w:val="21"/>
                      <w:highlight w:val="none"/>
                    </w:rPr>
                    <w:t>筑物名</w:t>
                  </w:r>
                  <w:r>
                    <w:rPr>
                      <w:rFonts w:ascii="Times New Roman" w:hAnsi="Times New Roman" w:eastAsia="宋体" w:cs="Times New Roman"/>
                      <w:b/>
                      <w:bCs/>
                      <w:color w:val="auto"/>
                      <w:spacing w:val="-2"/>
                      <w:sz w:val="21"/>
                      <w:szCs w:val="21"/>
                      <w:highlight w:val="none"/>
                    </w:rPr>
                    <w:t>称</w:t>
                  </w:r>
                </w:p>
              </w:tc>
              <w:tc>
                <w:tcPr>
                  <w:tcW w:w="671" w:type="dxa"/>
                  <w:vMerge w:val="restart"/>
                  <w:noWrap w:val="0"/>
                  <w:vAlign w:val="center"/>
                </w:tcPr>
                <w:p w14:paraId="7802AEC2">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5"/>
                      <w:sz w:val="21"/>
                      <w:szCs w:val="21"/>
                      <w:highlight w:val="none"/>
                    </w:rPr>
                    <w:t>声</w:t>
                  </w:r>
                  <w:r>
                    <w:rPr>
                      <w:rFonts w:ascii="Times New Roman" w:hAnsi="Times New Roman" w:eastAsia="宋体" w:cs="Times New Roman"/>
                      <w:b/>
                      <w:bCs/>
                      <w:color w:val="auto"/>
                      <w:spacing w:val="-3"/>
                      <w:sz w:val="21"/>
                      <w:szCs w:val="21"/>
                      <w:highlight w:val="none"/>
                    </w:rPr>
                    <w:t>源名</w:t>
                  </w:r>
                  <w:r>
                    <w:rPr>
                      <w:rFonts w:ascii="Times New Roman" w:hAnsi="Times New Roman" w:eastAsia="宋体" w:cs="Times New Roman"/>
                      <w:b/>
                      <w:bCs/>
                      <w:color w:val="auto"/>
                      <w:sz w:val="21"/>
                      <w:szCs w:val="21"/>
                      <w:highlight w:val="none"/>
                    </w:rPr>
                    <w:t>称</w:t>
                  </w:r>
                </w:p>
              </w:tc>
              <w:tc>
                <w:tcPr>
                  <w:tcW w:w="403" w:type="dxa"/>
                  <w:vMerge w:val="restart"/>
                  <w:noWrap w:val="0"/>
                  <w:vAlign w:val="center"/>
                </w:tcPr>
                <w:p w14:paraId="122228B1">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hint="eastAsia" w:ascii="Times New Roman" w:hAnsi="Times New Roman" w:eastAsia="宋体" w:cs="Times New Roman"/>
                      <w:b/>
                      <w:bCs/>
                      <w:color w:val="auto"/>
                      <w:spacing w:val="-5"/>
                      <w:sz w:val="21"/>
                      <w:szCs w:val="21"/>
                      <w:highlight w:val="none"/>
                      <w:lang w:val="en-US" w:eastAsia="zh-CN"/>
                    </w:rPr>
                  </w:pPr>
                  <w:r>
                    <w:rPr>
                      <w:rFonts w:hint="eastAsia" w:ascii="Times New Roman" w:hAnsi="Times New Roman" w:eastAsia="宋体" w:cs="Times New Roman"/>
                      <w:b/>
                      <w:bCs/>
                      <w:color w:val="auto"/>
                      <w:spacing w:val="-5"/>
                      <w:sz w:val="21"/>
                      <w:szCs w:val="21"/>
                      <w:highlight w:val="none"/>
                      <w:lang w:val="en-US" w:eastAsia="zh-CN"/>
                    </w:rPr>
                    <w:t>数量</w:t>
                  </w:r>
                </w:p>
              </w:tc>
              <w:tc>
                <w:tcPr>
                  <w:tcW w:w="1218" w:type="dxa"/>
                  <w:gridSpan w:val="2"/>
                  <w:noWrap w:val="0"/>
                  <w:vAlign w:val="center"/>
                </w:tcPr>
                <w:p w14:paraId="17ADB15A">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2"/>
                      <w:sz w:val="21"/>
                      <w:szCs w:val="21"/>
                      <w:highlight w:val="none"/>
                    </w:rPr>
                    <w:t>声源源强</w:t>
                  </w:r>
                </w:p>
              </w:tc>
              <w:tc>
                <w:tcPr>
                  <w:tcW w:w="729" w:type="dxa"/>
                  <w:vMerge w:val="restart"/>
                  <w:noWrap w:val="0"/>
                  <w:vAlign w:val="center"/>
                </w:tcPr>
                <w:p w14:paraId="24CDA30F">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5"/>
                      <w:sz w:val="21"/>
                      <w:szCs w:val="21"/>
                      <w:highlight w:val="none"/>
                    </w:rPr>
                    <w:t>声</w:t>
                  </w:r>
                  <w:r>
                    <w:rPr>
                      <w:rFonts w:ascii="Times New Roman" w:hAnsi="Times New Roman" w:eastAsia="宋体" w:cs="Times New Roman"/>
                      <w:b/>
                      <w:bCs/>
                      <w:color w:val="auto"/>
                      <w:spacing w:val="-3"/>
                      <w:sz w:val="21"/>
                      <w:szCs w:val="21"/>
                      <w:highlight w:val="none"/>
                    </w:rPr>
                    <w:t>源控</w:t>
                  </w:r>
                  <w:r>
                    <w:rPr>
                      <w:rFonts w:ascii="Times New Roman" w:hAnsi="Times New Roman" w:eastAsia="宋体" w:cs="Times New Roman"/>
                      <w:b/>
                      <w:bCs/>
                      <w:color w:val="auto"/>
                      <w:spacing w:val="-4"/>
                      <w:sz w:val="21"/>
                      <w:szCs w:val="21"/>
                      <w:highlight w:val="none"/>
                    </w:rPr>
                    <w:t>制</w:t>
                  </w:r>
                  <w:r>
                    <w:rPr>
                      <w:rFonts w:ascii="Times New Roman" w:hAnsi="Times New Roman" w:eastAsia="宋体" w:cs="Times New Roman"/>
                      <w:b/>
                      <w:bCs/>
                      <w:color w:val="auto"/>
                      <w:spacing w:val="-2"/>
                      <w:sz w:val="21"/>
                      <w:szCs w:val="21"/>
                      <w:highlight w:val="none"/>
                    </w:rPr>
                    <w:t>措施</w:t>
                  </w:r>
                </w:p>
              </w:tc>
              <w:tc>
                <w:tcPr>
                  <w:tcW w:w="1794" w:type="dxa"/>
                  <w:gridSpan w:val="3"/>
                  <w:noWrap w:val="0"/>
                  <w:vAlign w:val="center"/>
                </w:tcPr>
                <w:p w14:paraId="1097C34A">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2"/>
                      <w:sz w:val="21"/>
                      <w:szCs w:val="21"/>
                      <w:highlight w:val="none"/>
                    </w:rPr>
                    <w:t>相对位</w:t>
                  </w:r>
                  <w:r>
                    <w:rPr>
                      <w:rFonts w:ascii="Times New Roman" w:hAnsi="Times New Roman" w:eastAsia="宋体" w:cs="Times New Roman"/>
                      <w:b/>
                      <w:bCs/>
                      <w:color w:val="auto"/>
                      <w:spacing w:val="-1"/>
                      <w:sz w:val="21"/>
                      <w:szCs w:val="21"/>
                      <w:highlight w:val="none"/>
                    </w:rPr>
                    <w:t>置/m</w:t>
                  </w:r>
                </w:p>
              </w:tc>
              <w:tc>
                <w:tcPr>
                  <w:tcW w:w="729" w:type="dxa"/>
                  <w:vMerge w:val="restart"/>
                  <w:noWrap w:val="0"/>
                  <w:vAlign w:val="center"/>
                </w:tcPr>
                <w:p w14:paraId="335E7DD1">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2"/>
                      <w:sz w:val="21"/>
                      <w:szCs w:val="21"/>
                      <w:highlight w:val="none"/>
                    </w:rPr>
                    <w:t>距室内</w:t>
                  </w:r>
                  <w:r>
                    <w:rPr>
                      <w:rFonts w:ascii="Times New Roman" w:hAnsi="Times New Roman" w:eastAsia="宋体" w:cs="Times New Roman"/>
                      <w:b/>
                      <w:bCs/>
                      <w:color w:val="auto"/>
                      <w:spacing w:val="-1"/>
                      <w:sz w:val="21"/>
                      <w:szCs w:val="21"/>
                      <w:highlight w:val="none"/>
                    </w:rPr>
                    <w:t>边</w:t>
                  </w:r>
                  <w:r>
                    <w:rPr>
                      <w:rFonts w:ascii="Times New Roman" w:hAnsi="Times New Roman" w:eastAsia="宋体" w:cs="Times New Roman"/>
                      <w:b/>
                      <w:bCs/>
                      <w:color w:val="auto"/>
                      <w:spacing w:val="-3"/>
                      <w:sz w:val="21"/>
                      <w:szCs w:val="21"/>
                      <w:highlight w:val="none"/>
                    </w:rPr>
                    <w:t>界</w:t>
                  </w:r>
                  <w:r>
                    <w:rPr>
                      <w:rFonts w:ascii="Times New Roman" w:hAnsi="Times New Roman" w:eastAsia="宋体" w:cs="Times New Roman"/>
                      <w:b/>
                      <w:bCs/>
                      <w:color w:val="auto"/>
                      <w:spacing w:val="-2"/>
                      <w:sz w:val="21"/>
                      <w:szCs w:val="21"/>
                      <w:highlight w:val="none"/>
                    </w:rPr>
                    <w:t>距离/m</w:t>
                  </w:r>
                </w:p>
              </w:tc>
              <w:tc>
                <w:tcPr>
                  <w:tcW w:w="533" w:type="dxa"/>
                  <w:vMerge w:val="restart"/>
                  <w:noWrap w:val="0"/>
                  <w:vAlign w:val="center"/>
                </w:tcPr>
                <w:p w14:paraId="02BF5EF1">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2"/>
                      <w:sz w:val="21"/>
                      <w:szCs w:val="21"/>
                      <w:highlight w:val="none"/>
                    </w:rPr>
                    <w:t>室内边界</w:t>
                  </w:r>
                  <w:r>
                    <w:rPr>
                      <w:rFonts w:ascii="Times New Roman" w:hAnsi="Times New Roman" w:eastAsia="宋体" w:cs="Times New Roman"/>
                      <w:b/>
                      <w:bCs/>
                      <w:color w:val="auto"/>
                      <w:spacing w:val="-4"/>
                      <w:sz w:val="21"/>
                      <w:szCs w:val="21"/>
                      <w:highlight w:val="none"/>
                    </w:rPr>
                    <w:t>声</w:t>
                  </w:r>
                  <w:r>
                    <w:rPr>
                      <w:rFonts w:ascii="Times New Roman" w:hAnsi="Times New Roman" w:eastAsia="宋体" w:cs="Times New Roman"/>
                      <w:b/>
                      <w:bCs/>
                      <w:color w:val="auto"/>
                      <w:spacing w:val="-2"/>
                      <w:sz w:val="21"/>
                      <w:szCs w:val="21"/>
                      <w:highlight w:val="none"/>
                    </w:rPr>
                    <w:t>级</w:t>
                  </w:r>
                  <w:r>
                    <w:rPr>
                      <w:rFonts w:ascii="Times New Roman" w:hAnsi="Times New Roman" w:eastAsia="宋体" w:cs="Times New Roman"/>
                      <w:b/>
                      <w:bCs/>
                      <w:color w:val="auto"/>
                      <w:spacing w:val="1"/>
                      <w:sz w:val="21"/>
                      <w:szCs w:val="21"/>
                      <w:highlight w:val="none"/>
                    </w:rPr>
                    <w:t>/</w:t>
                  </w:r>
                  <w:r>
                    <w:rPr>
                      <w:rFonts w:ascii="Times New Roman" w:hAnsi="Times New Roman" w:eastAsia="宋体" w:cs="Times New Roman"/>
                      <w:b/>
                      <w:bCs/>
                      <w:color w:val="auto"/>
                      <w:sz w:val="21"/>
                      <w:szCs w:val="21"/>
                      <w:highlight w:val="none"/>
                    </w:rPr>
                    <w:t>dB(A)</w:t>
                  </w:r>
                </w:p>
              </w:tc>
              <w:tc>
                <w:tcPr>
                  <w:tcW w:w="464" w:type="dxa"/>
                  <w:vMerge w:val="restart"/>
                  <w:noWrap w:val="0"/>
                  <w:vAlign w:val="center"/>
                </w:tcPr>
                <w:p w14:paraId="355FADD5">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4"/>
                      <w:sz w:val="21"/>
                      <w:szCs w:val="21"/>
                      <w:highlight w:val="none"/>
                    </w:rPr>
                    <w:t>运</w:t>
                  </w:r>
                  <w:r>
                    <w:rPr>
                      <w:rFonts w:ascii="Times New Roman" w:hAnsi="Times New Roman" w:eastAsia="宋体" w:cs="Times New Roman"/>
                      <w:b/>
                      <w:bCs/>
                      <w:color w:val="auto"/>
                      <w:spacing w:val="-2"/>
                      <w:sz w:val="21"/>
                      <w:szCs w:val="21"/>
                      <w:highlight w:val="none"/>
                    </w:rPr>
                    <w:t>行时</w:t>
                  </w:r>
                  <w:r>
                    <w:rPr>
                      <w:rFonts w:ascii="Times New Roman" w:hAnsi="Times New Roman" w:eastAsia="宋体" w:cs="Times New Roman"/>
                      <w:b/>
                      <w:bCs/>
                      <w:color w:val="auto"/>
                      <w:sz w:val="21"/>
                      <w:szCs w:val="21"/>
                      <w:highlight w:val="none"/>
                    </w:rPr>
                    <w:t>段</w:t>
                  </w:r>
                </w:p>
              </w:tc>
              <w:tc>
                <w:tcPr>
                  <w:tcW w:w="516" w:type="dxa"/>
                  <w:vMerge w:val="restart"/>
                  <w:noWrap w:val="0"/>
                  <w:vAlign w:val="center"/>
                </w:tcPr>
                <w:p w14:paraId="3AD67EF5">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3"/>
                      <w:sz w:val="21"/>
                      <w:szCs w:val="21"/>
                      <w:highlight w:val="none"/>
                    </w:rPr>
                    <w:t>建</w:t>
                  </w:r>
                  <w:r>
                    <w:rPr>
                      <w:rFonts w:ascii="Times New Roman" w:hAnsi="Times New Roman" w:eastAsia="宋体" w:cs="Times New Roman"/>
                      <w:b/>
                      <w:bCs/>
                      <w:color w:val="auto"/>
                      <w:spacing w:val="-2"/>
                      <w:sz w:val="21"/>
                      <w:szCs w:val="21"/>
                      <w:highlight w:val="none"/>
                    </w:rPr>
                    <w:t>筑物插入</w:t>
                  </w:r>
                  <w:r>
                    <w:rPr>
                      <w:rFonts w:ascii="Times New Roman" w:hAnsi="Times New Roman" w:eastAsia="宋体" w:cs="Times New Roman"/>
                      <w:b/>
                      <w:bCs/>
                      <w:color w:val="auto"/>
                      <w:spacing w:val="-1"/>
                      <w:sz w:val="21"/>
                      <w:szCs w:val="21"/>
                      <w:highlight w:val="none"/>
                    </w:rPr>
                    <w:t>损</w:t>
                  </w:r>
                  <w:r>
                    <w:rPr>
                      <w:rFonts w:ascii="Times New Roman" w:hAnsi="Times New Roman" w:eastAsia="宋体" w:cs="Times New Roman"/>
                      <w:b/>
                      <w:bCs/>
                      <w:color w:val="auto"/>
                      <w:spacing w:val="-6"/>
                      <w:sz w:val="21"/>
                      <w:szCs w:val="21"/>
                      <w:highlight w:val="none"/>
                    </w:rPr>
                    <w:t>失</w:t>
                  </w:r>
                  <w:r>
                    <w:rPr>
                      <w:rFonts w:ascii="Times New Roman" w:hAnsi="Times New Roman" w:eastAsia="宋体" w:cs="Times New Roman"/>
                      <w:b/>
                      <w:bCs/>
                      <w:color w:val="auto"/>
                      <w:spacing w:val="-5"/>
                      <w:sz w:val="21"/>
                      <w:szCs w:val="21"/>
                      <w:highlight w:val="none"/>
                    </w:rPr>
                    <w:t>/</w:t>
                  </w:r>
                  <w:r>
                    <w:rPr>
                      <w:rFonts w:ascii="Times New Roman" w:hAnsi="Times New Roman" w:eastAsia="宋体" w:cs="Times New Roman"/>
                      <w:b/>
                      <w:bCs/>
                      <w:color w:val="auto"/>
                      <w:spacing w:val="-1"/>
                      <w:sz w:val="21"/>
                      <w:szCs w:val="21"/>
                      <w:highlight w:val="none"/>
                    </w:rPr>
                    <w:t>dB(A)</w:t>
                  </w:r>
                </w:p>
              </w:tc>
              <w:tc>
                <w:tcPr>
                  <w:tcW w:w="806" w:type="dxa"/>
                  <w:gridSpan w:val="2"/>
                  <w:noWrap w:val="0"/>
                  <w:vAlign w:val="center"/>
                </w:tcPr>
                <w:p w14:paraId="0A1FD9C2">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2"/>
                      <w:sz w:val="21"/>
                      <w:szCs w:val="21"/>
                      <w:highlight w:val="none"/>
                    </w:rPr>
                    <w:t>建筑</w:t>
                  </w:r>
                  <w:r>
                    <w:rPr>
                      <w:rFonts w:ascii="Times New Roman" w:hAnsi="Times New Roman" w:eastAsia="宋体" w:cs="Times New Roman"/>
                      <w:b/>
                      <w:bCs/>
                      <w:color w:val="auto"/>
                      <w:spacing w:val="-1"/>
                      <w:sz w:val="21"/>
                      <w:szCs w:val="21"/>
                      <w:highlight w:val="none"/>
                    </w:rPr>
                    <w:t>物外噪声</w:t>
                  </w:r>
                </w:p>
              </w:tc>
            </w:tr>
            <w:tr w14:paraId="46F9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4" w:hRule="atLeast"/>
                <w:jc w:val="center"/>
              </w:trPr>
              <w:tc>
                <w:tcPr>
                  <w:tcW w:w="213" w:type="dxa"/>
                  <w:vMerge w:val="continue"/>
                  <w:noWrap w:val="0"/>
                  <w:textDirection w:val="tbRlV"/>
                  <w:vAlign w:val="center"/>
                </w:tcPr>
                <w:p w14:paraId="03D96755">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337" w:type="dxa"/>
                  <w:vMerge w:val="continue"/>
                  <w:noWrap w:val="0"/>
                  <w:vAlign w:val="center"/>
                </w:tcPr>
                <w:p w14:paraId="47D8DF40">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671" w:type="dxa"/>
                  <w:vMerge w:val="continue"/>
                  <w:noWrap w:val="0"/>
                  <w:vAlign w:val="center"/>
                </w:tcPr>
                <w:p w14:paraId="3A112986">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403" w:type="dxa"/>
                  <w:vMerge w:val="continue"/>
                  <w:noWrap w:val="0"/>
                  <w:vAlign w:val="center"/>
                </w:tcPr>
                <w:p w14:paraId="6FB88E42">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615" w:type="dxa"/>
                  <w:noWrap w:val="0"/>
                  <w:vAlign w:val="center"/>
                </w:tcPr>
                <w:p w14:paraId="4A221130">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10"/>
                      <w:sz w:val="21"/>
                      <w:szCs w:val="21"/>
                      <w:highlight w:val="none"/>
                    </w:rPr>
                    <w:t>声压级/距声</w:t>
                  </w:r>
                  <w:r>
                    <w:rPr>
                      <w:rFonts w:ascii="Times New Roman" w:hAnsi="Times New Roman" w:eastAsia="宋体" w:cs="Times New Roman"/>
                      <w:b/>
                      <w:bCs/>
                      <w:color w:val="auto"/>
                      <w:spacing w:val="9"/>
                      <w:sz w:val="21"/>
                      <w:szCs w:val="21"/>
                      <w:highlight w:val="none"/>
                    </w:rPr>
                    <w:t>源</w:t>
                  </w:r>
                  <w:r>
                    <w:rPr>
                      <w:rFonts w:ascii="Times New Roman" w:hAnsi="Times New Roman" w:eastAsia="宋体" w:cs="Times New Roman"/>
                      <w:b/>
                      <w:bCs/>
                      <w:color w:val="auto"/>
                      <w:spacing w:val="-4"/>
                      <w:sz w:val="21"/>
                      <w:szCs w:val="21"/>
                      <w:highlight w:val="none"/>
                    </w:rPr>
                    <w:t>距离/(dB</w:t>
                  </w:r>
                  <w:r>
                    <w:rPr>
                      <w:rFonts w:hint="eastAsia" w:ascii="宋体" w:hAnsi="宋体" w:eastAsia="宋体" w:cs="宋体"/>
                      <w:b/>
                      <w:bCs/>
                      <w:color w:val="auto"/>
                      <w:spacing w:val="-4"/>
                      <w:sz w:val="21"/>
                      <w:szCs w:val="21"/>
                      <w:highlight w:val="none"/>
                    </w:rPr>
                    <w:t>〔</w:t>
                  </w:r>
                  <w:r>
                    <w:rPr>
                      <w:rFonts w:ascii="Times New Roman" w:hAnsi="Times New Roman" w:eastAsia="宋体" w:cs="Times New Roman"/>
                      <w:b/>
                      <w:bCs/>
                      <w:color w:val="auto"/>
                      <w:spacing w:val="-4"/>
                      <w:sz w:val="21"/>
                      <w:szCs w:val="21"/>
                      <w:highlight w:val="none"/>
                    </w:rPr>
                    <w:t>A</w:t>
                  </w:r>
                  <w:r>
                    <w:rPr>
                      <w:rFonts w:hint="eastAsia" w:ascii="宋体" w:hAnsi="宋体" w:eastAsia="宋体" w:cs="宋体"/>
                      <w:b/>
                      <w:bCs/>
                      <w:color w:val="auto"/>
                      <w:spacing w:val="-4"/>
                      <w:sz w:val="21"/>
                      <w:szCs w:val="21"/>
                      <w:highlight w:val="none"/>
                    </w:rPr>
                    <w:t>〕</w:t>
                  </w:r>
                  <w:r>
                    <w:rPr>
                      <w:rFonts w:ascii="Times New Roman" w:hAnsi="Times New Roman" w:eastAsia="宋体" w:cs="Times New Roman"/>
                      <w:b/>
                      <w:bCs/>
                      <w:color w:val="auto"/>
                      <w:spacing w:val="-4"/>
                      <w:sz w:val="21"/>
                      <w:szCs w:val="21"/>
                      <w:highlight w:val="none"/>
                    </w:rPr>
                    <w:t>/</w:t>
                  </w:r>
                  <w:r>
                    <w:rPr>
                      <w:rFonts w:ascii="Times New Roman" w:hAnsi="Times New Roman" w:eastAsia="宋体" w:cs="Times New Roman"/>
                      <w:b/>
                      <w:bCs/>
                      <w:color w:val="auto"/>
                      <w:spacing w:val="-3"/>
                      <w:sz w:val="21"/>
                      <w:szCs w:val="21"/>
                      <w:highlight w:val="none"/>
                    </w:rPr>
                    <w:t>m</w:t>
                  </w:r>
                  <w:r>
                    <w:rPr>
                      <w:rFonts w:ascii="Times New Roman" w:hAnsi="Times New Roman" w:eastAsia="宋体" w:cs="Times New Roman"/>
                      <w:b/>
                      <w:bCs/>
                      <w:color w:val="auto"/>
                      <w:spacing w:val="-4"/>
                      <w:sz w:val="21"/>
                      <w:szCs w:val="21"/>
                      <w:highlight w:val="none"/>
                    </w:rPr>
                    <w:t>)</w:t>
                  </w:r>
                </w:p>
              </w:tc>
              <w:tc>
                <w:tcPr>
                  <w:tcW w:w="603" w:type="dxa"/>
                  <w:noWrap w:val="0"/>
                  <w:vAlign w:val="center"/>
                </w:tcPr>
                <w:p w14:paraId="0891A66A">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4"/>
                      <w:sz w:val="21"/>
                      <w:szCs w:val="21"/>
                      <w:highlight w:val="none"/>
                    </w:rPr>
                    <w:t>声</w:t>
                  </w:r>
                  <w:r>
                    <w:rPr>
                      <w:rFonts w:ascii="Times New Roman" w:hAnsi="Times New Roman" w:eastAsia="宋体" w:cs="Times New Roman"/>
                      <w:b/>
                      <w:bCs/>
                      <w:color w:val="auto"/>
                      <w:spacing w:val="-2"/>
                      <w:sz w:val="21"/>
                      <w:szCs w:val="21"/>
                      <w:highlight w:val="none"/>
                    </w:rPr>
                    <w:t>功率</w:t>
                  </w:r>
                  <w:r>
                    <w:rPr>
                      <w:rFonts w:ascii="Times New Roman" w:hAnsi="Times New Roman" w:eastAsia="宋体" w:cs="Times New Roman"/>
                      <w:b/>
                      <w:bCs/>
                      <w:color w:val="auto"/>
                      <w:sz w:val="21"/>
                      <w:szCs w:val="21"/>
                      <w:highlight w:val="none"/>
                    </w:rPr>
                    <w:t>级</w:t>
                  </w:r>
                  <w:r>
                    <w:rPr>
                      <w:rFonts w:ascii="Times New Roman" w:hAnsi="Times New Roman" w:eastAsia="宋体" w:cs="Times New Roman"/>
                      <w:b/>
                      <w:bCs/>
                      <w:color w:val="auto"/>
                      <w:spacing w:val="1"/>
                      <w:sz w:val="21"/>
                      <w:szCs w:val="21"/>
                      <w:highlight w:val="none"/>
                    </w:rPr>
                    <w:t>/</w:t>
                  </w:r>
                  <w:r>
                    <w:rPr>
                      <w:rFonts w:ascii="Times New Roman" w:hAnsi="Times New Roman" w:eastAsia="宋体" w:cs="Times New Roman"/>
                      <w:b/>
                      <w:bCs/>
                      <w:color w:val="auto"/>
                      <w:sz w:val="21"/>
                      <w:szCs w:val="21"/>
                      <w:highlight w:val="none"/>
                    </w:rPr>
                    <w:t>dB(A)</w:t>
                  </w:r>
                </w:p>
              </w:tc>
              <w:tc>
                <w:tcPr>
                  <w:tcW w:w="729" w:type="dxa"/>
                  <w:vMerge w:val="continue"/>
                  <w:noWrap w:val="0"/>
                  <w:vAlign w:val="center"/>
                </w:tcPr>
                <w:p w14:paraId="544C58C9">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617" w:type="dxa"/>
                  <w:noWrap w:val="0"/>
                  <w:vAlign w:val="center"/>
                </w:tcPr>
                <w:p w14:paraId="1FD81FCE">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i/>
                      <w:iCs/>
                      <w:color w:val="auto"/>
                      <w:spacing w:val="35"/>
                      <w:sz w:val="21"/>
                      <w:szCs w:val="21"/>
                      <w:highlight w:val="none"/>
                    </w:rPr>
                    <w:t>X</w:t>
                  </w:r>
                </w:p>
              </w:tc>
              <w:tc>
                <w:tcPr>
                  <w:tcW w:w="687" w:type="dxa"/>
                  <w:noWrap w:val="0"/>
                  <w:vAlign w:val="center"/>
                </w:tcPr>
                <w:p w14:paraId="369CDB68">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i/>
                      <w:iCs/>
                      <w:color w:val="auto"/>
                      <w:spacing w:val="3"/>
                      <w:sz w:val="21"/>
                      <w:szCs w:val="21"/>
                      <w:highlight w:val="none"/>
                    </w:rPr>
                    <w:t>Y</w:t>
                  </w:r>
                </w:p>
              </w:tc>
              <w:tc>
                <w:tcPr>
                  <w:tcW w:w="490" w:type="dxa"/>
                  <w:noWrap w:val="0"/>
                  <w:vAlign w:val="center"/>
                </w:tcPr>
                <w:p w14:paraId="3DDFD55A">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i/>
                      <w:iCs/>
                      <w:color w:val="auto"/>
                      <w:spacing w:val="10"/>
                      <w:sz w:val="21"/>
                      <w:szCs w:val="21"/>
                      <w:highlight w:val="none"/>
                    </w:rPr>
                    <w:t>Z</w:t>
                  </w:r>
                </w:p>
              </w:tc>
              <w:tc>
                <w:tcPr>
                  <w:tcW w:w="729" w:type="dxa"/>
                  <w:vMerge w:val="continue"/>
                  <w:noWrap w:val="0"/>
                  <w:vAlign w:val="center"/>
                </w:tcPr>
                <w:p w14:paraId="5452EEFC">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533" w:type="dxa"/>
                  <w:vMerge w:val="continue"/>
                  <w:noWrap w:val="0"/>
                  <w:vAlign w:val="center"/>
                </w:tcPr>
                <w:p w14:paraId="5C804C14">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464" w:type="dxa"/>
                  <w:vMerge w:val="continue"/>
                  <w:noWrap w:val="0"/>
                  <w:vAlign w:val="center"/>
                </w:tcPr>
                <w:p w14:paraId="5DD9832B">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516" w:type="dxa"/>
                  <w:vMerge w:val="continue"/>
                  <w:noWrap w:val="0"/>
                  <w:vAlign w:val="center"/>
                </w:tcPr>
                <w:p w14:paraId="19286900">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p>
              </w:tc>
              <w:tc>
                <w:tcPr>
                  <w:tcW w:w="411" w:type="dxa"/>
                  <w:noWrap w:val="0"/>
                  <w:vAlign w:val="center"/>
                </w:tcPr>
                <w:p w14:paraId="171D2680">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5"/>
                      <w:sz w:val="21"/>
                      <w:szCs w:val="21"/>
                      <w:highlight w:val="none"/>
                    </w:rPr>
                    <w:t>声</w:t>
                  </w:r>
                  <w:r>
                    <w:rPr>
                      <w:rFonts w:ascii="Times New Roman" w:hAnsi="Times New Roman" w:eastAsia="宋体" w:cs="Times New Roman"/>
                      <w:b/>
                      <w:bCs/>
                      <w:color w:val="auto"/>
                      <w:spacing w:val="-3"/>
                      <w:sz w:val="21"/>
                      <w:szCs w:val="21"/>
                      <w:highlight w:val="none"/>
                    </w:rPr>
                    <w:t>压级</w:t>
                  </w:r>
                  <w:r>
                    <w:rPr>
                      <w:rFonts w:ascii="Times New Roman" w:hAnsi="Times New Roman" w:eastAsia="宋体" w:cs="Times New Roman"/>
                      <w:b/>
                      <w:bCs/>
                      <w:color w:val="auto"/>
                      <w:spacing w:val="1"/>
                      <w:sz w:val="21"/>
                      <w:szCs w:val="21"/>
                      <w:highlight w:val="none"/>
                    </w:rPr>
                    <w:t>/</w:t>
                  </w:r>
                  <w:r>
                    <w:rPr>
                      <w:rFonts w:ascii="Times New Roman" w:hAnsi="Times New Roman" w:eastAsia="宋体" w:cs="Times New Roman"/>
                      <w:b/>
                      <w:bCs/>
                      <w:color w:val="auto"/>
                      <w:sz w:val="21"/>
                      <w:szCs w:val="21"/>
                      <w:highlight w:val="none"/>
                    </w:rPr>
                    <w:t>dB(A)</w:t>
                  </w:r>
                </w:p>
              </w:tc>
              <w:tc>
                <w:tcPr>
                  <w:tcW w:w="395" w:type="dxa"/>
                  <w:noWrap w:val="0"/>
                  <w:vAlign w:val="center"/>
                </w:tcPr>
                <w:p w14:paraId="72EB289A">
                  <w:pPr>
                    <w:keepNext w:val="0"/>
                    <w:keepLines w:val="0"/>
                    <w:pageBreakBefore w:val="0"/>
                    <w:widowControl w:val="0"/>
                    <w:kinsoku/>
                    <w:wordWrap w:val="0"/>
                    <w:overflowPunct/>
                    <w:topLinePunct w:val="0"/>
                    <w:autoSpaceDE w:val="0"/>
                    <w:autoSpaceDN w:val="0"/>
                    <w:bidi w:val="0"/>
                    <w:adjustRightInd/>
                    <w:snapToGrid/>
                    <w:spacing w:line="0" w:lineRule="atLeast"/>
                    <w:ind w:left="0" w:right="0" w:firstLine="0"/>
                    <w:jc w:val="center"/>
                    <w:textAlignment w:val="baseline"/>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pacing w:val="-4"/>
                      <w:sz w:val="21"/>
                      <w:szCs w:val="21"/>
                      <w:highlight w:val="none"/>
                    </w:rPr>
                    <w:t>建</w:t>
                  </w:r>
                  <w:r>
                    <w:rPr>
                      <w:rFonts w:ascii="Times New Roman" w:hAnsi="Times New Roman" w:eastAsia="宋体" w:cs="Times New Roman"/>
                      <w:b/>
                      <w:bCs/>
                      <w:color w:val="auto"/>
                      <w:spacing w:val="-3"/>
                      <w:sz w:val="21"/>
                      <w:szCs w:val="21"/>
                      <w:highlight w:val="none"/>
                    </w:rPr>
                    <w:t>筑物</w:t>
                  </w:r>
                  <w:r>
                    <w:rPr>
                      <w:rFonts w:ascii="Times New Roman" w:hAnsi="Times New Roman" w:eastAsia="宋体" w:cs="Times New Roman"/>
                      <w:b/>
                      <w:bCs/>
                      <w:color w:val="auto"/>
                      <w:spacing w:val="-5"/>
                      <w:sz w:val="21"/>
                      <w:szCs w:val="21"/>
                      <w:highlight w:val="none"/>
                    </w:rPr>
                    <w:t>外</w:t>
                  </w:r>
                  <w:r>
                    <w:rPr>
                      <w:rFonts w:ascii="Times New Roman" w:hAnsi="Times New Roman" w:eastAsia="宋体" w:cs="Times New Roman"/>
                      <w:b/>
                      <w:bCs/>
                      <w:color w:val="auto"/>
                      <w:spacing w:val="-3"/>
                      <w:sz w:val="21"/>
                      <w:szCs w:val="21"/>
                      <w:highlight w:val="none"/>
                    </w:rPr>
                    <w:t>距离</w:t>
                  </w:r>
                </w:p>
              </w:tc>
            </w:tr>
            <w:tr w14:paraId="58AA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3" w:type="dxa"/>
                  <w:noWrap w:val="0"/>
                  <w:vAlign w:val="center"/>
                </w:tcPr>
                <w:p w14:paraId="1533356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337" w:type="dxa"/>
                  <w:vMerge w:val="restart"/>
                  <w:noWrap w:val="0"/>
                  <w:vAlign w:val="center"/>
                </w:tcPr>
                <w:p w14:paraId="24FF937F">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车间</w:t>
                  </w:r>
                </w:p>
              </w:tc>
              <w:tc>
                <w:tcPr>
                  <w:tcW w:w="671" w:type="dxa"/>
                  <w:noWrap w:val="0"/>
                  <w:vAlign w:val="center"/>
                </w:tcPr>
                <w:p w14:paraId="1150D4A4">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缠绕机</w:t>
                  </w:r>
                </w:p>
              </w:tc>
              <w:tc>
                <w:tcPr>
                  <w:tcW w:w="403" w:type="dxa"/>
                  <w:noWrap w:val="0"/>
                  <w:vAlign w:val="center"/>
                </w:tcPr>
                <w:p w14:paraId="4798D2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w:t>
                  </w:r>
                </w:p>
              </w:tc>
              <w:tc>
                <w:tcPr>
                  <w:tcW w:w="615" w:type="dxa"/>
                  <w:noWrap w:val="0"/>
                  <w:vAlign w:val="center"/>
                </w:tcPr>
                <w:p w14:paraId="73B10C82">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03" w:type="dxa"/>
                  <w:noWrap w:val="0"/>
                  <w:vAlign w:val="center"/>
                </w:tcPr>
                <w:p w14:paraId="333C167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cs="Times New Roman"/>
                      <w:i w:val="0"/>
                      <w:iCs w:val="0"/>
                      <w:color w:val="auto"/>
                      <w:kern w:val="0"/>
                      <w:sz w:val="21"/>
                      <w:szCs w:val="21"/>
                      <w:u w:val="none"/>
                      <w:lang w:val="en-US" w:eastAsia="zh-CN" w:bidi="ar"/>
                    </w:rPr>
                    <w:t>75</w:t>
                  </w:r>
                </w:p>
              </w:tc>
              <w:tc>
                <w:tcPr>
                  <w:tcW w:w="729" w:type="dxa"/>
                  <w:vMerge w:val="restart"/>
                  <w:noWrap w:val="0"/>
                  <w:vAlign w:val="center"/>
                </w:tcPr>
                <w:p w14:paraId="45E921B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合理布局，采用低噪声设备、基础减振等措施。</w:t>
                  </w:r>
                </w:p>
              </w:tc>
              <w:tc>
                <w:tcPr>
                  <w:tcW w:w="617" w:type="dxa"/>
                  <w:noWrap w:val="0"/>
                  <w:vAlign w:val="center"/>
                </w:tcPr>
                <w:p w14:paraId="0C93DA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75.24</w:t>
                  </w:r>
                </w:p>
              </w:tc>
              <w:tc>
                <w:tcPr>
                  <w:tcW w:w="687" w:type="dxa"/>
                  <w:noWrap w:val="0"/>
                  <w:vAlign w:val="center"/>
                </w:tcPr>
                <w:p w14:paraId="12D002B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46.48</w:t>
                  </w:r>
                </w:p>
              </w:tc>
              <w:tc>
                <w:tcPr>
                  <w:tcW w:w="490" w:type="dxa"/>
                  <w:noWrap w:val="0"/>
                  <w:vAlign w:val="center"/>
                </w:tcPr>
                <w:p w14:paraId="54F4696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7C1FB51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533" w:type="dxa"/>
                  <w:noWrap w:val="0"/>
                  <w:vAlign w:val="center"/>
                </w:tcPr>
                <w:p w14:paraId="6F7732F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70.5</w:t>
                  </w:r>
                </w:p>
              </w:tc>
              <w:tc>
                <w:tcPr>
                  <w:tcW w:w="464" w:type="dxa"/>
                  <w:vMerge w:val="restart"/>
                  <w:noWrap w:val="0"/>
                  <w:vAlign w:val="center"/>
                </w:tcPr>
                <w:p w14:paraId="340774F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Times New Roman" w:cs="Times New Roman"/>
                      <w:color w:val="auto"/>
                      <w:spacing w:val="3"/>
                      <w:sz w:val="20"/>
                      <w:szCs w:val="20"/>
                    </w:rPr>
                    <w:t>0:00~24:00</w:t>
                  </w:r>
                </w:p>
              </w:tc>
              <w:tc>
                <w:tcPr>
                  <w:tcW w:w="516" w:type="dxa"/>
                  <w:noWrap w:val="0"/>
                  <w:vAlign w:val="center"/>
                </w:tcPr>
                <w:p w14:paraId="243BED3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21.0</w:t>
                  </w:r>
                </w:p>
              </w:tc>
              <w:tc>
                <w:tcPr>
                  <w:tcW w:w="411" w:type="dxa"/>
                  <w:noWrap w:val="0"/>
                  <w:vAlign w:val="center"/>
                </w:tcPr>
                <w:p w14:paraId="548F379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49.5</w:t>
                  </w:r>
                </w:p>
              </w:tc>
              <w:tc>
                <w:tcPr>
                  <w:tcW w:w="395" w:type="dxa"/>
                  <w:noWrap w:val="0"/>
                  <w:vAlign w:val="center"/>
                </w:tcPr>
                <w:p w14:paraId="4FD453C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7DF0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213" w:type="dxa"/>
                  <w:noWrap w:val="0"/>
                  <w:vAlign w:val="center"/>
                </w:tcPr>
                <w:p w14:paraId="0F4C727B">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337" w:type="dxa"/>
                  <w:vMerge w:val="continue"/>
                  <w:noWrap w:val="0"/>
                  <w:vAlign w:val="center"/>
                </w:tcPr>
                <w:p w14:paraId="09C2542B">
                  <w:pPr>
                    <w:jc w:val="center"/>
                    <w:rPr>
                      <w:rFonts w:ascii="Times New Roman" w:hAnsi="Times New Roman" w:eastAsia="宋体" w:cs="Times New Roman"/>
                      <w:color w:val="auto"/>
                      <w:sz w:val="21"/>
                      <w:szCs w:val="21"/>
                      <w:highlight w:val="none"/>
                    </w:rPr>
                  </w:pPr>
                </w:p>
              </w:tc>
              <w:tc>
                <w:tcPr>
                  <w:tcW w:w="671" w:type="dxa"/>
                  <w:noWrap w:val="0"/>
                  <w:vAlign w:val="center"/>
                </w:tcPr>
                <w:p w14:paraId="2073D8A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数控</w:t>
                  </w:r>
                </w:p>
                <w:p w14:paraId="26F873CF">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车床</w:t>
                  </w:r>
                </w:p>
              </w:tc>
              <w:tc>
                <w:tcPr>
                  <w:tcW w:w="403" w:type="dxa"/>
                  <w:noWrap w:val="0"/>
                  <w:vAlign w:val="center"/>
                </w:tcPr>
                <w:p w14:paraId="53A831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w:t>
                  </w:r>
                </w:p>
              </w:tc>
              <w:tc>
                <w:tcPr>
                  <w:tcW w:w="615" w:type="dxa"/>
                  <w:noWrap w:val="0"/>
                  <w:vAlign w:val="center"/>
                </w:tcPr>
                <w:p w14:paraId="711452A1">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03" w:type="dxa"/>
                  <w:noWrap w:val="0"/>
                  <w:vAlign w:val="center"/>
                </w:tcPr>
                <w:p w14:paraId="2FAA158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cs="Times New Roman"/>
                      <w:i w:val="0"/>
                      <w:iCs w:val="0"/>
                      <w:color w:val="auto"/>
                      <w:kern w:val="0"/>
                      <w:sz w:val="21"/>
                      <w:szCs w:val="21"/>
                      <w:u w:val="none"/>
                      <w:lang w:val="en-US" w:eastAsia="zh-CN" w:bidi="ar"/>
                    </w:rPr>
                    <w:t>76</w:t>
                  </w:r>
                </w:p>
              </w:tc>
              <w:tc>
                <w:tcPr>
                  <w:tcW w:w="729" w:type="dxa"/>
                  <w:vMerge w:val="continue"/>
                  <w:noWrap w:val="0"/>
                  <w:vAlign w:val="center"/>
                </w:tcPr>
                <w:p w14:paraId="58126C60">
                  <w:pPr>
                    <w:jc w:val="center"/>
                    <w:rPr>
                      <w:rFonts w:ascii="Times New Roman" w:hAnsi="Times New Roman" w:eastAsia="宋体" w:cs="Times New Roman"/>
                      <w:color w:val="auto"/>
                      <w:sz w:val="21"/>
                      <w:szCs w:val="21"/>
                      <w:highlight w:val="none"/>
                    </w:rPr>
                  </w:pPr>
                </w:p>
              </w:tc>
              <w:tc>
                <w:tcPr>
                  <w:tcW w:w="617" w:type="dxa"/>
                  <w:noWrap w:val="0"/>
                  <w:vAlign w:val="center"/>
                </w:tcPr>
                <w:p w14:paraId="268528C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31.75</w:t>
                  </w:r>
                </w:p>
              </w:tc>
              <w:tc>
                <w:tcPr>
                  <w:tcW w:w="687" w:type="dxa"/>
                  <w:noWrap w:val="0"/>
                  <w:vAlign w:val="center"/>
                </w:tcPr>
                <w:p w14:paraId="68326F4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26.86</w:t>
                  </w:r>
                </w:p>
              </w:tc>
              <w:tc>
                <w:tcPr>
                  <w:tcW w:w="490" w:type="dxa"/>
                  <w:noWrap w:val="0"/>
                  <w:vAlign w:val="center"/>
                </w:tcPr>
                <w:p w14:paraId="25EA2C3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4C84073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533" w:type="dxa"/>
                  <w:noWrap w:val="0"/>
                  <w:vAlign w:val="center"/>
                </w:tcPr>
                <w:p w14:paraId="406726E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70.6</w:t>
                  </w:r>
                </w:p>
              </w:tc>
              <w:tc>
                <w:tcPr>
                  <w:tcW w:w="464" w:type="dxa"/>
                  <w:vMerge w:val="continue"/>
                  <w:noWrap w:val="0"/>
                  <w:vAlign w:val="center"/>
                </w:tcPr>
                <w:p w14:paraId="12D7E79A">
                  <w:pPr>
                    <w:jc w:val="center"/>
                    <w:rPr>
                      <w:rFonts w:ascii="Times New Roman" w:hAnsi="Times New Roman" w:eastAsia="宋体" w:cs="Times New Roman"/>
                      <w:color w:val="auto"/>
                      <w:sz w:val="21"/>
                      <w:szCs w:val="21"/>
                      <w:highlight w:val="none"/>
                    </w:rPr>
                  </w:pPr>
                </w:p>
              </w:tc>
              <w:tc>
                <w:tcPr>
                  <w:tcW w:w="516" w:type="dxa"/>
                  <w:noWrap w:val="0"/>
                  <w:vAlign w:val="center"/>
                </w:tcPr>
                <w:p w14:paraId="66B79280">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21.0</w:t>
                  </w:r>
                </w:p>
              </w:tc>
              <w:tc>
                <w:tcPr>
                  <w:tcW w:w="411" w:type="dxa"/>
                  <w:noWrap w:val="0"/>
                  <w:vAlign w:val="center"/>
                </w:tcPr>
                <w:p w14:paraId="19D1A4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49.6</w:t>
                  </w:r>
                </w:p>
              </w:tc>
              <w:tc>
                <w:tcPr>
                  <w:tcW w:w="395" w:type="dxa"/>
                  <w:noWrap w:val="0"/>
                  <w:vAlign w:val="center"/>
                </w:tcPr>
                <w:p w14:paraId="23B207FB">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3C97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8" w:hRule="atLeast"/>
                <w:jc w:val="center"/>
              </w:trPr>
              <w:tc>
                <w:tcPr>
                  <w:tcW w:w="213" w:type="dxa"/>
                  <w:noWrap w:val="0"/>
                  <w:vAlign w:val="center"/>
                </w:tcPr>
                <w:p w14:paraId="4C3B2788">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w:t>
                  </w:r>
                </w:p>
              </w:tc>
              <w:tc>
                <w:tcPr>
                  <w:tcW w:w="337" w:type="dxa"/>
                  <w:vMerge w:val="continue"/>
                  <w:noWrap w:val="0"/>
                  <w:vAlign w:val="center"/>
                </w:tcPr>
                <w:p w14:paraId="18674B63">
                  <w:pPr>
                    <w:jc w:val="center"/>
                    <w:rPr>
                      <w:rFonts w:hint="default" w:ascii="Times New Roman" w:hAnsi="Times New Roman" w:eastAsia="宋体" w:cs="Times New Roman"/>
                      <w:color w:val="auto"/>
                      <w:sz w:val="21"/>
                      <w:szCs w:val="21"/>
                      <w:highlight w:val="none"/>
                      <w:lang w:val="en-US" w:eastAsia="zh-CN"/>
                    </w:rPr>
                  </w:pPr>
                </w:p>
              </w:tc>
              <w:tc>
                <w:tcPr>
                  <w:tcW w:w="671" w:type="dxa"/>
                  <w:noWrap w:val="0"/>
                  <w:vAlign w:val="center"/>
                </w:tcPr>
                <w:p w14:paraId="2A7F7F2D">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lang w:val="en-US" w:eastAsia="zh-CN"/>
                    </w:rPr>
                    <w:t>空压机</w:t>
                  </w:r>
                </w:p>
              </w:tc>
              <w:tc>
                <w:tcPr>
                  <w:tcW w:w="403" w:type="dxa"/>
                  <w:noWrap w:val="0"/>
                  <w:vAlign w:val="center"/>
                </w:tcPr>
                <w:p w14:paraId="1F2AE9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615" w:type="dxa"/>
                  <w:noWrap w:val="0"/>
                  <w:vAlign w:val="center"/>
                </w:tcPr>
                <w:p w14:paraId="2EE297D3">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03" w:type="dxa"/>
                  <w:noWrap w:val="0"/>
                  <w:vAlign w:val="center"/>
                </w:tcPr>
                <w:p w14:paraId="30DB8AB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eastAsia" w:cs="Times New Roman"/>
                      <w:i w:val="0"/>
                      <w:iCs w:val="0"/>
                      <w:color w:val="auto"/>
                      <w:kern w:val="0"/>
                      <w:sz w:val="21"/>
                      <w:szCs w:val="21"/>
                      <w:u w:val="none"/>
                      <w:lang w:val="en-US" w:eastAsia="zh-CN" w:bidi="ar"/>
                    </w:rPr>
                    <w:t>85</w:t>
                  </w:r>
                </w:p>
              </w:tc>
              <w:tc>
                <w:tcPr>
                  <w:tcW w:w="729" w:type="dxa"/>
                  <w:vMerge w:val="continue"/>
                  <w:noWrap w:val="0"/>
                  <w:vAlign w:val="center"/>
                </w:tcPr>
                <w:p w14:paraId="211A070A">
                  <w:pPr>
                    <w:jc w:val="center"/>
                    <w:rPr>
                      <w:rFonts w:ascii="Times New Roman" w:hAnsi="Times New Roman" w:eastAsia="宋体" w:cs="Times New Roman"/>
                      <w:color w:val="auto"/>
                      <w:sz w:val="21"/>
                      <w:szCs w:val="21"/>
                      <w:highlight w:val="none"/>
                    </w:rPr>
                  </w:pPr>
                </w:p>
              </w:tc>
              <w:tc>
                <w:tcPr>
                  <w:tcW w:w="617" w:type="dxa"/>
                  <w:noWrap w:val="0"/>
                  <w:vAlign w:val="center"/>
                </w:tcPr>
                <w:p w14:paraId="5A4ECC1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41.21</w:t>
                  </w:r>
                </w:p>
              </w:tc>
              <w:tc>
                <w:tcPr>
                  <w:tcW w:w="687" w:type="dxa"/>
                  <w:noWrap w:val="0"/>
                  <w:vAlign w:val="center"/>
                </w:tcPr>
                <w:p w14:paraId="301E2D7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27.72</w:t>
                  </w:r>
                </w:p>
              </w:tc>
              <w:tc>
                <w:tcPr>
                  <w:tcW w:w="490" w:type="dxa"/>
                  <w:noWrap w:val="0"/>
                  <w:vAlign w:val="center"/>
                </w:tcPr>
                <w:p w14:paraId="79D05147">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6B8687D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22</w:t>
                  </w:r>
                </w:p>
              </w:tc>
              <w:tc>
                <w:tcPr>
                  <w:tcW w:w="533" w:type="dxa"/>
                  <w:noWrap w:val="0"/>
                  <w:vAlign w:val="center"/>
                </w:tcPr>
                <w:p w14:paraId="6F1678F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77.0</w:t>
                  </w:r>
                </w:p>
              </w:tc>
              <w:tc>
                <w:tcPr>
                  <w:tcW w:w="464" w:type="dxa"/>
                  <w:vMerge w:val="continue"/>
                  <w:noWrap w:val="0"/>
                  <w:vAlign w:val="center"/>
                </w:tcPr>
                <w:p w14:paraId="0CB7700D">
                  <w:pPr>
                    <w:jc w:val="center"/>
                    <w:rPr>
                      <w:rFonts w:ascii="Times New Roman" w:hAnsi="Times New Roman" w:eastAsia="宋体" w:cs="Times New Roman"/>
                      <w:color w:val="auto"/>
                      <w:sz w:val="21"/>
                      <w:szCs w:val="21"/>
                      <w:highlight w:val="none"/>
                    </w:rPr>
                  </w:pPr>
                </w:p>
              </w:tc>
              <w:tc>
                <w:tcPr>
                  <w:tcW w:w="516" w:type="dxa"/>
                  <w:noWrap w:val="0"/>
                  <w:vAlign w:val="center"/>
                </w:tcPr>
                <w:p w14:paraId="7D2CE532">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21.0</w:t>
                  </w:r>
                </w:p>
              </w:tc>
              <w:tc>
                <w:tcPr>
                  <w:tcW w:w="411" w:type="dxa"/>
                  <w:noWrap w:val="0"/>
                  <w:vAlign w:val="center"/>
                </w:tcPr>
                <w:p w14:paraId="743C29B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56.0</w:t>
                  </w:r>
                </w:p>
              </w:tc>
              <w:tc>
                <w:tcPr>
                  <w:tcW w:w="395" w:type="dxa"/>
                  <w:noWrap w:val="0"/>
                  <w:vAlign w:val="center"/>
                </w:tcPr>
                <w:p w14:paraId="05866BEB">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3343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213" w:type="dxa"/>
                  <w:noWrap w:val="0"/>
                  <w:vAlign w:val="center"/>
                </w:tcPr>
                <w:p w14:paraId="5DCCAD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w:t>
                  </w:r>
                </w:p>
              </w:tc>
              <w:tc>
                <w:tcPr>
                  <w:tcW w:w="337" w:type="dxa"/>
                  <w:vMerge w:val="continue"/>
                  <w:noWrap w:val="0"/>
                  <w:vAlign w:val="center"/>
                </w:tcPr>
                <w:p w14:paraId="1EC0A58E">
                  <w:pPr>
                    <w:jc w:val="center"/>
                    <w:rPr>
                      <w:rFonts w:hint="default" w:ascii="Times New Roman" w:hAnsi="Times New Roman" w:eastAsia="宋体" w:cs="Times New Roman"/>
                      <w:color w:val="auto"/>
                      <w:sz w:val="21"/>
                      <w:szCs w:val="21"/>
                      <w:highlight w:val="none"/>
                      <w:lang w:val="en-US" w:eastAsia="zh-CN"/>
                    </w:rPr>
                  </w:pPr>
                </w:p>
              </w:tc>
              <w:tc>
                <w:tcPr>
                  <w:tcW w:w="671" w:type="dxa"/>
                  <w:noWrap w:val="0"/>
                  <w:vAlign w:val="center"/>
                </w:tcPr>
                <w:p w14:paraId="6D682ABF">
                  <w:pPr>
                    <w:keepNext w:val="0"/>
                    <w:keepLines w:val="0"/>
                    <w:widowControl/>
                    <w:suppressLineNumbers w:val="0"/>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静电</w:t>
                  </w:r>
                </w:p>
                <w:p w14:paraId="715C9420">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喷涂</w:t>
                  </w:r>
                </w:p>
              </w:tc>
              <w:tc>
                <w:tcPr>
                  <w:tcW w:w="403" w:type="dxa"/>
                  <w:noWrap w:val="0"/>
                  <w:vAlign w:val="center"/>
                </w:tcPr>
                <w:p w14:paraId="595687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615" w:type="dxa"/>
                  <w:noWrap w:val="0"/>
                  <w:vAlign w:val="center"/>
                </w:tcPr>
                <w:p w14:paraId="5EBDCE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603" w:type="dxa"/>
                  <w:noWrap w:val="0"/>
                  <w:vAlign w:val="center"/>
                </w:tcPr>
                <w:p w14:paraId="7C281F27">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80</w:t>
                  </w:r>
                </w:p>
              </w:tc>
              <w:tc>
                <w:tcPr>
                  <w:tcW w:w="729" w:type="dxa"/>
                  <w:vMerge w:val="continue"/>
                  <w:noWrap w:val="0"/>
                  <w:vAlign w:val="center"/>
                </w:tcPr>
                <w:p w14:paraId="7EAAEC20">
                  <w:pPr>
                    <w:jc w:val="center"/>
                    <w:rPr>
                      <w:rFonts w:ascii="Times New Roman" w:hAnsi="Times New Roman" w:eastAsia="宋体" w:cs="Times New Roman"/>
                      <w:color w:val="auto"/>
                      <w:sz w:val="21"/>
                      <w:szCs w:val="21"/>
                      <w:highlight w:val="none"/>
                    </w:rPr>
                  </w:pPr>
                </w:p>
              </w:tc>
              <w:tc>
                <w:tcPr>
                  <w:tcW w:w="617" w:type="dxa"/>
                  <w:noWrap w:val="0"/>
                  <w:vAlign w:val="center"/>
                </w:tcPr>
                <w:p w14:paraId="57D527A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11.11</w:t>
                  </w:r>
                </w:p>
              </w:tc>
              <w:tc>
                <w:tcPr>
                  <w:tcW w:w="687" w:type="dxa"/>
                  <w:noWrap w:val="0"/>
                  <w:vAlign w:val="center"/>
                </w:tcPr>
                <w:p w14:paraId="355D163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44.92</w:t>
                  </w:r>
                </w:p>
              </w:tc>
              <w:tc>
                <w:tcPr>
                  <w:tcW w:w="490" w:type="dxa"/>
                  <w:noWrap w:val="0"/>
                  <w:vAlign w:val="center"/>
                </w:tcPr>
                <w:p w14:paraId="2EBF3138">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0AD1BD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w:t>
                  </w:r>
                </w:p>
              </w:tc>
              <w:tc>
                <w:tcPr>
                  <w:tcW w:w="533" w:type="dxa"/>
                  <w:noWrap w:val="0"/>
                  <w:vAlign w:val="center"/>
                </w:tcPr>
                <w:p w14:paraId="018413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68.5</w:t>
                  </w:r>
                </w:p>
              </w:tc>
              <w:tc>
                <w:tcPr>
                  <w:tcW w:w="464" w:type="dxa"/>
                  <w:vMerge w:val="continue"/>
                  <w:noWrap w:val="0"/>
                  <w:vAlign w:val="center"/>
                </w:tcPr>
                <w:p w14:paraId="4A645C6F">
                  <w:pPr>
                    <w:jc w:val="center"/>
                    <w:rPr>
                      <w:rFonts w:ascii="Times New Roman" w:hAnsi="Times New Roman" w:eastAsia="宋体" w:cs="Times New Roman"/>
                      <w:color w:val="auto"/>
                      <w:sz w:val="21"/>
                      <w:szCs w:val="21"/>
                      <w:highlight w:val="none"/>
                    </w:rPr>
                  </w:pPr>
                </w:p>
              </w:tc>
              <w:tc>
                <w:tcPr>
                  <w:tcW w:w="516" w:type="dxa"/>
                  <w:noWrap w:val="0"/>
                  <w:vAlign w:val="center"/>
                </w:tcPr>
                <w:p w14:paraId="78E38A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highlight w:val="none"/>
                      <w:lang w:val="en-US" w:eastAsia="zh-CN"/>
                    </w:rPr>
                    <w:t>21.0</w:t>
                  </w:r>
                </w:p>
              </w:tc>
              <w:tc>
                <w:tcPr>
                  <w:tcW w:w="411" w:type="dxa"/>
                  <w:noWrap w:val="0"/>
                  <w:vAlign w:val="center"/>
                </w:tcPr>
                <w:p w14:paraId="2229F6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47.5</w:t>
                  </w:r>
                </w:p>
              </w:tc>
              <w:tc>
                <w:tcPr>
                  <w:tcW w:w="395" w:type="dxa"/>
                  <w:noWrap w:val="0"/>
                  <w:vAlign w:val="center"/>
                </w:tcPr>
                <w:p w14:paraId="1D682F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19C9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213" w:type="dxa"/>
                  <w:noWrap w:val="0"/>
                  <w:vAlign w:val="center"/>
                </w:tcPr>
                <w:p w14:paraId="42CB26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w:t>
                  </w:r>
                </w:p>
              </w:tc>
              <w:tc>
                <w:tcPr>
                  <w:tcW w:w="337" w:type="dxa"/>
                  <w:vMerge w:val="continue"/>
                  <w:noWrap w:val="0"/>
                  <w:vAlign w:val="center"/>
                </w:tcPr>
                <w:p w14:paraId="2DF27C02">
                  <w:pPr>
                    <w:jc w:val="center"/>
                    <w:rPr>
                      <w:rFonts w:hint="default" w:ascii="Times New Roman" w:hAnsi="Times New Roman" w:eastAsia="宋体" w:cs="Times New Roman"/>
                      <w:color w:val="auto"/>
                      <w:sz w:val="21"/>
                      <w:szCs w:val="21"/>
                      <w:highlight w:val="none"/>
                      <w:lang w:val="en-US" w:eastAsia="zh-CN"/>
                    </w:rPr>
                  </w:pPr>
                </w:p>
              </w:tc>
              <w:tc>
                <w:tcPr>
                  <w:tcW w:w="671" w:type="dxa"/>
                  <w:noWrap w:val="0"/>
                  <w:vAlign w:val="center"/>
                </w:tcPr>
                <w:p w14:paraId="75DABF4C">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风机</w:t>
                  </w:r>
                </w:p>
              </w:tc>
              <w:tc>
                <w:tcPr>
                  <w:tcW w:w="403" w:type="dxa"/>
                  <w:noWrap w:val="0"/>
                  <w:vAlign w:val="center"/>
                </w:tcPr>
                <w:p w14:paraId="36AFB0A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p>
              </w:tc>
              <w:tc>
                <w:tcPr>
                  <w:tcW w:w="615" w:type="dxa"/>
                  <w:noWrap w:val="0"/>
                  <w:vAlign w:val="center"/>
                </w:tcPr>
                <w:p w14:paraId="01BA8D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603" w:type="dxa"/>
                  <w:noWrap w:val="0"/>
                  <w:vAlign w:val="center"/>
                </w:tcPr>
                <w:p w14:paraId="5D1ABF02">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85</w:t>
                  </w:r>
                </w:p>
              </w:tc>
              <w:tc>
                <w:tcPr>
                  <w:tcW w:w="729" w:type="dxa"/>
                  <w:vMerge w:val="continue"/>
                  <w:noWrap w:val="0"/>
                  <w:vAlign w:val="center"/>
                </w:tcPr>
                <w:p w14:paraId="4D6C2761">
                  <w:pPr>
                    <w:jc w:val="center"/>
                    <w:rPr>
                      <w:rFonts w:ascii="Times New Roman" w:hAnsi="Times New Roman" w:eastAsia="宋体" w:cs="Times New Roman"/>
                      <w:color w:val="auto"/>
                      <w:sz w:val="21"/>
                      <w:szCs w:val="21"/>
                      <w:highlight w:val="none"/>
                    </w:rPr>
                  </w:pPr>
                </w:p>
              </w:tc>
              <w:tc>
                <w:tcPr>
                  <w:tcW w:w="617" w:type="dxa"/>
                  <w:noWrap w:val="0"/>
                  <w:vAlign w:val="center"/>
                </w:tcPr>
                <w:p w14:paraId="308B42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87.23</w:t>
                  </w:r>
                </w:p>
              </w:tc>
              <w:tc>
                <w:tcPr>
                  <w:tcW w:w="687" w:type="dxa"/>
                  <w:noWrap w:val="0"/>
                  <w:vAlign w:val="center"/>
                </w:tcPr>
                <w:p w14:paraId="48A314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48.36</w:t>
                  </w:r>
                </w:p>
              </w:tc>
              <w:tc>
                <w:tcPr>
                  <w:tcW w:w="490" w:type="dxa"/>
                  <w:noWrap w:val="0"/>
                  <w:vAlign w:val="center"/>
                </w:tcPr>
                <w:p w14:paraId="1ECBBB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40455E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533" w:type="dxa"/>
                  <w:noWrap w:val="0"/>
                  <w:vAlign w:val="center"/>
                </w:tcPr>
                <w:p w14:paraId="58FD8C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81.8</w:t>
                  </w:r>
                </w:p>
              </w:tc>
              <w:tc>
                <w:tcPr>
                  <w:tcW w:w="464" w:type="dxa"/>
                  <w:vMerge w:val="continue"/>
                  <w:noWrap w:val="0"/>
                  <w:vAlign w:val="center"/>
                </w:tcPr>
                <w:p w14:paraId="34EA9244">
                  <w:pPr>
                    <w:jc w:val="center"/>
                    <w:rPr>
                      <w:rFonts w:ascii="Times New Roman" w:hAnsi="Times New Roman" w:eastAsia="宋体" w:cs="Times New Roman"/>
                      <w:color w:val="auto"/>
                      <w:sz w:val="21"/>
                      <w:szCs w:val="21"/>
                      <w:highlight w:val="none"/>
                    </w:rPr>
                  </w:pPr>
                </w:p>
              </w:tc>
              <w:tc>
                <w:tcPr>
                  <w:tcW w:w="516" w:type="dxa"/>
                  <w:noWrap w:val="0"/>
                  <w:vAlign w:val="center"/>
                </w:tcPr>
                <w:p w14:paraId="1AAF36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color w:val="auto"/>
                      <w:sz w:val="21"/>
                      <w:szCs w:val="21"/>
                      <w:highlight w:val="none"/>
                      <w:lang w:val="en-US" w:eastAsia="zh-CN"/>
                    </w:rPr>
                    <w:t>21.0</w:t>
                  </w:r>
                </w:p>
              </w:tc>
              <w:tc>
                <w:tcPr>
                  <w:tcW w:w="411" w:type="dxa"/>
                  <w:noWrap w:val="0"/>
                  <w:vAlign w:val="center"/>
                </w:tcPr>
                <w:p w14:paraId="389E0E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60.8</w:t>
                  </w:r>
                </w:p>
              </w:tc>
              <w:tc>
                <w:tcPr>
                  <w:tcW w:w="395" w:type="dxa"/>
                  <w:noWrap w:val="0"/>
                  <w:vAlign w:val="center"/>
                </w:tcPr>
                <w:p w14:paraId="1799D1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2FC7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213" w:type="dxa"/>
                  <w:noWrap w:val="0"/>
                  <w:vAlign w:val="center"/>
                </w:tcPr>
                <w:p w14:paraId="590A5A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w:t>
                  </w:r>
                </w:p>
              </w:tc>
              <w:tc>
                <w:tcPr>
                  <w:tcW w:w="337" w:type="dxa"/>
                  <w:vMerge w:val="continue"/>
                  <w:noWrap w:val="0"/>
                  <w:vAlign w:val="center"/>
                </w:tcPr>
                <w:p w14:paraId="0E9E5380">
                  <w:pPr>
                    <w:jc w:val="center"/>
                    <w:rPr>
                      <w:rFonts w:hint="default" w:ascii="Times New Roman" w:hAnsi="Times New Roman" w:eastAsia="宋体" w:cs="Times New Roman"/>
                      <w:color w:val="auto"/>
                      <w:sz w:val="21"/>
                      <w:szCs w:val="21"/>
                      <w:highlight w:val="none"/>
                      <w:lang w:val="en-US" w:eastAsia="zh-CN"/>
                    </w:rPr>
                  </w:pPr>
                </w:p>
              </w:tc>
              <w:tc>
                <w:tcPr>
                  <w:tcW w:w="671" w:type="dxa"/>
                  <w:shd w:val="clear" w:color="auto" w:fill="auto"/>
                  <w:noWrap w:val="0"/>
                  <w:vAlign w:val="center"/>
                </w:tcPr>
                <w:p w14:paraId="6576932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氧指数测定仪</w:t>
                  </w:r>
                </w:p>
              </w:tc>
              <w:tc>
                <w:tcPr>
                  <w:tcW w:w="403" w:type="dxa"/>
                  <w:noWrap w:val="0"/>
                  <w:vAlign w:val="center"/>
                </w:tcPr>
                <w:p w14:paraId="119BBB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15" w:type="dxa"/>
                  <w:noWrap w:val="0"/>
                  <w:vAlign w:val="center"/>
                </w:tcPr>
                <w:p w14:paraId="4DB865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03" w:type="dxa"/>
                  <w:noWrap w:val="0"/>
                  <w:vAlign w:val="center"/>
                </w:tcPr>
                <w:p w14:paraId="48E02D48">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55</w:t>
                  </w:r>
                </w:p>
              </w:tc>
              <w:tc>
                <w:tcPr>
                  <w:tcW w:w="729" w:type="dxa"/>
                  <w:vMerge w:val="continue"/>
                  <w:noWrap w:val="0"/>
                  <w:vAlign w:val="center"/>
                </w:tcPr>
                <w:p w14:paraId="762D5B90">
                  <w:pPr>
                    <w:jc w:val="center"/>
                    <w:rPr>
                      <w:rFonts w:ascii="Times New Roman" w:hAnsi="Times New Roman" w:eastAsia="宋体" w:cs="Times New Roman"/>
                      <w:color w:val="auto"/>
                      <w:sz w:val="21"/>
                      <w:szCs w:val="21"/>
                      <w:highlight w:val="none"/>
                    </w:rPr>
                  </w:pPr>
                </w:p>
              </w:tc>
              <w:tc>
                <w:tcPr>
                  <w:tcW w:w="617" w:type="dxa"/>
                  <w:noWrap w:val="0"/>
                  <w:vAlign w:val="center"/>
                </w:tcPr>
                <w:p w14:paraId="6D01C5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101.83</w:t>
                  </w:r>
                </w:p>
              </w:tc>
              <w:tc>
                <w:tcPr>
                  <w:tcW w:w="687" w:type="dxa"/>
                  <w:noWrap w:val="0"/>
                  <w:vAlign w:val="center"/>
                </w:tcPr>
                <w:p w14:paraId="347C40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57.67</w:t>
                  </w:r>
                </w:p>
              </w:tc>
              <w:tc>
                <w:tcPr>
                  <w:tcW w:w="490" w:type="dxa"/>
                  <w:noWrap w:val="0"/>
                  <w:vAlign w:val="center"/>
                </w:tcPr>
                <w:p w14:paraId="7B7EACE0">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7BCA64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w:t>
                  </w:r>
                </w:p>
              </w:tc>
              <w:tc>
                <w:tcPr>
                  <w:tcW w:w="533" w:type="dxa"/>
                  <w:noWrap w:val="0"/>
                  <w:vAlign w:val="center"/>
                </w:tcPr>
                <w:p w14:paraId="5E2826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41.0</w:t>
                  </w:r>
                </w:p>
              </w:tc>
              <w:tc>
                <w:tcPr>
                  <w:tcW w:w="464" w:type="dxa"/>
                  <w:vMerge w:val="continue"/>
                  <w:noWrap w:val="0"/>
                  <w:vAlign w:val="center"/>
                </w:tcPr>
                <w:p w14:paraId="056E94FB">
                  <w:pPr>
                    <w:jc w:val="center"/>
                    <w:rPr>
                      <w:rFonts w:ascii="Times New Roman" w:hAnsi="Times New Roman" w:eastAsia="宋体" w:cs="Times New Roman"/>
                      <w:color w:val="auto"/>
                      <w:sz w:val="21"/>
                      <w:szCs w:val="21"/>
                      <w:highlight w:val="none"/>
                    </w:rPr>
                  </w:pPr>
                </w:p>
              </w:tc>
              <w:tc>
                <w:tcPr>
                  <w:tcW w:w="516" w:type="dxa"/>
                  <w:noWrap w:val="0"/>
                  <w:vAlign w:val="center"/>
                </w:tcPr>
                <w:p w14:paraId="696AB95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411" w:type="dxa"/>
                  <w:noWrap w:val="0"/>
                  <w:vAlign w:val="center"/>
                </w:tcPr>
                <w:p w14:paraId="5C39B3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36.0</w:t>
                  </w:r>
                </w:p>
              </w:tc>
              <w:tc>
                <w:tcPr>
                  <w:tcW w:w="395" w:type="dxa"/>
                  <w:noWrap w:val="0"/>
                  <w:vAlign w:val="center"/>
                </w:tcPr>
                <w:p w14:paraId="398AE4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5381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213" w:type="dxa"/>
                  <w:noWrap w:val="0"/>
                  <w:vAlign w:val="center"/>
                </w:tcPr>
                <w:p w14:paraId="2D6026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w:t>
                  </w:r>
                </w:p>
              </w:tc>
              <w:tc>
                <w:tcPr>
                  <w:tcW w:w="337" w:type="dxa"/>
                  <w:vMerge w:val="continue"/>
                  <w:noWrap w:val="0"/>
                  <w:vAlign w:val="center"/>
                </w:tcPr>
                <w:p w14:paraId="53D08AF5">
                  <w:pPr>
                    <w:jc w:val="center"/>
                    <w:rPr>
                      <w:rFonts w:hint="default" w:ascii="Times New Roman" w:hAnsi="Times New Roman" w:eastAsia="宋体" w:cs="Times New Roman"/>
                      <w:color w:val="auto"/>
                      <w:sz w:val="21"/>
                      <w:szCs w:val="21"/>
                      <w:highlight w:val="none"/>
                      <w:lang w:val="en-US" w:eastAsia="zh-CN"/>
                    </w:rPr>
                  </w:pPr>
                </w:p>
              </w:tc>
              <w:tc>
                <w:tcPr>
                  <w:tcW w:w="671" w:type="dxa"/>
                  <w:shd w:val="clear" w:color="auto" w:fill="auto"/>
                  <w:noWrap w:val="0"/>
                  <w:vAlign w:val="center"/>
                </w:tcPr>
                <w:p w14:paraId="2B0AAA74">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水平-垂直燃烧</w:t>
                  </w:r>
                </w:p>
                <w:p w14:paraId="1A4EF2E5">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试验仪</w:t>
                  </w:r>
                </w:p>
              </w:tc>
              <w:tc>
                <w:tcPr>
                  <w:tcW w:w="403" w:type="dxa"/>
                  <w:noWrap w:val="0"/>
                  <w:vAlign w:val="center"/>
                </w:tcPr>
                <w:p w14:paraId="33161B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15" w:type="dxa"/>
                  <w:noWrap w:val="0"/>
                  <w:vAlign w:val="center"/>
                </w:tcPr>
                <w:p w14:paraId="184DE9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03" w:type="dxa"/>
                  <w:noWrap w:val="0"/>
                  <w:vAlign w:val="center"/>
                </w:tcPr>
                <w:p w14:paraId="1B8EB439">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55</w:t>
                  </w:r>
                </w:p>
              </w:tc>
              <w:tc>
                <w:tcPr>
                  <w:tcW w:w="729" w:type="dxa"/>
                  <w:vMerge w:val="continue"/>
                  <w:noWrap w:val="0"/>
                  <w:vAlign w:val="center"/>
                </w:tcPr>
                <w:p w14:paraId="29E45A49">
                  <w:pPr>
                    <w:jc w:val="center"/>
                    <w:rPr>
                      <w:rFonts w:ascii="Times New Roman" w:hAnsi="Times New Roman" w:eastAsia="宋体" w:cs="Times New Roman"/>
                      <w:color w:val="auto"/>
                      <w:sz w:val="21"/>
                      <w:szCs w:val="21"/>
                      <w:highlight w:val="none"/>
                    </w:rPr>
                  </w:pPr>
                </w:p>
              </w:tc>
              <w:tc>
                <w:tcPr>
                  <w:tcW w:w="617" w:type="dxa"/>
                  <w:noWrap w:val="0"/>
                  <w:vAlign w:val="center"/>
                </w:tcPr>
                <w:p w14:paraId="5D6616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98.33</w:t>
                  </w:r>
                </w:p>
              </w:tc>
              <w:tc>
                <w:tcPr>
                  <w:tcW w:w="687" w:type="dxa"/>
                  <w:noWrap w:val="0"/>
                  <w:vAlign w:val="center"/>
                </w:tcPr>
                <w:p w14:paraId="6A6370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57.4</w:t>
                  </w:r>
                </w:p>
              </w:tc>
              <w:tc>
                <w:tcPr>
                  <w:tcW w:w="490" w:type="dxa"/>
                  <w:noWrap w:val="0"/>
                  <w:vAlign w:val="center"/>
                </w:tcPr>
                <w:p w14:paraId="0E3BA910">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225057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w:t>
                  </w:r>
                </w:p>
              </w:tc>
              <w:tc>
                <w:tcPr>
                  <w:tcW w:w="533" w:type="dxa"/>
                  <w:noWrap w:val="0"/>
                  <w:vAlign w:val="center"/>
                </w:tcPr>
                <w:p w14:paraId="6EF6FB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41.0</w:t>
                  </w:r>
                </w:p>
              </w:tc>
              <w:tc>
                <w:tcPr>
                  <w:tcW w:w="464" w:type="dxa"/>
                  <w:vMerge w:val="continue"/>
                  <w:noWrap w:val="0"/>
                  <w:vAlign w:val="center"/>
                </w:tcPr>
                <w:p w14:paraId="23DE9A4D">
                  <w:pPr>
                    <w:jc w:val="center"/>
                    <w:rPr>
                      <w:rFonts w:ascii="Times New Roman" w:hAnsi="Times New Roman" w:eastAsia="宋体" w:cs="Times New Roman"/>
                      <w:color w:val="auto"/>
                      <w:sz w:val="21"/>
                      <w:szCs w:val="21"/>
                      <w:highlight w:val="none"/>
                    </w:rPr>
                  </w:pPr>
                </w:p>
              </w:tc>
              <w:tc>
                <w:tcPr>
                  <w:tcW w:w="516" w:type="dxa"/>
                  <w:noWrap w:val="0"/>
                  <w:vAlign w:val="center"/>
                </w:tcPr>
                <w:p w14:paraId="0318DCD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411" w:type="dxa"/>
                  <w:noWrap w:val="0"/>
                  <w:vAlign w:val="center"/>
                </w:tcPr>
                <w:p w14:paraId="56BD3B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36.0</w:t>
                  </w:r>
                </w:p>
              </w:tc>
              <w:tc>
                <w:tcPr>
                  <w:tcW w:w="395" w:type="dxa"/>
                  <w:noWrap w:val="0"/>
                  <w:vAlign w:val="center"/>
                </w:tcPr>
                <w:p w14:paraId="30C164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574F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213" w:type="dxa"/>
                  <w:noWrap w:val="0"/>
                  <w:vAlign w:val="center"/>
                </w:tcPr>
                <w:p w14:paraId="0F0176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w:t>
                  </w:r>
                </w:p>
              </w:tc>
              <w:tc>
                <w:tcPr>
                  <w:tcW w:w="337" w:type="dxa"/>
                  <w:vMerge w:val="continue"/>
                  <w:noWrap w:val="0"/>
                  <w:vAlign w:val="center"/>
                </w:tcPr>
                <w:p w14:paraId="003A898A">
                  <w:pPr>
                    <w:jc w:val="center"/>
                    <w:rPr>
                      <w:rFonts w:hint="default" w:ascii="Times New Roman" w:hAnsi="Times New Roman" w:eastAsia="宋体" w:cs="Times New Roman"/>
                      <w:color w:val="auto"/>
                      <w:sz w:val="21"/>
                      <w:szCs w:val="21"/>
                      <w:highlight w:val="none"/>
                      <w:lang w:val="en-US" w:eastAsia="zh-CN"/>
                    </w:rPr>
                  </w:pPr>
                </w:p>
              </w:tc>
              <w:tc>
                <w:tcPr>
                  <w:tcW w:w="671" w:type="dxa"/>
                  <w:shd w:val="clear" w:color="auto" w:fill="auto"/>
                  <w:noWrap w:val="0"/>
                  <w:vAlign w:val="center"/>
                </w:tcPr>
                <w:p w14:paraId="190D660D">
                  <w:pPr>
                    <w:widowControl/>
                    <w:jc w:val="center"/>
                    <w:textAlignment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lang w:val="en-US" w:eastAsia="zh-CN"/>
                    </w:rPr>
                    <w:t>高阻计</w:t>
                  </w:r>
                </w:p>
              </w:tc>
              <w:tc>
                <w:tcPr>
                  <w:tcW w:w="403" w:type="dxa"/>
                  <w:noWrap w:val="0"/>
                  <w:vAlign w:val="center"/>
                </w:tcPr>
                <w:p w14:paraId="1ACB33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15" w:type="dxa"/>
                  <w:noWrap w:val="0"/>
                  <w:vAlign w:val="center"/>
                </w:tcPr>
                <w:p w14:paraId="11204F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03" w:type="dxa"/>
                  <w:noWrap w:val="0"/>
                  <w:vAlign w:val="center"/>
                </w:tcPr>
                <w:p w14:paraId="03B67389">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40</w:t>
                  </w:r>
                </w:p>
              </w:tc>
              <w:tc>
                <w:tcPr>
                  <w:tcW w:w="729" w:type="dxa"/>
                  <w:vMerge w:val="continue"/>
                  <w:noWrap w:val="0"/>
                  <w:vAlign w:val="center"/>
                </w:tcPr>
                <w:p w14:paraId="21985FAA">
                  <w:pPr>
                    <w:jc w:val="center"/>
                    <w:rPr>
                      <w:rFonts w:ascii="Times New Roman" w:hAnsi="Times New Roman" w:eastAsia="宋体" w:cs="Times New Roman"/>
                      <w:color w:val="auto"/>
                      <w:sz w:val="21"/>
                      <w:szCs w:val="21"/>
                      <w:highlight w:val="none"/>
                    </w:rPr>
                  </w:pPr>
                </w:p>
              </w:tc>
              <w:tc>
                <w:tcPr>
                  <w:tcW w:w="617" w:type="dxa"/>
                  <w:noWrap w:val="0"/>
                  <w:vAlign w:val="center"/>
                </w:tcPr>
                <w:p w14:paraId="411431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94.87</w:t>
                  </w:r>
                </w:p>
              </w:tc>
              <w:tc>
                <w:tcPr>
                  <w:tcW w:w="687" w:type="dxa"/>
                  <w:noWrap w:val="0"/>
                  <w:vAlign w:val="center"/>
                </w:tcPr>
                <w:p w14:paraId="251FB7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57.67</w:t>
                  </w:r>
                </w:p>
              </w:tc>
              <w:tc>
                <w:tcPr>
                  <w:tcW w:w="490" w:type="dxa"/>
                  <w:noWrap w:val="0"/>
                  <w:vAlign w:val="center"/>
                </w:tcPr>
                <w:p w14:paraId="6390EAFB">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29" w:type="dxa"/>
                  <w:noWrap w:val="0"/>
                  <w:vAlign w:val="center"/>
                </w:tcPr>
                <w:p w14:paraId="4B11E2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w:t>
                  </w:r>
                </w:p>
              </w:tc>
              <w:tc>
                <w:tcPr>
                  <w:tcW w:w="533" w:type="dxa"/>
                  <w:noWrap w:val="0"/>
                  <w:vAlign w:val="center"/>
                </w:tcPr>
                <w:p w14:paraId="43E8A5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23.1</w:t>
                  </w:r>
                </w:p>
              </w:tc>
              <w:tc>
                <w:tcPr>
                  <w:tcW w:w="464" w:type="dxa"/>
                  <w:vMerge w:val="continue"/>
                  <w:noWrap w:val="0"/>
                  <w:vAlign w:val="center"/>
                </w:tcPr>
                <w:p w14:paraId="0EDB1C4E">
                  <w:pPr>
                    <w:jc w:val="center"/>
                    <w:rPr>
                      <w:rFonts w:ascii="Times New Roman" w:hAnsi="Times New Roman" w:eastAsia="宋体" w:cs="Times New Roman"/>
                      <w:color w:val="auto"/>
                      <w:sz w:val="21"/>
                      <w:szCs w:val="21"/>
                      <w:highlight w:val="none"/>
                    </w:rPr>
                  </w:pPr>
                </w:p>
              </w:tc>
              <w:tc>
                <w:tcPr>
                  <w:tcW w:w="516" w:type="dxa"/>
                  <w:noWrap w:val="0"/>
                  <w:vAlign w:val="center"/>
                </w:tcPr>
                <w:p w14:paraId="134A8A4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411" w:type="dxa"/>
                  <w:noWrap w:val="0"/>
                  <w:vAlign w:val="center"/>
                </w:tcPr>
                <w:p w14:paraId="5DF27A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18.1</w:t>
                  </w:r>
                </w:p>
              </w:tc>
              <w:tc>
                <w:tcPr>
                  <w:tcW w:w="395" w:type="dxa"/>
                  <w:noWrap w:val="0"/>
                  <w:vAlign w:val="center"/>
                </w:tcPr>
                <w:p w14:paraId="1576B0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ascii="宋体" w:hAnsi="宋体" w:eastAsia="宋体" w:cs="宋体"/>
                      <w:i w:val="0"/>
                      <w:iCs w:val="0"/>
                      <w:color w:val="auto"/>
                      <w:kern w:val="0"/>
                      <w:sz w:val="21"/>
                      <w:szCs w:val="21"/>
                      <w:u w:val="none"/>
                      <w:lang w:val="en-US" w:eastAsia="zh-CN" w:bidi="ar"/>
                    </w:rPr>
                    <w:t>米</w:t>
                  </w:r>
                </w:p>
              </w:tc>
            </w:tr>
            <w:tr w14:paraId="6237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213" w:type="dxa"/>
                  <w:noWrap w:val="0"/>
                  <w:vAlign w:val="center"/>
                </w:tcPr>
                <w:p w14:paraId="24A435EF">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w:t>
                  </w:r>
                </w:p>
              </w:tc>
              <w:tc>
                <w:tcPr>
                  <w:tcW w:w="337" w:type="dxa"/>
                  <w:vMerge w:val="continue"/>
                  <w:noWrap w:val="0"/>
                  <w:vAlign w:val="center"/>
                </w:tcPr>
                <w:p w14:paraId="52851D6B">
                  <w:pPr>
                    <w:jc w:val="center"/>
                    <w:rPr>
                      <w:rFonts w:hint="default" w:ascii="Times New Roman" w:hAnsi="Times New Roman" w:eastAsia="宋体" w:cs="Times New Roman"/>
                      <w:color w:val="auto"/>
                      <w:sz w:val="21"/>
                      <w:szCs w:val="21"/>
                      <w:highlight w:val="none"/>
                      <w:lang w:val="en-US" w:eastAsia="zh-CN"/>
                    </w:rPr>
                  </w:pPr>
                </w:p>
              </w:tc>
              <w:tc>
                <w:tcPr>
                  <w:tcW w:w="671" w:type="dxa"/>
                  <w:shd w:val="clear" w:color="auto" w:fill="auto"/>
                  <w:noWrap w:val="0"/>
                  <w:vAlign w:val="center"/>
                </w:tcPr>
                <w:p w14:paraId="73AA239F">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大旋风分离器粉末回收系统</w:t>
                  </w:r>
                </w:p>
              </w:tc>
              <w:tc>
                <w:tcPr>
                  <w:tcW w:w="403" w:type="dxa"/>
                  <w:noWrap w:val="0"/>
                  <w:vAlign w:val="center"/>
                </w:tcPr>
                <w:p w14:paraId="738E9139">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15" w:type="dxa"/>
                  <w:noWrap w:val="0"/>
                  <w:vAlign w:val="center"/>
                </w:tcPr>
                <w:p w14:paraId="22CA8F8C">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w:t>
                  </w:r>
                </w:p>
              </w:tc>
              <w:tc>
                <w:tcPr>
                  <w:tcW w:w="603" w:type="dxa"/>
                  <w:noWrap w:val="0"/>
                  <w:vAlign w:val="center"/>
                </w:tcPr>
                <w:p w14:paraId="37464E75">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85</w:t>
                  </w:r>
                </w:p>
              </w:tc>
              <w:tc>
                <w:tcPr>
                  <w:tcW w:w="729" w:type="dxa"/>
                  <w:vMerge w:val="continue"/>
                  <w:noWrap w:val="0"/>
                  <w:vAlign w:val="center"/>
                </w:tcPr>
                <w:p w14:paraId="4AB84282">
                  <w:pPr>
                    <w:jc w:val="center"/>
                    <w:rPr>
                      <w:rFonts w:ascii="Times New Roman" w:hAnsi="Times New Roman" w:eastAsia="宋体" w:cs="Times New Roman"/>
                      <w:color w:val="auto"/>
                      <w:sz w:val="21"/>
                      <w:szCs w:val="21"/>
                      <w:highlight w:val="none"/>
                    </w:rPr>
                  </w:pPr>
                </w:p>
              </w:tc>
              <w:tc>
                <w:tcPr>
                  <w:tcW w:w="617" w:type="dxa"/>
                  <w:noWrap w:val="0"/>
                  <w:vAlign w:val="center"/>
                </w:tcPr>
                <w:p w14:paraId="2F95CC2C">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45.32</w:t>
                  </w:r>
                </w:p>
              </w:tc>
              <w:tc>
                <w:tcPr>
                  <w:tcW w:w="687" w:type="dxa"/>
                  <w:noWrap w:val="0"/>
                  <w:vAlign w:val="center"/>
                </w:tcPr>
                <w:p w14:paraId="39A2D930">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32.32</w:t>
                  </w:r>
                </w:p>
              </w:tc>
              <w:tc>
                <w:tcPr>
                  <w:tcW w:w="490" w:type="dxa"/>
                  <w:noWrap w:val="0"/>
                  <w:vAlign w:val="center"/>
                </w:tcPr>
                <w:p w14:paraId="546F005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729" w:type="dxa"/>
                  <w:noWrap w:val="0"/>
                  <w:vAlign w:val="center"/>
                </w:tcPr>
                <w:p w14:paraId="1026138F">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4.5</w:t>
                  </w:r>
                </w:p>
              </w:tc>
              <w:tc>
                <w:tcPr>
                  <w:tcW w:w="533" w:type="dxa"/>
                  <w:noWrap w:val="0"/>
                  <w:vAlign w:val="center"/>
                </w:tcPr>
                <w:p w14:paraId="4A94B3BB">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72.0</w:t>
                  </w:r>
                </w:p>
              </w:tc>
              <w:tc>
                <w:tcPr>
                  <w:tcW w:w="464" w:type="dxa"/>
                  <w:vMerge w:val="continue"/>
                  <w:noWrap w:val="0"/>
                  <w:vAlign w:val="center"/>
                </w:tcPr>
                <w:p w14:paraId="2D9F425F">
                  <w:pPr>
                    <w:jc w:val="center"/>
                    <w:rPr>
                      <w:rFonts w:ascii="Times New Roman" w:hAnsi="Times New Roman" w:eastAsia="宋体" w:cs="Times New Roman"/>
                      <w:color w:val="auto"/>
                      <w:sz w:val="21"/>
                      <w:szCs w:val="21"/>
                      <w:highlight w:val="none"/>
                    </w:rPr>
                  </w:pPr>
                </w:p>
              </w:tc>
              <w:tc>
                <w:tcPr>
                  <w:tcW w:w="516" w:type="dxa"/>
                  <w:noWrap w:val="0"/>
                  <w:vAlign w:val="center"/>
                </w:tcPr>
                <w:p w14:paraId="0E88607A">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21.0</w:t>
                  </w:r>
                </w:p>
              </w:tc>
              <w:tc>
                <w:tcPr>
                  <w:tcW w:w="411" w:type="dxa"/>
                  <w:noWrap w:val="0"/>
                  <w:vAlign w:val="center"/>
                </w:tcPr>
                <w:p w14:paraId="7D32855A">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51.0</w:t>
                  </w:r>
                </w:p>
              </w:tc>
              <w:tc>
                <w:tcPr>
                  <w:tcW w:w="395" w:type="dxa"/>
                  <w:noWrap w:val="0"/>
                  <w:vAlign w:val="center"/>
                </w:tcPr>
                <w:p w14:paraId="6DBCBC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1米</w:t>
                  </w:r>
                </w:p>
              </w:tc>
            </w:tr>
            <w:tr w14:paraId="49F5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213" w:type="dxa"/>
                  <w:noWrap w:val="0"/>
                  <w:vAlign w:val="center"/>
                </w:tcPr>
                <w:p w14:paraId="35658F1A">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w:t>
                  </w:r>
                </w:p>
              </w:tc>
              <w:tc>
                <w:tcPr>
                  <w:tcW w:w="337" w:type="dxa"/>
                  <w:vMerge w:val="continue"/>
                  <w:noWrap w:val="0"/>
                  <w:vAlign w:val="center"/>
                </w:tcPr>
                <w:p w14:paraId="481C244B">
                  <w:pPr>
                    <w:jc w:val="center"/>
                    <w:rPr>
                      <w:rFonts w:hint="default" w:ascii="Times New Roman" w:hAnsi="Times New Roman" w:eastAsia="宋体" w:cs="Times New Roman"/>
                      <w:color w:val="auto"/>
                      <w:sz w:val="21"/>
                      <w:szCs w:val="21"/>
                      <w:highlight w:val="none"/>
                      <w:lang w:val="en-US" w:eastAsia="zh-CN"/>
                    </w:rPr>
                  </w:pPr>
                </w:p>
              </w:tc>
              <w:tc>
                <w:tcPr>
                  <w:tcW w:w="671" w:type="dxa"/>
                  <w:shd w:val="clear" w:color="auto" w:fill="auto"/>
                  <w:noWrap w:val="0"/>
                  <w:vAlign w:val="center"/>
                </w:tcPr>
                <w:p w14:paraId="6731B96C">
                  <w:pPr>
                    <w:widowControl/>
                    <w:jc w:val="center"/>
                    <w:textAlignment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转翼式滤芯过滤器二级回收系统</w:t>
                  </w:r>
                </w:p>
              </w:tc>
              <w:tc>
                <w:tcPr>
                  <w:tcW w:w="403" w:type="dxa"/>
                  <w:noWrap w:val="0"/>
                  <w:vAlign w:val="center"/>
                </w:tcPr>
                <w:p w14:paraId="1DC0491F">
                  <w:pPr>
                    <w:widowControl/>
                    <w:jc w:val="center"/>
                    <w:textAlignment w:val="center"/>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615" w:type="dxa"/>
                  <w:noWrap w:val="0"/>
                  <w:vAlign w:val="center"/>
                </w:tcPr>
                <w:p w14:paraId="7DA8197F">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w:t>
                  </w:r>
                </w:p>
              </w:tc>
              <w:tc>
                <w:tcPr>
                  <w:tcW w:w="603" w:type="dxa"/>
                  <w:noWrap w:val="0"/>
                  <w:vAlign w:val="center"/>
                </w:tcPr>
                <w:p w14:paraId="7FFEE9FF">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75</w:t>
                  </w:r>
                </w:p>
              </w:tc>
              <w:tc>
                <w:tcPr>
                  <w:tcW w:w="729" w:type="dxa"/>
                  <w:vMerge w:val="continue"/>
                  <w:noWrap w:val="0"/>
                  <w:vAlign w:val="center"/>
                </w:tcPr>
                <w:p w14:paraId="38B61DAE">
                  <w:pPr>
                    <w:jc w:val="center"/>
                    <w:rPr>
                      <w:rFonts w:ascii="Times New Roman" w:hAnsi="Times New Roman" w:eastAsia="宋体" w:cs="Times New Roman"/>
                      <w:color w:val="auto"/>
                      <w:sz w:val="21"/>
                      <w:szCs w:val="21"/>
                      <w:highlight w:val="none"/>
                    </w:rPr>
                  </w:pPr>
                </w:p>
              </w:tc>
              <w:tc>
                <w:tcPr>
                  <w:tcW w:w="617" w:type="dxa"/>
                  <w:noWrap w:val="0"/>
                  <w:vAlign w:val="center"/>
                </w:tcPr>
                <w:p w14:paraId="4B026BCE">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45.55</w:t>
                  </w:r>
                </w:p>
              </w:tc>
              <w:tc>
                <w:tcPr>
                  <w:tcW w:w="687" w:type="dxa"/>
                  <w:noWrap w:val="0"/>
                  <w:vAlign w:val="center"/>
                </w:tcPr>
                <w:p w14:paraId="4CD3AB56">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32.45</w:t>
                  </w:r>
                </w:p>
              </w:tc>
              <w:tc>
                <w:tcPr>
                  <w:tcW w:w="490" w:type="dxa"/>
                  <w:noWrap w:val="0"/>
                  <w:vAlign w:val="center"/>
                </w:tcPr>
                <w:p w14:paraId="4D03C8D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729" w:type="dxa"/>
                  <w:noWrap w:val="0"/>
                  <w:vAlign w:val="center"/>
                </w:tcPr>
                <w:p w14:paraId="50C1FA87">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4.5</w:t>
                  </w:r>
                </w:p>
              </w:tc>
              <w:tc>
                <w:tcPr>
                  <w:tcW w:w="533" w:type="dxa"/>
                  <w:noWrap w:val="0"/>
                  <w:vAlign w:val="center"/>
                </w:tcPr>
                <w:p w14:paraId="4CCD0936">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62.0</w:t>
                  </w:r>
                </w:p>
              </w:tc>
              <w:tc>
                <w:tcPr>
                  <w:tcW w:w="464" w:type="dxa"/>
                  <w:vMerge w:val="continue"/>
                  <w:noWrap w:val="0"/>
                  <w:vAlign w:val="center"/>
                </w:tcPr>
                <w:p w14:paraId="6F03CB50">
                  <w:pPr>
                    <w:jc w:val="center"/>
                    <w:rPr>
                      <w:rFonts w:ascii="Times New Roman" w:hAnsi="Times New Roman" w:eastAsia="宋体" w:cs="Times New Roman"/>
                      <w:color w:val="auto"/>
                      <w:sz w:val="21"/>
                      <w:szCs w:val="21"/>
                      <w:highlight w:val="none"/>
                    </w:rPr>
                  </w:pPr>
                </w:p>
              </w:tc>
              <w:tc>
                <w:tcPr>
                  <w:tcW w:w="516" w:type="dxa"/>
                  <w:noWrap w:val="0"/>
                  <w:vAlign w:val="center"/>
                </w:tcPr>
                <w:p w14:paraId="75E72D1A">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21.0</w:t>
                  </w:r>
                </w:p>
              </w:tc>
              <w:tc>
                <w:tcPr>
                  <w:tcW w:w="411" w:type="dxa"/>
                  <w:noWrap w:val="0"/>
                  <w:vAlign w:val="center"/>
                </w:tcPr>
                <w:p w14:paraId="240B5493">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41.0</w:t>
                  </w:r>
                </w:p>
              </w:tc>
              <w:tc>
                <w:tcPr>
                  <w:tcW w:w="395" w:type="dxa"/>
                  <w:noWrap w:val="0"/>
                  <w:vAlign w:val="center"/>
                </w:tcPr>
                <w:p w14:paraId="76FECE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1米</w:t>
                  </w:r>
                </w:p>
              </w:tc>
            </w:tr>
          </w:tbl>
          <w:p w14:paraId="09E82C12">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（2）预测分析</w:t>
            </w:r>
          </w:p>
          <w:p w14:paraId="3A69BF6C">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①预测模式</w:t>
            </w:r>
          </w:p>
          <w:p w14:paraId="6A4AFAC7">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ascii="Times New Roman" w:hAnsi="Times New Roman"/>
                <w:snapToGrid w:val="0"/>
                <w:color w:val="auto"/>
                <w:szCs w:val="24"/>
                <w:highlight w:val="none"/>
              </w:rPr>
              <w:t>预测模式采用《环境影响评价技术导则 声环境》（HJ2.4-2021）中工业噪声预测模型。</w:t>
            </w:r>
          </w:p>
          <w:p w14:paraId="7FBC62B9">
            <w:pPr>
              <w:widowControl/>
              <w:spacing w:line="360" w:lineRule="auto"/>
              <w:ind w:firstLine="480" w:firstLineChars="200"/>
              <w:jc w:val="left"/>
              <w:rPr>
                <w:color w:val="auto"/>
                <w:sz w:val="24"/>
                <w:highlight w:val="none"/>
              </w:rPr>
            </w:pPr>
            <w:r>
              <w:rPr>
                <w:color w:val="auto"/>
                <w:kern w:val="0"/>
                <w:sz w:val="24"/>
                <w:highlight w:val="none"/>
                <w:lang w:bidi="ar"/>
              </w:rPr>
              <w:t>A. Lp（r）=Lp（r0）-（A</w:t>
            </w:r>
            <w:r>
              <w:rPr>
                <w:color w:val="auto"/>
                <w:kern w:val="0"/>
                <w:sz w:val="24"/>
                <w:highlight w:val="none"/>
                <w:vertAlign w:val="subscript"/>
                <w:lang w:bidi="ar"/>
              </w:rPr>
              <w:t>dⅣ</w:t>
            </w:r>
            <w:r>
              <w:rPr>
                <w:color w:val="auto"/>
                <w:kern w:val="0"/>
                <w:sz w:val="24"/>
                <w:highlight w:val="none"/>
                <w:lang w:bidi="ar"/>
              </w:rPr>
              <w:t>+Aatm+Abar+Agr+Amisc）</w:t>
            </w:r>
          </w:p>
          <w:p w14:paraId="73AE8896">
            <w:pPr>
              <w:widowControl/>
              <w:spacing w:line="360" w:lineRule="auto"/>
              <w:ind w:firstLine="480" w:firstLineChars="200"/>
              <w:jc w:val="left"/>
              <w:rPr>
                <w:color w:val="auto"/>
                <w:highlight w:val="none"/>
              </w:rPr>
            </w:pPr>
            <w:r>
              <w:rPr>
                <w:rFonts w:hint="eastAsia" w:ascii="宋体" w:hAnsi="宋体" w:cs="宋体"/>
                <w:color w:val="auto"/>
                <w:kern w:val="0"/>
                <w:sz w:val="24"/>
                <w:highlight w:val="none"/>
                <w:lang w:bidi="ar"/>
              </w:rPr>
              <w:t>式中：</w:t>
            </w:r>
            <w:r>
              <w:rPr>
                <w:color w:val="auto"/>
                <w:kern w:val="0"/>
                <w:sz w:val="24"/>
                <w:highlight w:val="none"/>
                <w:lang w:bidi="ar"/>
              </w:rPr>
              <w:t>L</w:t>
            </w:r>
            <w:r>
              <w:rPr>
                <w:color w:val="auto"/>
                <w:kern w:val="0"/>
                <w:sz w:val="15"/>
                <w:szCs w:val="15"/>
                <w:highlight w:val="none"/>
                <w:lang w:bidi="ar"/>
              </w:rPr>
              <w:t>p</w:t>
            </w:r>
            <w:r>
              <w:rPr>
                <w:rFonts w:hint="eastAsia" w:ascii="宋体" w:hAnsi="宋体" w:cs="宋体"/>
                <w:color w:val="auto"/>
                <w:kern w:val="0"/>
                <w:sz w:val="24"/>
                <w:highlight w:val="none"/>
                <w:lang w:bidi="ar"/>
              </w:rPr>
              <w:t>（</w:t>
            </w:r>
            <w:r>
              <w:rPr>
                <w:color w:val="auto"/>
                <w:kern w:val="0"/>
                <w:sz w:val="24"/>
                <w:highlight w:val="none"/>
                <w:lang w:bidi="ar"/>
              </w:rPr>
              <w:t>r</w:t>
            </w:r>
            <w:r>
              <w:rPr>
                <w:rFonts w:hint="eastAsia" w:ascii="宋体" w:hAnsi="宋体" w:cs="宋体"/>
                <w:color w:val="auto"/>
                <w:kern w:val="0"/>
                <w:sz w:val="24"/>
                <w:highlight w:val="none"/>
                <w:lang w:bidi="ar"/>
              </w:rPr>
              <w:t>）</w:t>
            </w:r>
            <w:r>
              <w:rPr>
                <w:color w:val="auto"/>
                <w:kern w:val="0"/>
                <w:sz w:val="24"/>
                <w:highlight w:val="none"/>
                <w:lang w:bidi="ar"/>
              </w:rPr>
              <w:t>—</w:t>
            </w:r>
            <w:r>
              <w:rPr>
                <w:rFonts w:hint="eastAsia" w:ascii="宋体" w:hAnsi="宋体" w:cs="宋体"/>
                <w:color w:val="auto"/>
                <w:kern w:val="0"/>
                <w:sz w:val="24"/>
                <w:highlight w:val="none"/>
                <w:lang w:bidi="ar"/>
              </w:rPr>
              <w:t xml:space="preserve">距声源 </w:t>
            </w:r>
            <w:r>
              <w:rPr>
                <w:color w:val="auto"/>
                <w:kern w:val="0"/>
                <w:sz w:val="24"/>
                <w:highlight w:val="none"/>
                <w:lang w:bidi="ar"/>
              </w:rPr>
              <w:t xml:space="preserve">rm </w:t>
            </w:r>
            <w:r>
              <w:rPr>
                <w:rFonts w:hint="eastAsia" w:ascii="宋体" w:hAnsi="宋体" w:cs="宋体"/>
                <w:color w:val="auto"/>
                <w:kern w:val="0"/>
                <w:sz w:val="24"/>
                <w:highlight w:val="none"/>
                <w:lang w:bidi="ar"/>
              </w:rPr>
              <w:t xml:space="preserve">处的声压级； </w:t>
            </w:r>
          </w:p>
          <w:p w14:paraId="48F5B3C7">
            <w:pPr>
              <w:widowControl/>
              <w:spacing w:line="360" w:lineRule="auto"/>
              <w:ind w:firstLine="1200" w:firstLineChars="500"/>
              <w:jc w:val="left"/>
              <w:rPr>
                <w:color w:val="auto"/>
                <w:highlight w:val="none"/>
              </w:rPr>
            </w:pPr>
            <w:r>
              <w:rPr>
                <w:color w:val="auto"/>
                <w:kern w:val="0"/>
                <w:sz w:val="24"/>
                <w:highlight w:val="none"/>
                <w:lang w:bidi="ar"/>
              </w:rPr>
              <w:t>L</w:t>
            </w:r>
            <w:r>
              <w:rPr>
                <w:color w:val="auto"/>
                <w:kern w:val="0"/>
                <w:sz w:val="15"/>
                <w:szCs w:val="15"/>
                <w:highlight w:val="none"/>
                <w:lang w:bidi="ar"/>
              </w:rPr>
              <w:t>p</w:t>
            </w:r>
            <w:r>
              <w:rPr>
                <w:rFonts w:hint="eastAsia" w:ascii="宋体" w:hAnsi="宋体" w:cs="宋体"/>
                <w:color w:val="auto"/>
                <w:kern w:val="0"/>
                <w:sz w:val="24"/>
                <w:highlight w:val="none"/>
                <w:lang w:bidi="ar"/>
              </w:rPr>
              <w:t>（</w:t>
            </w:r>
            <w:r>
              <w:rPr>
                <w:color w:val="auto"/>
                <w:kern w:val="0"/>
                <w:sz w:val="24"/>
                <w:highlight w:val="none"/>
                <w:lang w:bidi="ar"/>
              </w:rPr>
              <w:t>r</w:t>
            </w:r>
            <w:r>
              <w:rPr>
                <w:color w:val="auto"/>
                <w:kern w:val="0"/>
                <w:sz w:val="15"/>
                <w:szCs w:val="15"/>
                <w:highlight w:val="none"/>
                <w:lang w:bidi="ar"/>
              </w:rPr>
              <w:t>0</w:t>
            </w:r>
            <w:r>
              <w:rPr>
                <w:rFonts w:hint="eastAsia" w:ascii="宋体" w:hAnsi="宋体" w:cs="宋体"/>
                <w:color w:val="auto"/>
                <w:kern w:val="0"/>
                <w:sz w:val="24"/>
                <w:highlight w:val="none"/>
                <w:lang w:bidi="ar"/>
              </w:rPr>
              <w:t>）</w:t>
            </w:r>
            <w:r>
              <w:rPr>
                <w:color w:val="auto"/>
                <w:kern w:val="0"/>
                <w:sz w:val="24"/>
                <w:highlight w:val="none"/>
                <w:lang w:bidi="ar"/>
              </w:rPr>
              <w:t>—</w:t>
            </w:r>
            <w:r>
              <w:rPr>
                <w:rFonts w:hint="eastAsia" w:ascii="宋体" w:hAnsi="宋体" w:cs="宋体"/>
                <w:color w:val="auto"/>
                <w:kern w:val="0"/>
                <w:sz w:val="24"/>
                <w:highlight w:val="none"/>
                <w:lang w:bidi="ar"/>
              </w:rPr>
              <w:t xml:space="preserve">参考位置 </w:t>
            </w:r>
            <w:r>
              <w:rPr>
                <w:color w:val="auto"/>
                <w:kern w:val="0"/>
                <w:sz w:val="24"/>
                <w:highlight w:val="none"/>
                <w:lang w:bidi="ar"/>
              </w:rPr>
              <w:t>r</w:t>
            </w:r>
            <w:r>
              <w:rPr>
                <w:color w:val="auto"/>
                <w:kern w:val="0"/>
                <w:sz w:val="15"/>
                <w:szCs w:val="15"/>
                <w:highlight w:val="none"/>
                <w:lang w:bidi="ar"/>
              </w:rPr>
              <w:t>0</w:t>
            </w:r>
            <w:r>
              <w:rPr>
                <w:color w:val="auto"/>
                <w:kern w:val="0"/>
                <w:sz w:val="24"/>
                <w:highlight w:val="none"/>
                <w:lang w:bidi="ar"/>
              </w:rPr>
              <w:t xml:space="preserve">m </w:t>
            </w:r>
            <w:r>
              <w:rPr>
                <w:rFonts w:hint="eastAsia" w:ascii="宋体" w:hAnsi="宋体" w:cs="宋体"/>
                <w:color w:val="auto"/>
                <w:kern w:val="0"/>
                <w:sz w:val="24"/>
                <w:highlight w:val="none"/>
                <w:lang w:bidi="ar"/>
              </w:rPr>
              <w:t xml:space="preserve">处的声压级； </w:t>
            </w:r>
          </w:p>
          <w:p w14:paraId="30DD8B6B">
            <w:pPr>
              <w:widowControl/>
              <w:spacing w:line="360" w:lineRule="auto"/>
              <w:ind w:firstLine="1200" w:firstLineChars="500"/>
              <w:jc w:val="left"/>
              <w:rPr>
                <w:color w:val="auto"/>
                <w:highlight w:val="none"/>
              </w:rPr>
            </w:pPr>
            <w:r>
              <w:rPr>
                <w:color w:val="auto"/>
                <w:kern w:val="0"/>
                <w:sz w:val="24"/>
                <w:highlight w:val="none"/>
                <w:lang w:bidi="ar"/>
              </w:rPr>
              <w:t>A</w:t>
            </w:r>
            <w:r>
              <w:rPr>
                <w:color w:val="auto"/>
                <w:kern w:val="0"/>
                <w:sz w:val="15"/>
                <w:szCs w:val="15"/>
                <w:highlight w:val="none"/>
                <w:lang w:bidi="ar"/>
              </w:rPr>
              <w:t>dⅣ</w:t>
            </w:r>
            <w:r>
              <w:rPr>
                <w:color w:val="auto"/>
                <w:kern w:val="0"/>
                <w:sz w:val="24"/>
                <w:highlight w:val="none"/>
                <w:lang w:bidi="ar"/>
              </w:rPr>
              <w:t>—</w:t>
            </w:r>
            <w:r>
              <w:rPr>
                <w:rFonts w:hint="eastAsia" w:ascii="宋体" w:hAnsi="宋体" w:cs="宋体"/>
                <w:color w:val="auto"/>
                <w:kern w:val="0"/>
                <w:sz w:val="24"/>
                <w:highlight w:val="none"/>
                <w:lang w:bidi="ar"/>
              </w:rPr>
              <w:t xml:space="preserve">声波几何发散引起的衰减； </w:t>
            </w:r>
          </w:p>
          <w:p w14:paraId="66752529">
            <w:pPr>
              <w:widowControl/>
              <w:spacing w:line="360" w:lineRule="auto"/>
              <w:ind w:firstLine="1200" w:firstLineChars="500"/>
              <w:jc w:val="left"/>
              <w:rPr>
                <w:color w:val="auto"/>
                <w:highlight w:val="none"/>
              </w:rPr>
            </w:pPr>
            <w:r>
              <w:rPr>
                <w:color w:val="auto"/>
                <w:kern w:val="0"/>
                <w:sz w:val="24"/>
                <w:highlight w:val="none"/>
                <w:lang w:bidi="ar"/>
              </w:rPr>
              <w:t>A</w:t>
            </w:r>
            <w:r>
              <w:rPr>
                <w:color w:val="auto"/>
                <w:kern w:val="0"/>
                <w:sz w:val="15"/>
                <w:szCs w:val="15"/>
                <w:highlight w:val="none"/>
                <w:lang w:bidi="ar"/>
              </w:rPr>
              <w:t>atm</w:t>
            </w:r>
            <w:r>
              <w:rPr>
                <w:color w:val="auto"/>
                <w:kern w:val="0"/>
                <w:sz w:val="24"/>
                <w:highlight w:val="none"/>
                <w:lang w:bidi="ar"/>
              </w:rPr>
              <w:t>—</w:t>
            </w:r>
            <w:r>
              <w:rPr>
                <w:rFonts w:hint="eastAsia" w:ascii="宋体" w:hAnsi="宋体" w:cs="宋体"/>
                <w:color w:val="auto"/>
                <w:kern w:val="0"/>
                <w:sz w:val="24"/>
                <w:highlight w:val="none"/>
                <w:lang w:bidi="ar"/>
              </w:rPr>
              <w:t xml:space="preserve">空气吸收引起的衰减； </w:t>
            </w:r>
          </w:p>
          <w:p w14:paraId="0B85DE32">
            <w:pPr>
              <w:widowControl/>
              <w:spacing w:line="360" w:lineRule="auto"/>
              <w:ind w:firstLine="1200" w:firstLineChars="500"/>
              <w:jc w:val="left"/>
              <w:rPr>
                <w:color w:val="auto"/>
                <w:highlight w:val="none"/>
              </w:rPr>
            </w:pPr>
            <w:r>
              <w:rPr>
                <w:color w:val="auto"/>
                <w:kern w:val="0"/>
                <w:sz w:val="24"/>
                <w:highlight w:val="none"/>
                <w:lang w:bidi="ar"/>
              </w:rPr>
              <w:t>A</w:t>
            </w:r>
            <w:r>
              <w:rPr>
                <w:color w:val="auto"/>
                <w:kern w:val="0"/>
                <w:sz w:val="15"/>
                <w:szCs w:val="15"/>
                <w:highlight w:val="none"/>
                <w:lang w:bidi="ar"/>
              </w:rPr>
              <w:t>bar</w:t>
            </w:r>
            <w:r>
              <w:rPr>
                <w:color w:val="auto"/>
                <w:kern w:val="0"/>
                <w:sz w:val="24"/>
                <w:highlight w:val="none"/>
                <w:lang w:bidi="ar"/>
              </w:rPr>
              <w:t>—</w:t>
            </w:r>
            <w:r>
              <w:rPr>
                <w:rFonts w:hint="eastAsia" w:ascii="宋体" w:hAnsi="宋体" w:cs="宋体"/>
                <w:color w:val="auto"/>
                <w:kern w:val="0"/>
                <w:sz w:val="24"/>
                <w:highlight w:val="none"/>
                <w:lang w:bidi="ar"/>
              </w:rPr>
              <w:t xml:space="preserve">声屏障屏蔽引起的衰减； </w:t>
            </w:r>
          </w:p>
          <w:p w14:paraId="21C919F0">
            <w:pPr>
              <w:widowControl/>
              <w:spacing w:line="360" w:lineRule="auto"/>
              <w:ind w:firstLine="1200" w:firstLineChars="500"/>
              <w:jc w:val="left"/>
              <w:rPr>
                <w:color w:val="auto"/>
                <w:highlight w:val="none"/>
              </w:rPr>
            </w:pPr>
            <w:r>
              <w:rPr>
                <w:color w:val="auto"/>
                <w:kern w:val="0"/>
                <w:sz w:val="24"/>
                <w:highlight w:val="none"/>
                <w:lang w:bidi="ar"/>
              </w:rPr>
              <w:t>A</w:t>
            </w:r>
            <w:r>
              <w:rPr>
                <w:color w:val="auto"/>
                <w:kern w:val="0"/>
                <w:sz w:val="15"/>
                <w:szCs w:val="15"/>
                <w:highlight w:val="none"/>
                <w:lang w:bidi="ar"/>
              </w:rPr>
              <w:t>gr</w:t>
            </w:r>
            <w:r>
              <w:rPr>
                <w:color w:val="auto"/>
                <w:kern w:val="0"/>
                <w:sz w:val="24"/>
                <w:highlight w:val="none"/>
                <w:lang w:bidi="ar"/>
              </w:rPr>
              <w:t>—</w:t>
            </w:r>
            <w:r>
              <w:rPr>
                <w:rFonts w:hint="eastAsia" w:ascii="宋体" w:hAnsi="宋体" w:cs="宋体"/>
                <w:color w:val="auto"/>
                <w:kern w:val="0"/>
                <w:sz w:val="24"/>
                <w:highlight w:val="none"/>
                <w:lang w:bidi="ar"/>
              </w:rPr>
              <w:t xml:space="preserve">地面效应引起的衰减； </w:t>
            </w:r>
          </w:p>
          <w:p w14:paraId="2F89D18F">
            <w:pPr>
              <w:widowControl/>
              <w:spacing w:line="360" w:lineRule="auto"/>
              <w:ind w:firstLine="1200" w:firstLineChars="500"/>
              <w:jc w:val="left"/>
              <w:rPr>
                <w:color w:val="auto"/>
                <w:highlight w:val="none"/>
              </w:rPr>
            </w:pPr>
            <w:r>
              <w:rPr>
                <w:color w:val="auto"/>
                <w:kern w:val="0"/>
                <w:sz w:val="24"/>
                <w:highlight w:val="none"/>
                <w:lang w:bidi="ar"/>
              </w:rPr>
              <w:t>A</w:t>
            </w:r>
            <w:r>
              <w:rPr>
                <w:color w:val="auto"/>
                <w:kern w:val="0"/>
                <w:sz w:val="15"/>
                <w:szCs w:val="15"/>
                <w:highlight w:val="none"/>
                <w:lang w:bidi="ar"/>
              </w:rPr>
              <w:t>misc</w:t>
            </w:r>
            <w:r>
              <w:rPr>
                <w:color w:val="auto"/>
                <w:kern w:val="0"/>
                <w:sz w:val="24"/>
                <w:highlight w:val="none"/>
                <w:lang w:bidi="ar"/>
              </w:rPr>
              <w:t>—</w:t>
            </w:r>
            <w:r>
              <w:rPr>
                <w:rFonts w:hint="eastAsia" w:ascii="宋体" w:hAnsi="宋体" w:cs="宋体"/>
                <w:color w:val="auto"/>
                <w:kern w:val="0"/>
                <w:sz w:val="24"/>
                <w:highlight w:val="none"/>
                <w:lang w:bidi="ar"/>
              </w:rPr>
              <w:t xml:space="preserve">其它多方面效应引起的衰减。 </w:t>
            </w:r>
          </w:p>
          <w:p w14:paraId="01D79B12">
            <w:pPr>
              <w:widowControl/>
              <w:spacing w:line="360" w:lineRule="auto"/>
              <w:ind w:firstLine="480" w:firstLineChars="200"/>
              <w:jc w:val="left"/>
              <w:rPr>
                <w:color w:val="auto"/>
                <w:highlight w:val="none"/>
              </w:rPr>
            </w:pPr>
            <w:r>
              <w:rPr>
                <w:color w:val="auto"/>
                <w:kern w:val="0"/>
                <w:sz w:val="24"/>
                <w:highlight w:val="none"/>
                <w:lang w:bidi="ar"/>
              </w:rPr>
              <w:t>B</w:t>
            </w:r>
            <w:r>
              <w:rPr>
                <w:rFonts w:hint="eastAsia" w:ascii="宋体" w:hAnsi="宋体" w:cs="宋体"/>
                <w:color w:val="auto"/>
                <w:kern w:val="0"/>
                <w:sz w:val="24"/>
                <w:highlight w:val="none"/>
                <w:lang w:bidi="ar"/>
              </w:rPr>
              <w:t xml:space="preserve">．几何发散 </w:t>
            </w:r>
          </w:p>
          <w:p w14:paraId="4C649C7D">
            <w:pPr>
              <w:widowControl/>
              <w:spacing w:line="360" w:lineRule="auto"/>
              <w:ind w:firstLine="480" w:firstLineChars="200"/>
              <w:jc w:val="left"/>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 xml:space="preserve">对于室内声源，计算 </w:t>
            </w:r>
            <w:r>
              <w:rPr>
                <w:color w:val="auto"/>
                <w:kern w:val="0"/>
                <w:sz w:val="24"/>
                <w:highlight w:val="none"/>
                <w:lang w:bidi="ar"/>
              </w:rPr>
              <w:t xml:space="preserve">k </w:t>
            </w:r>
            <w:r>
              <w:rPr>
                <w:rFonts w:hint="eastAsia" w:ascii="宋体" w:hAnsi="宋体" w:cs="宋体"/>
                <w:color w:val="auto"/>
                <w:kern w:val="0"/>
                <w:sz w:val="24"/>
                <w:highlight w:val="none"/>
                <w:lang w:bidi="ar"/>
              </w:rPr>
              <w:t>个声源在室内靠近围护结构处的声压级：</w:t>
            </w:r>
          </w:p>
          <w:p w14:paraId="3D3A6335">
            <w:pPr>
              <w:widowControl/>
              <w:jc w:val="center"/>
              <w:rPr>
                <w:color w:val="auto"/>
                <w:highlight w:val="none"/>
              </w:rPr>
            </w:pPr>
            <w:r>
              <w:rPr>
                <w:color w:val="auto"/>
                <w:highlight w:val="none"/>
              </w:rPr>
              <w:drawing>
                <wp:inline distT="0" distB="0" distL="114300" distR="114300">
                  <wp:extent cx="1838325" cy="695325"/>
                  <wp:effectExtent l="0" t="0" r="9525" b="9525"/>
                  <wp:docPr id="9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
                          <pic:cNvPicPr>
                            <a:picLocks noChangeAspect="1"/>
                          </pic:cNvPicPr>
                        </pic:nvPicPr>
                        <pic:blipFill>
                          <a:blip r:embed="rId28"/>
                          <a:stretch>
                            <a:fillRect/>
                          </a:stretch>
                        </pic:blipFill>
                        <pic:spPr>
                          <a:xfrm>
                            <a:off x="0" y="0"/>
                            <a:ext cx="1838325" cy="695325"/>
                          </a:xfrm>
                          <a:prstGeom prst="rect">
                            <a:avLst/>
                          </a:prstGeom>
                          <a:noFill/>
                          <a:ln>
                            <a:noFill/>
                          </a:ln>
                        </pic:spPr>
                      </pic:pic>
                    </a:graphicData>
                  </a:graphic>
                </wp:inline>
              </w:drawing>
            </w:r>
          </w:p>
          <w:p w14:paraId="561DABD1">
            <w:pPr>
              <w:widowControl/>
              <w:spacing w:line="360" w:lineRule="auto"/>
              <w:ind w:firstLine="480" w:firstLineChars="200"/>
              <w:rPr>
                <w:rFonts w:hint="eastAsia" w:ascii="宋体" w:hAnsi="宋体" w:cs="宋体"/>
                <w:color w:val="auto"/>
                <w:kern w:val="0"/>
                <w:sz w:val="24"/>
                <w:highlight w:val="none"/>
                <w:lang w:bidi="ar"/>
              </w:rPr>
            </w:pPr>
            <w:r>
              <w:rPr>
                <w:rFonts w:hint="eastAsia" w:ascii="宋体" w:hAnsi="宋体" w:cs="宋体"/>
                <w:color w:val="auto"/>
                <w:kern w:val="0"/>
                <w:sz w:val="24"/>
                <w:highlight w:val="none"/>
                <w:lang w:bidi="ar"/>
              </w:rPr>
              <w:t xml:space="preserve">然后，计算室外靠近围护结构处的声压级 </w:t>
            </w:r>
            <w:r>
              <w:rPr>
                <w:color w:val="auto"/>
                <w:kern w:val="0"/>
                <w:sz w:val="24"/>
                <w:highlight w:val="none"/>
                <w:lang w:bidi="ar"/>
              </w:rPr>
              <w:t>L</w:t>
            </w:r>
            <w:r>
              <w:rPr>
                <w:color w:val="auto"/>
                <w:kern w:val="0"/>
                <w:sz w:val="15"/>
                <w:szCs w:val="15"/>
                <w:highlight w:val="none"/>
                <w:lang w:bidi="ar"/>
              </w:rPr>
              <w:t>2</w:t>
            </w:r>
            <w:r>
              <w:rPr>
                <w:rFonts w:hint="eastAsia" w:ascii="宋体" w:hAnsi="宋体" w:cs="宋体"/>
                <w:color w:val="auto"/>
                <w:kern w:val="0"/>
                <w:sz w:val="24"/>
                <w:highlight w:val="none"/>
                <w:lang w:bidi="ar"/>
              </w:rPr>
              <w:t>：</w:t>
            </w:r>
          </w:p>
          <w:p w14:paraId="16970AE3">
            <w:pPr>
              <w:widowControl/>
              <w:jc w:val="center"/>
              <w:rPr>
                <w:rFonts w:hint="eastAsia" w:ascii="宋体" w:hAnsi="宋体" w:cs="宋体"/>
                <w:color w:val="auto"/>
                <w:kern w:val="0"/>
                <w:sz w:val="24"/>
                <w:highlight w:val="none"/>
                <w:lang w:bidi="ar"/>
              </w:rPr>
            </w:pPr>
            <w:r>
              <w:rPr>
                <w:color w:val="auto"/>
                <w:highlight w:val="none"/>
              </w:rPr>
              <w:drawing>
                <wp:inline distT="0" distB="0" distL="114300" distR="114300">
                  <wp:extent cx="1704975" cy="342900"/>
                  <wp:effectExtent l="0" t="0" r="9525" b="0"/>
                  <wp:docPr id="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
                          <pic:cNvPicPr>
                            <a:picLocks noChangeAspect="1"/>
                          </pic:cNvPicPr>
                        </pic:nvPicPr>
                        <pic:blipFill>
                          <a:blip r:embed="rId29"/>
                          <a:stretch>
                            <a:fillRect/>
                          </a:stretch>
                        </pic:blipFill>
                        <pic:spPr>
                          <a:xfrm>
                            <a:off x="0" y="0"/>
                            <a:ext cx="1704975" cy="342900"/>
                          </a:xfrm>
                          <a:prstGeom prst="rect">
                            <a:avLst/>
                          </a:prstGeom>
                          <a:noFill/>
                          <a:ln>
                            <a:noFill/>
                          </a:ln>
                        </pic:spPr>
                      </pic:pic>
                    </a:graphicData>
                  </a:graphic>
                </wp:inline>
              </w:drawing>
            </w:r>
          </w:p>
          <w:p w14:paraId="6ED1DACE">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式中：</w:t>
            </w:r>
            <w:r>
              <w:rPr>
                <w:snapToGrid w:val="0"/>
                <w:color w:val="auto"/>
                <w:kern w:val="0"/>
                <w:sz w:val="24"/>
                <w:highlight w:val="none"/>
              </w:rPr>
              <w:t>TL——</w:t>
            </w:r>
            <w:r>
              <w:rPr>
                <w:rFonts w:hint="eastAsia"/>
                <w:snapToGrid w:val="0"/>
                <w:color w:val="auto"/>
                <w:kern w:val="0"/>
                <w:sz w:val="24"/>
                <w:highlight w:val="none"/>
              </w:rPr>
              <w:t xml:space="preserve">围护结构的传声损失，把围护结构当作等效室外声源处理。 </w:t>
            </w:r>
          </w:p>
          <w:p w14:paraId="3EA62EA4">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C</w:t>
            </w:r>
            <w:r>
              <w:rPr>
                <w:rFonts w:hint="eastAsia"/>
                <w:snapToGrid w:val="0"/>
                <w:color w:val="auto"/>
                <w:kern w:val="0"/>
                <w:sz w:val="24"/>
                <w:highlight w:val="none"/>
              </w:rPr>
              <w:t xml:space="preserve">．遮挡物和降噪措施引起的衰减 </w:t>
            </w:r>
          </w:p>
          <w:p w14:paraId="5CD34BC4">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 xml:space="preserve">考虑房屋围护结构和围墙屏蔽效应和消声器的降噪作用。 </w:t>
            </w:r>
          </w:p>
          <w:p w14:paraId="7CA17D83">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D</w:t>
            </w:r>
            <w:r>
              <w:rPr>
                <w:rFonts w:hint="eastAsia"/>
                <w:snapToGrid w:val="0"/>
                <w:color w:val="auto"/>
                <w:kern w:val="0"/>
                <w:sz w:val="24"/>
                <w:highlight w:val="none"/>
              </w:rPr>
              <w:t xml:space="preserve">．空气吸收引起的衰减 </w:t>
            </w:r>
          </w:p>
          <w:p w14:paraId="27F8E867">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空气吸收引起的衰减按下式计算：</w:t>
            </w:r>
          </w:p>
          <w:p w14:paraId="3649244C">
            <w:pPr>
              <w:pStyle w:val="19"/>
              <w:spacing w:before="0" w:beforeAutospacing="0" w:after="0" w:afterAutospacing="0" w:line="360" w:lineRule="auto"/>
              <w:ind w:firstLine="480" w:firstLineChars="200"/>
              <w:jc w:val="center"/>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drawing>
                <wp:inline distT="0" distB="0" distL="114300" distR="114300">
                  <wp:extent cx="2819400" cy="676275"/>
                  <wp:effectExtent l="0" t="0" r="0" b="9525"/>
                  <wp:docPr id="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
                          <pic:cNvPicPr>
                            <a:picLocks noChangeAspect="1"/>
                          </pic:cNvPicPr>
                        </pic:nvPicPr>
                        <pic:blipFill>
                          <a:blip r:embed="rId30"/>
                          <a:stretch>
                            <a:fillRect/>
                          </a:stretch>
                        </pic:blipFill>
                        <pic:spPr>
                          <a:xfrm>
                            <a:off x="0" y="0"/>
                            <a:ext cx="2819400" cy="676275"/>
                          </a:xfrm>
                          <a:prstGeom prst="rect">
                            <a:avLst/>
                          </a:prstGeom>
                          <a:noFill/>
                          <a:ln>
                            <a:noFill/>
                          </a:ln>
                        </pic:spPr>
                      </pic:pic>
                    </a:graphicData>
                  </a:graphic>
                </wp:inline>
              </w:drawing>
            </w:r>
          </w:p>
          <w:p w14:paraId="6505AAE4">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式中：</w:t>
            </w:r>
            <w:r>
              <w:rPr>
                <w:snapToGrid w:val="0"/>
                <w:color w:val="auto"/>
                <w:kern w:val="0"/>
                <w:sz w:val="24"/>
                <w:highlight w:val="none"/>
              </w:rPr>
              <w:t>r——</w:t>
            </w:r>
            <w:r>
              <w:rPr>
                <w:rFonts w:hint="eastAsia"/>
                <w:snapToGrid w:val="0"/>
                <w:color w:val="auto"/>
                <w:kern w:val="0"/>
                <w:sz w:val="24"/>
                <w:highlight w:val="none"/>
              </w:rPr>
              <w:t>预测点距声源的距离（</w:t>
            </w:r>
            <w:r>
              <w:rPr>
                <w:snapToGrid w:val="0"/>
                <w:color w:val="auto"/>
                <w:kern w:val="0"/>
                <w:sz w:val="24"/>
                <w:highlight w:val="none"/>
              </w:rPr>
              <w:t>m</w:t>
            </w:r>
            <w:r>
              <w:rPr>
                <w:rFonts w:hint="eastAsia"/>
                <w:snapToGrid w:val="0"/>
                <w:color w:val="auto"/>
                <w:kern w:val="0"/>
                <w:sz w:val="24"/>
                <w:highlight w:val="none"/>
              </w:rPr>
              <w:t>）</w:t>
            </w:r>
          </w:p>
          <w:p w14:paraId="13C38867">
            <w:pPr>
              <w:widowControl/>
              <w:spacing w:line="360" w:lineRule="auto"/>
              <w:ind w:firstLine="1200" w:firstLineChars="500"/>
              <w:jc w:val="left"/>
              <w:rPr>
                <w:snapToGrid w:val="0"/>
                <w:color w:val="auto"/>
                <w:kern w:val="0"/>
                <w:sz w:val="24"/>
                <w:highlight w:val="none"/>
              </w:rPr>
            </w:pPr>
            <w:r>
              <w:rPr>
                <w:snapToGrid w:val="0"/>
                <w:color w:val="auto"/>
                <w:kern w:val="0"/>
                <w:sz w:val="24"/>
                <w:highlight w:val="none"/>
              </w:rPr>
              <w:t>r0——</w:t>
            </w:r>
            <w:r>
              <w:rPr>
                <w:rFonts w:hint="eastAsia"/>
                <w:snapToGrid w:val="0"/>
                <w:color w:val="auto"/>
                <w:kern w:val="0"/>
                <w:sz w:val="24"/>
                <w:highlight w:val="none"/>
              </w:rPr>
              <w:t>参考点距声源的距离（</w:t>
            </w:r>
            <w:r>
              <w:rPr>
                <w:snapToGrid w:val="0"/>
                <w:color w:val="auto"/>
                <w:kern w:val="0"/>
                <w:sz w:val="24"/>
                <w:highlight w:val="none"/>
              </w:rPr>
              <w:t>m</w:t>
            </w:r>
            <w:r>
              <w:rPr>
                <w:rFonts w:hint="eastAsia"/>
                <w:snapToGrid w:val="0"/>
                <w:color w:val="auto"/>
                <w:kern w:val="0"/>
                <w:sz w:val="24"/>
                <w:highlight w:val="none"/>
              </w:rPr>
              <w:t xml:space="preserve">） </w:t>
            </w:r>
          </w:p>
          <w:p w14:paraId="5DE20AF1">
            <w:pPr>
              <w:widowControl/>
              <w:spacing w:line="360" w:lineRule="auto"/>
              <w:ind w:firstLine="1200" w:firstLineChars="500"/>
              <w:jc w:val="left"/>
              <w:rPr>
                <w:snapToGrid w:val="0"/>
                <w:color w:val="auto"/>
                <w:kern w:val="0"/>
                <w:sz w:val="24"/>
                <w:highlight w:val="none"/>
              </w:rPr>
            </w:pPr>
            <w:r>
              <w:rPr>
                <w:snapToGrid w:val="0"/>
                <w:color w:val="auto"/>
                <w:kern w:val="0"/>
                <w:sz w:val="24"/>
                <w:highlight w:val="none"/>
              </w:rPr>
              <w:t>a——</w:t>
            </w:r>
            <w:r>
              <w:rPr>
                <w:rFonts w:hint="eastAsia"/>
                <w:snapToGrid w:val="0"/>
                <w:color w:val="auto"/>
                <w:kern w:val="0"/>
                <w:sz w:val="24"/>
                <w:highlight w:val="none"/>
              </w:rPr>
              <w:t>每</w:t>
            </w:r>
            <w:r>
              <w:rPr>
                <w:snapToGrid w:val="0"/>
                <w:color w:val="auto"/>
                <w:kern w:val="0"/>
                <w:sz w:val="24"/>
                <w:highlight w:val="none"/>
              </w:rPr>
              <w:t>100m</w:t>
            </w:r>
            <w:r>
              <w:rPr>
                <w:rFonts w:hint="eastAsia"/>
                <w:snapToGrid w:val="0"/>
                <w:color w:val="auto"/>
                <w:kern w:val="0"/>
                <w:sz w:val="24"/>
                <w:highlight w:val="none"/>
              </w:rPr>
              <w:t xml:space="preserve">空气吸收系数 </w:t>
            </w:r>
          </w:p>
          <w:p w14:paraId="0E619156">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当（</w:t>
            </w:r>
            <w:r>
              <w:rPr>
                <w:snapToGrid w:val="0"/>
                <w:color w:val="auto"/>
                <w:kern w:val="0"/>
                <w:sz w:val="24"/>
                <w:highlight w:val="none"/>
              </w:rPr>
              <w:t>r</w:t>
            </w:r>
            <w:r>
              <w:rPr>
                <w:rFonts w:hint="eastAsia"/>
                <w:snapToGrid w:val="0"/>
                <w:color w:val="auto"/>
                <w:kern w:val="0"/>
                <w:sz w:val="24"/>
                <w:highlight w:val="none"/>
              </w:rPr>
              <w:t>－</w:t>
            </w:r>
            <w:r>
              <w:rPr>
                <w:snapToGrid w:val="0"/>
                <w:color w:val="auto"/>
                <w:kern w:val="0"/>
                <w:sz w:val="24"/>
                <w:highlight w:val="none"/>
              </w:rPr>
              <w:t>r0</w:t>
            </w:r>
            <w:r>
              <w:rPr>
                <w:rFonts w:hint="eastAsia"/>
                <w:snapToGrid w:val="0"/>
                <w:color w:val="auto"/>
                <w:kern w:val="0"/>
                <w:sz w:val="24"/>
                <w:highlight w:val="none"/>
              </w:rPr>
              <w:t>）﹤</w:t>
            </w:r>
            <w:r>
              <w:rPr>
                <w:snapToGrid w:val="0"/>
                <w:color w:val="auto"/>
                <w:kern w:val="0"/>
                <w:sz w:val="24"/>
                <w:highlight w:val="none"/>
              </w:rPr>
              <w:t xml:space="preserve">200m </w:t>
            </w:r>
            <w:r>
              <w:rPr>
                <w:rFonts w:hint="eastAsia"/>
                <w:snapToGrid w:val="0"/>
                <w:color w:val="auto"/>
                <w:kern w:val="0"/>
                <w:sz w:val="24"/>
                <w:highlight w:val="none"/>
              </w:rPr>
              <w:t xml:space="preserve">时，近似为零，所以在预测时可忽略不计。 </w:t>
            </w:r>
          </w:p>
          <w:p w14:paraId="267B6351">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E</w:t>
            </w:r>
            <w:r>
              <w:rPr>
                <w:rFonts w:hint="eastAsia"/>
                <w:snapToGrid w:val="0"/>
                <w:color w:val="auto"/>
                <w:kern w:val="0"/>
                <w:sz w:val="24"/>
                <w:highlight w:val="none"/>
              </w:rPr>
              <w:t>．附加衰减</w:t>
            </w:r>
          </w:p>
          <w:p w14:paraId="6E2DB357">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 xml:space="preserve">附加衰减包括声波传播过程中由于云雾、湿度梯度、风及地面效应引起的声能量衰减，本次评价中忽略不计。 </w:t>
            </w:r>
          </w:p>
          <w:p w14:paraId="2B261E0B">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rPr>
              <w:t xml:space="preserve">②预测程序 </w:t>
            </w:r>
          </w:p>
          <w:p w14:paraId="4818BC63">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A</w:t>
            </w:r>
            <w:r>
              <w:rPr>
                <w:rFonts w:hint="eastAsia"/>
                <w:snapToGrid w:val="0"/>
                <w:color w:val="auto"/>
                <w:kern w:val="0"/>
                <w:sz w:val="24"/>
                <w:highlight w:val="none"/>
              </w:rPr>
              <w:t xml:space="preserve">．选择一个坐标系，确定各噪声源位置和预测点位置； </w:t>
            </w:r>
          </w:p>
          <w:p w14:paraId="73A245C8">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B</w:t>
            </w:r>
            <w:r>
              <w:rPr>
                <w:rFonts w:hint="eastAsia"/>
                <w:snapToGrid w:val="0"/>
                <w:color w:val="auto"/>
                <w:kern w:val="0"/>
                <w:sz w:val="24"/>
                <w:highlight w:val="none"/>
              </w:rPr>
              <w:t xml:space="preserve">．根据已获得的声源参数和声波到预测点的传播条件，计算出各声源单 </w:t>
            </w:r>
          </w:p>
          <w:p w14:paraId="4559EA40">
            <w:pPr>
              <w:widowControl/>
              <w:spacing w:line="360" w:lineRule="auto"/>
              <w:jc w:val="left"/>
              <w:rPr>
                <w:snapToGrid w:val="0"/>
                <w:color w:val="auto"/>
                <w:kern w:val="0"/>
                <w:sz w:val="24"/>
                <w:highlight w:val="none"/>
              </w:rPr>
            </w:pPr>
            <w:r>
              <w:rPr>
                <w:rFonts w:hint="eastAsia"/>
                <w:snapToGrid w:val="0"/>
                <w:color w:val="auto"/>
                <w:kern w:val="0"/>
                <w:sz w:val="24"/>
                <w:highlight w:val="none"/>
              </w:rPr>
              <w:t>独作用在预测点时产生的</w:t>
            </w:r>
            <w:r>
              <w:rPr>
                <w:snapToGrid w:val="0"/>
                <w:color w:val="auto"/>
                <w:kern w:val="0"/>
                <w:sz w:val="24"/>
                <w:highlight w:val="none"/>
              </w:rPr>
              <w:t>A</w:t>
            </w:r>
            <w:r>
              <w:rPr>
                <w:rFonts w:hint="eastAsia"/>
                <w:snapToGrid w:val="0"/>
                <w:color w:val="auto"/>
                <w:kern w:val="0"/>
                <w:sz w:val="24"/>
                <w:highlight w:val="none"/>
              </w:rPr>
              <w:t xml:space="preserve">声压级 </w:t>
            </w:r>
            <w:r>
              <w:rPr>
                <w:snapToGrid w:val="0"/>
                <w:color w:val="auto"/>
                <w:kern w:val="0"/>
                <w:sz w:val="24"/>
                <w:highlight w:val="none"/>
              </w:rPr>
              <w:t>Li</w:t>
            </w:r>
            <w:r>
              <w:rPr>
                <w:rFonts w:hint="eastAsia"/>
                <w:snapToGrid w:val="0"/>
                <w:color w:val="auto"/>
                <w:kern w:val="0"/>
                <w:sz w:val="24"/>
                <w:highlight w:val="none"/>
              </w:rPr>
              <w:t xml:space="preserve">； </w:t>
            </w:r>
          </w:p>
          <w:p w14:paraId="1508AEB8">
            <w:pPr>
              <w:widowControl/>
              <w:spacing w:line="360" w:lineRule="auto"/>
              <w:ind w:firstLine="480" w:firstLineChars="200"/>
              <w:jc w:val="left"/>
              <w:rPr>
                <w:snapToGrid w:val="0"/>
                <w:color w:val="auto"/>
                <w:kern w:val="0"/>
                <w:sz w:val="24"/>
                <w:highlight w:val="none"/>
              </w:rPr>
            </w:pPr>
            <w:r>
              <w:rPr>
                <w:snapToGrid w:val="0"/>
                <w:color w:val="auto"/>
                <w:kern w:val="0"/>
                <w:sz w:val="24"/>
                <w:highlight w:val="none"/>
              </w:rPr>
              <w:t>C</w:t>
            </w:r>
            <w:r>
              <w:rPr>
                <w:rFonts w:hint="eastAsia"/>
                <w:snapToGrid w:val="0"/>
                <w:color w:val="auto"/>
                <w:kern w:val="0"/>
                <w:sz w:val="24"/>
                <w:highlight w:val="none"/>
              </w:rPr>
              <w:t>．把</w:t>
            </w:r>
            <w:r>
              <w:rPr>
                <w:snapToGrid w:val="0"/>
                <w:color w:val="auto"/>
                <w:kern w:val="0"/>
                <w:sz w:val="24"/>
                <w:highlight w:val="none"/>
              </w:rPr>
              <w:t>N</w:t>
            </w:r>
            <w:r>
              <w:rPr>
                <w:rFonts w:hint="eastAsia"/>
                <w:snapToGrid w:val="0"/>
                <w:color w:val="auto"/>
                <w:kern w:val="0"/>
                <w:sz w:val="24"/>
                <w:highlight w:val="none"/>
              </w:rPr>
              <w:t xml:space="preserve">个声源单独对某预测点产生的声压级值按下式叠加，得该预测点的声压级值 </w:t>
            </w:r>
            <w:r>
              <w:rPr>
                <w:snapToGrid w:val="0"/>
                <w:color w:val="auto"/>
                <w:kern w:val="0"/>
                <w:sz w:val="24"/>
                <w:highlight w:val="none"/>
              </w:rPr>
              <w:t>LA</w:t>
            </w:r>
            <w:r>
              <w:rPr>
                <w:rFonts w:hint="eastAsia"/>
                <w:snapToGrid w:val="0"/>
                <w:color w:val="auto"/>
                <w:kern w:val="0"/>
                <w:sz w:val="24"/>
                <w:highlight w:val="none"/>
              </w:rPr>
              <w:t>：</w:t>
            </w:r>
          </w:p>
          <w:p w14:paraId="11B4AF60">
            <w:pPr>
              <w:pStyle w:val="19"/>
              <w:spacing w:before="0" w:beforeAutospacing="0" w:after="0" w:afterAutospacing="0" w:line="360" w:lineRule="auto"/>
              <w:ind w:firstLine="480" w:firstLineChars="200"/>
              <w:jc w:val="center"/>
              <w:outlineLvl w:val="0"/>
              <w:rPr>
                <w:rFonts w:ascii="Times New Roman" w:hAnsi="Times New Roman"/>
                <w:snapToGrid w:val="0"/>
                <w:color w:val="auto"/>
                <w:szCs w:val="24"/>
                <w:highlight w:val="none"/>
              </w:rPr>
            </w:pPr>
            <w:r>
              <w:rPr>
                <w:color w:val="auto"/>
                <w:highlight w:val="none"/>
              </w:rPr>
              <w:drawing>
                <wp:inline distT="0" distB="0" distL="114300" distR="114300">
                  <wp:extent cx="2590800" cy="852805"/>
                  <wp:effectExtent l="0" t="0" r="0" b="4445"/>
                  <wp:docPr id="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6"/>
                          <pic:cNvPicPr>
                            <a:picLocks noChangeAspect="1"/>
                          </pic:cNvPicPr>
                        </pic:nvPicPr>
                        <pic:blipFill>
                          <a:blip r:embed="rId31"/>
                          <a:stretch>
                            <a:fillRect/>
                          </a:stretch>
                        </pic:blipFill>
                        <pic:spPr>
                          <a:xfrm>
                            <a:off x="0" y="0"/>
                            <a:ext cx="2590800" cy="852805"/>
                          </a:xfrm>
                          <a:prstGeom prst="rect">
                            <a:avLst/>
                          </a:prstGeom>
                          <a:noFill/>
                          <a:ln>
                            <a:noFill/>
                          </a:ln>
                        </pic:spPr>
                      </pic:pic>
                    </a:graphicData>
                  </a:graphic>
                </wp:inline>
              </w:drawing>
            </w:r>
          </w:p>
          <w:p w14:paraId="1A601506">
            <w:pPr>
              <w:widowControl/>
              <w:spacing w:line="360" w:lineRule="auto"/>
              <w:ind w:firstLine="480" w:firstLineChars="200"/>
              <w:jc w:val="left"/>
              <w:rPr>
                <w:snapToGrid w:val="0"/>
                <w:color w:val="auto"/>
                <w:kern w:val="0"/>
                <w:sz w:val="24"/>
                <w:highlight w:val="none"/>
              </w:rPr>
            </w:pPr>
            <w:r>
              <w:rPr>
                <w:rFonts w:hint="eastAsia"/>
                <w:snapToGrid w:val="0"/>
                <w:color w:val="auto"/>
                <w:kern w:val="0"/>
                <w:sz w:val="24"/>
                <w:highlight w:val="none"/>
                <w:lang w:eastAsia="zh-CN"/>
              </w:rPr>
              <w:t>（</w:t>
            </w:r>
            <w:r>
              <w:rPr>
                <w:rFonts w:hint="eastAsia"/>
                <w:snapToGrid w:val="0"/>
                <w:color w:val="auto"/>
                <w:kern w:val="0"/>
                <w:sz w:val="24"/>
                <w:highlight w:val="none"/>
                <w:lang w:val="en-US" w:eastAsia="zh-CN"/>
              </w:rPr>
              <w:t>3</w:t>
            </w:r>
            <w:r>
              <w:rPr>
                <w:rFonts w:hint="eastAsia"/>
                <w:snapToGrid w:val="0"/>
                <w:color w:val="auto"/>
                <w:kern w:val="0"/>
                <w:sz w:val="24"/>
                <w:highlight w:val="none"/>
                <w:lang w:eastAsia="zh-CN"/>
              </w:rPr>
              <w:t>）</w:t>
            </w:r>
            <w:r>
              <w:rPr>
                <w:snapToGrid w:val="0"/>
                <w:color w:val="auto"/>
                <w:kern w:val="0"/>
                <w:sz w:val="24"/>
                <w:highlight w:val="none"/>
              </w:rPr>
              <w:t>预测结果</w:t>
            </w:r>
          </w:p>
          <w:p w14:paraId="30D3714C">
            <w:pPr>
              <w:widowControl/>
              <w:spacing w:line="360" w:lineRule="auto"/>
              <w:ind w:firstLine="480" w:firstLineChars="200"/>
              <w:jc w:val="left"/>
              <w:rPr>
                <w:b/>
                <w:color w:val="auto"/>
                <w:highlight w:val="none"/>
              </w:rPr>
            </w:pPr>
            <w:r>
              <w:rPr>
                <w:rFonts w:hint="eastAsia"/>
                <w:snapToGrid w:val="0"/>
                <w:color w:val="auto"/>
                <w:kern w:val="0"/>
                <w:sz w:val="24"/>
                <w:highlight w:val="none"/>
                <w:lang w:val="en-US" w:eastAsia="zh-CN"/>
              </w:rPr>
              <w:t>一期</w:t>
            </w:r>
            <w:r>
              <w:rPr>
                <w:rFonts w:hint="eastAsia"/>
                <w:snapToGrid w:val="0"/>
                <w:color w:val="auto"/>
                <w:kern w:val="0"/>
                <w:sz w:val="24"/>
                <w:highlight w:val="none"/>
              </w:rPr>
              <w:t>厂界四周边界的噪声预测结果见下表。</w:t>
            </w:r>
          </w:p>
          <w:p w14:paraId="5FDA5B1A">
            <w:pPr>
              <w:pStyle w:val="19"/>
              <w:spacing w:before="0" w:beforeAutospacing="0" w:after="0" w:afterAutospacing="0"/>
              <w:ind w:firstLine="482" w:firstLineChars="200"/>
              <w:jc w:val="center"/>
              <w:outlineLvl w:val="0"/>
              <w:rPr>
                <w:rFonts w:hint="eastAsia" w:ascii="Times New Roman" w:hAnsi="Times New Roman"/>
                <w:b/>
                <w:color w:val="auto"/>
                <w:highlight w:val="none"/>
                <w:lang w:val="en-US" w:eastAsia="zh-CN"/>
              </w:rPr>
            </w:pPr>
            <w:r>
              <w:rPr>
                <w:rFonts w:hint="eastAsia" w:ascii="Times New Roman" w:hAnsi="Times New Roman"/>
                <w:b/>
                <w:color w:val="auto"/>
                <w:highlight w:val="none"/>
              </w:rPr>
              <w:t>表4-</w:t>
            </w:r>
            <w:r>
              <w:rPr>
                <w:rFonts w:hint="eastAsia" w:ascii="Times New Roman" w:hAnsi="Times New Roman"/>
                <w:b/>
                <w:color w:val="auto"/>
                <w:highlight w:val="none"/>
                <w:lang w:val="en-US" w:eastAsia="zh-CN"/>
              </w:rPr>
              <w:t>10</w:t>
            </w:r>
            <w:r>
              <w:rPr>
                <w:rFonts w:hint="eastAsia" w:ascii="Times New Roman" w:hAnsi="Times New Roman"/>
                <w:b/>
                <w:color w:val="auto"/>
                <w:highlight w:val="none"/>
              </w:rPr>
              <w:t xml:space="preserve">    主要噪声源及相应噪声排放情况</w:t>
            </w:r>
            <w:r>
              <w:rPr>
                <w:rFonts w:hint="eastAsia" w:ascii="Times New Roman" w:hAnsi="Times New Roman"/>
                <w:b/>
                <w:color w:val="auto"/>
                <w:highlight w:val="none"/>
                <w:lang w:val="en-US" w:eastAsia="zh-CN"/>
              </w:rPr>
              <w:t xml:space="preserve">   单位：dB(A)</w:t>
            </w:r>
          </w:p>
          <w:tbl>
            <w:tblPr>
              <w:tblStyle w:val="23"/>
              <w:tblW w:w="7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8"/>
              <w:gridCol w:w="2125"/>
              <w:gridCol w:w="1497"/>
              <w:gridCol w:w="1385"/>
              <w:gridCol w:w="1103"/>
            </w:tblGrid>
            <w:tr w14:paraId="06B3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868" w:type="dxa"/>
                  <w:vMerge w:val="restart"/>
                  <w:shd w:val="clear" w:color="auto" w:fill="auto"/>
                  <w:vAlign w:val="center"/>
                </w:tcPr>
                <w:p w14:paraId="5FFD3472">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预测点</w:t>
                  </w:r>
                </w:p>
              </w:tc>
              <w:tc>
                <w:tcPr>
                  <w:tcW w:w="2125" w:type="dxa"/>
                  <w:vMerge w:val="restart"/>
                  <w:vAlign w:val="center"/>
                </w:tcPr>
                <w:p w14:paraId="703F7AED">
                  <w:pPr>
                    <w:pStyle w:val="19"/>
                    <w:spacing w:before="0" w:beforeAutospacing="0" w:after="0" w:afterAutospacing="0"/>
                    <w:jc w:val="center"/>
                    <w:outlineLvl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贡献值</w:t>
                  </w:r>
                </w:p>
              </w:tc>
              <w:tc>
                <w:tcPr>
                  <w:tcW w:w="2882" w:type="dxa"/>
                  <w:gridSpan w:val="2"/>
                  <w:vAlign w:val="center"/>
                </w:tcPr>
                <w:p w14:paraId="705A1D95">
                  <w:pPr>
                    <w:pStyle w:val="19"/>
                    <w:spacing w:before="0" w:beforeAutospacing="0" w:after="0" w:afterAutospacing="0"/>
                    <w:jc w:val="center"/>
                    <w:outlineLvl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标准值</w:t>
                  </w:r>
                </w:p>
              </w:tc>
              <w:tc>
                <w:tcPr>
                  <w:tcW w:w="1103" w:type="dxa"/>
                  <w:vMerge w:val="restart"/>
                  <w:vAlign w:val="center"/>
                </w:tcPr>
                <w:p w14:paraId="3D88EDB5">
                  <w:pPr>
                    <w:pStyle w:val="19"/>
                    <w:spacing w:before="0" w:beforeAutospacing="0" w:after="0" w:afterAutospacing="0"/>
                    <w:jc w:val="center"/>
                    <w:outlineLvl w:val="0"/>
                    <w:rPr>
                      <w:rFonts w:hint="eastAsia" w:ascii="Times New Roman" w:hAnsi="Times New Roman"/>
                      <w:bCs/>
                      <w:color w:val="auto"/>
                      <w:sz w:val="21"/>
                      <w:szCs w:val="21"/>
                      <w:highlight w:val="none"/>
                    </w:rPr>
                  </w:pPr>
                  <w:r>
                    <w:rPr>
                      <w:rFonts w:hint="eastAsia" w:ascii="Times New Roman" w:hAnsi="Times New Roman"/>
                      <w:bCs/>
                      <w:color w:val="auto"/>
                      <w:sz w:val="21"/>
                      <w:szCs w:val="21"/>
                      <w:highlight w:val="none"/>
                    </w:rPr>
                    <w:t>达标</w:t>
                  </w:r>
                </w:p>
                <w:p w14:paraId="73EEA760">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r>
                    <w:rPr>
                      <w:rFonts w:hint="eastAsia" w:ascii="Times New Roman" w:hAnsi="Times New Roman"/>
                      <w:bCs/>
                      <w:color w:val="auto"/>
                      <w:sz w:val="21"/>
                      <w:szCs w:val="21"/>
                      <w:highlight w:val="none"/>
                    </w:rPr>
                    <w:t>情况</w:t>
                  </w:r>
                </w:p>
              </w:tc>
            </w:tr>
            <w:tr w14:paraId="4CBC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vMerge w:val="continue"/>
                  <w:shd w:val="clear" w:color="auto" w:fill="auto"/>
                  <w:vAlign w:val="center"/>
                </w:tcPr>
                <w:p w14:paraId="72E61279">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p>
              </w:tc>
              <w:tc>
                <w:tcPr>
                  <w:tcW w:w="2125" w:type="dxa"/>
                  <w:vMerge w:val="continue"/>
                  <w:vAlign w:val="center"/>
                </w:tcPr>
                <w:p w14:paraId="6AF44961">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497" w:type="dxa"/>
                  <w:shd w:val="clear" w:color="auto" w:fill="auto"/>
                  <w:vAlign w:val="center"/>
                </w:tcPr>
                <w:p w14:paraId="7BEBD0E2">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昼间</w:t>
                  </w:r>
                </w:p>
              </w:tc>
              <w:tc>
                <w:tcPr>
                  <w:tcW w:w="1385" w:type="dxa"/>
                  <w:shd w:val="clear" w:color="auto" w:fill="auto"/>
                  <w:vAlign w:val="center"/>
                </w:tcPr>
                <w:p w14:paraId="7AD0EDE8">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夜间</w:t>
                  </w:r>
                </w:p>
              </w:tc>
              <w:tc>
                <w:tcPr>
                  <w:tcW w:w="1103" w:type="dxa"/>
                  <w:vMerge w:val="continue"/>
                  <w:vAlign w:val="center"/>
                </w:tcPr>
                <w:p w14:paraId="7EFF1E33">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r>
            <w:tr w14:paraId="1C65A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016F291E">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厂界东侧</w:t>
                  </w:r>
                </w:p>
              </w:tc>
              <w:tc>
                <w:tcPr>
                  <w:tcW w:w="2125" w:type="dxa"/>
                  <w:shd w:val="clear" w:color="auto" w:fill="auto"/>
                  <w:vAlign w:val="center"/>
                </w:tcPr>
                <w:p w14:paraId="7C593C9F">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38.48</w:t>
                  </w:r>
                </w:p>
              </w:tc>
              <w:tc>
                <w:tcPr>
                  <w:tcW w:w="1497" w:type="dxa"/>
                  <w:vMerge w:val="restart"/>
                  <w:shd w:val="clear" w:color="auto" w:fill="auto"/>
                  <w:vAlign w:val="center"/>
                </w:tcPr>
                <w:p w14:paraId="650A61F9">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65</w:t>
                  </w:r>
                </w:p>
              </w:tc>
              <w:tc>
                <w:tcPr>
                  <w:tcW w:w="1385" w:type="dxa"/>
                  <w:vMerge w:val="restart"/>
                  <w:shd w:val="clear" w:color="auto" w:fill="auto"/>
                  <w:vAlign w:val="center"/>
                </w:tcPr>
                <w:p w14:paraId="089C90F1">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55</w:t>
                  </w:r>
                </w:p>
              </w:tc>
              <w:tc>
                <w:tcPr>
                  <w:tcW w:w="1103" w:type="dxa"/>
                  <w:shd w:val="clear" w:color="auto" w:fill="auto"/>
                  <w:vAlign w:val="center"/>
                </w:tcPr>
                <w:p w14:paraId="48666665">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达标</w:t>
                  </w:r>
                </w:p>
              </w:tc>
            </w:tr>
            <w:tr w14:paraId="5130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726E34A1">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厂界南侧</w:t>
                  </w:r>
                </w:p>
              </w:tc>
              <w:tc>
                <w:tcPr>
                  <w:tcW w:w="2125" w:type="dxa"/>
                  <w:shd w:val="clear" w:color="auto" w:fill="auto"/>
                  <w:vAlign w:val="center"/>
                </w:tcPr>
                <w:p w14:paraId="3858AA60">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39.6</w:t>
                  </w:r>
                </w:p>
              </w:tc>
              <w:tc>
                <w:tcPr>
                  <w:tcW w:w="1497" w:type="dxa"/>
                  <w:vMerge w:val="continue"/>
                  <w:vAlign w:val="center"/>
                </w:tcPr>
                <w:p w14:paraId="4D5A33BD">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385" w:type="dxa"/>
                  <w:vMerge w:val="continue"/>
                  <w:vAlign w:val="center"/>
                </w:tcPr>
                <w:p w14:paraId="7CF1C56A">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103" w:type="dxa"/>
                  <w:shd w:val="clear" w:color="auto" w:fill="auto"/>
                  <w:vAlign w:val="center"/>
                </w:tcPr>
                <w:p w14:paraId="5FBFFA12">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达标</w:t>
                  </w:r>
                </w:p>
              </w:tc>
            </w:tr>
            <w:tr w14:paraId="6A225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0CB6A854">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厂界西侧</w:t>
                  </w:r>
                </w:p>
              </w:tc>
              <w:tc>
                <w:tcPr>
                  <w:tcW w:w="2125" w:type="dxa"/>
                  <w:shd w:val="clear" w:color="auto" w:fill="auto"/>
                  <w:vAlign w:val="center"/>
                </w:tcPr>
                <w:p w14:paraId="3181A22B">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40.81</w:t>
                  </w:r>
                </w:p>
              </w:tc>
              <w:tc>
                <w:tcPr>
                  <w:tcW w:w="1497" w:type="dxa"/>
                  <w:vMerge w:val="continue"/>
                  <w:vAlign w:val="center"/>
                </w:tcPr>
                <w:p w14:paraId="3EC57CBB">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385" w:type="dxa"/>
                  <w:vMerge w:val="continue"/>
                  <w:vAlign w:val="center"/>
                </w:tcPr>
                <w:p w14:paraId="35730098">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103" w:type="dxa"/>
                  <w:shd w:val="clear" w:color="auto" w:fill="auto"/>
                  <w:vAlign w:val="center"/>
                </w:tcPr>
                <w:p w14:paraId="06F5B79F">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达标</w:t>
                  </w:r>
                </w:p>
              </w:tc>
            </w:tr>
            <w:tr w14:paraId="7F35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761805E1">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厂界北侧</w:t>
                  </w:r>
                </w:p>
              </w:tc>
              <w:tc>
                <w:tcPr>
                  <w:tcW w:w="2125" w:type="dxa"/>
                  <w:shd w:val="clear" w:color="auto" w:fill="auto"/>
                  <w:vAlign w:val="center"/>
                </w:tcPr>
                <w:p w14:paraId="3BEE6B77">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42.27</w:t>
                  </w:r>
                </w:p>
              </w:tc>
              <w:tc>
                <w:tcPr>
                  <w:tcW w:w="1497" w:type="dxa"/>
                  <w:vMerge w:val="continue"/>
                  <w:vAlign w:val="center"/>
                </w:tcPr>
                <w:p w14:paraId="73148157">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385" w:type="dxa"/>
                  <w:vMerge w:val="continue"/>
                  <w:vAlign w:val="center"/>
                </w:tcPr>
                <w:p w14:paraId="68F88C47">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103" w:type="dxa"/>
                  <w:shd w:val="clear" w:color="auto" w:fill="auto"/>
                  <w:vAlign w:val="center"/>
                </w:tcPr>
                <w:p w14:paraId="1FA49766">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达标</w:t>
                  </w:r>
                </w:p>
              </w:tc>
            </w:tr>
          </w:tbl>
          <w:p w14:paraId="450A25FE">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ascii="Times New Roman" w:hAnsi="Times New Roman"/>
                <w:snapToGrid w:val="0"/>
                <w:color w:val="auto"/>
                <w:szCs w:val="24"/>
                <w:highlight w:val="none"/>
              </w:rPr>
              <w:t>通过上表可知，本项目噪声经过</w:t>
            </w:r>
            <w:r>
              <w:rPr>
                <w:rFonts w:hint="eastAsia" w:ascii="Times New Roman" w:hAnsi="Times New Roman"/>
                <w:snapToGrid w:val="0"/>
                <w:color w:val="auto"/>
                <w:szCs w:val="24"/>
                <w:highlight w:val="none"/>
              </w:rPr>
              <w:t>减振</w:t>
            </w:r>
            <w:r>
              <w:rPr>
                <w:rFonts w:ascii="Times New Roman" w:hAnsi="Times New Roman"/>
                <w:snapToGrid w:val="0"/>
                <w:color w:val="auto"/>
                <w:szCs w:val="24"/>
                <w:highlight w:val="none"/>
              </w:rPr>
              <w:t>、隔声后，</w:t>
            </w:r>
            <w:r>
              <w:rPr>
                <w:rFonts w:hint="eastAsia" w:ascii="Times New Roman" w:hAnsi="Times New Roman"/>
                <w:snapToGrid w:val="0"/>
                <w:color w:val="auto"/>
                <w:szCs w:val="24"/>
                <w:highlight w:val="none"/>
                <w:lang w:val="en-US" w:eastAsia="zh-CN"/>
              </w:rPr>
              <w:t>厂界噪声值为38.48--42.27dB(A)，</w:t>
            </w:r>
            <w:r>
              <w:rPr>
                <w:rFonts w:ascii="Times New Roman" w:hAnsi="Times New Roman"/>
                <w:snapToGrid w:val="0"/>
                <w:color w:val="auto"/>
                <w:szCs w:val="24"/>
                <w:highlight w:val="none"/>
              </w:rPr>
              <w:t>可满足《工业企业厂界环境噪声排放标准》（GB12348-2008）中3类区标准的要求。因此，本项目产生的噪声对周围声环境影响较小。</w:t>
            </w:r>
          </w:p>
          <w:p w14:paraId="01044C86">
            <w:pPr>
              <w:pStyle w:val="19"/>
              <w:spacing w:before="0" w:beforeAutospacing="0" w:after="0" w:afterAutospacing="0" w:line="360" w:lineRule="auto"/>
              <w:ind w:firstLine="480" w:firstLineChars="200"/>
              <w:outlineLvl w:val="0"/>
              <w:rPr>
                <w:rFonts w:hint="eastAsia" w:eastAsia="宋体"/>
                <w:snapToGrid w:val="0"/>
                <w:color w:val="auto"/>
                <w:kern w:val="0"/>
                <w:sz w:val="24"/>
                <w:highlight w:val="none"/>
                <w:lang w:eastAsia="zh-CN"/>
              </w:rPr>
            </w:pPr>
            <w:r>
              <w:rPr>
                <w:rFonts w:hint="eastAsia" w:ascii="宋体" w:hAnsi="宋体" w:eastAsia="宋体" w:cs="Times New Roman"/>
                <w:snapToGrid w:val="0"/>
                <w:color w:val="auto"/>
                <w:kern w:val="0"/>
                <w:sz w:val="24"/>
                <w:highlight w:val="none"/>
                <w:lang w:val="en-US" w:eastAsia="zh-CN"/>
              </w:rPr>
              <w:t>二期建成后</w:t>
            </w:r>
            <w:r>
              <w:rPr>
                <w:rFonts w:hint="eastAsia" w:ascii="宋体" w:hAnsi="宋体" w:eastAsia="宋体" w:cs="Times New Roman"/>
                <w:snapToGrid w:val="0"/>
                <w:color w:val="auto"/>
                <w:kern w:val="0"/>
                <w:sz w:val="24"/>
                <w:highlight w:val="none"/>
              </w:rPr>
              <w:t>厂界</w:t>
            </w:r>
            <w:r>
              <w:rPr>
                <w:rFonts w:hint="eastAsia"/>
                <w:snapToGrid w:val="0"/>
                <w:color w:val="auto"/>
                <w:kern w:val="0"/>
                <w:sz w:val="24"/>
                <w:highlight w:val="none"/>
              </w:rPr>
              <w:t>四周边界的噪声预测结果见下表</w:t>
            </w:r>
            <w:r>
              <w:rPr>
                <w:rFonts w:hint="eastAsia"/>
                <w:snapToGrid w:val="0"/>
                <w:color w:val="auto"/>
                <w:kern w:val="0"/>
                <w:sz w:val="24"/>
                <w:highlight w:val="none"/>
                <w:lang w:eastAsia="zh-CN"/>
              </w:rPr>
              <w:t>：</w:t>
            </w:r>
          </w:p>
          <w:p w14:paraId="290CE448">
            <w:pPr>
              <w:pStyle w:val="19"/>
              <w:spacing w:before="0" w:beforeAutospacing="0" w:after="0" w:afterAutospacing="0"/>
              <w:ind w:firstLine="482" w:firstLineChars="200"/>
              <w:jc w:val="center"/>
              <w:outlineLvl w:val="0"/>
              <w:rPr>
                <w:rFonts w:hint="eastAsia" w:ascii="Times New Roman" w:hAnsi="Times New Roman"/>
                <w:b/>
                <w:color w:val="auto"/>
                <w:highlight w:val="none"/>
                <w:lang w:val="en-US" w:eastAsia="zh-CN"/>
              </w:rPr>
            </w:pPr>
            <w:r>
              <w:rPr>
                <w:rFonts w:hint="eastAsia" w:ascii="Times New Roman" w:hAnsi="Times New Roman"/>
                <w:b/>
                <w:color w:val="auto"/>
                <w:highlight w:val="none"/>
              </w:rPr>
              <w:t>表4-</w:t>
            </w:r>
            <w:r>
              <w:rPr>
                <w:rFonts w:hint="eastAsia" w:ascii="Times New Roman" w:hAnsi="Times New Roman"/>
                <w:b/>
                <w:color w:val="auto"/>
                <w:highlight w:val="none"/>
                <w:lang w:val="en-US" w:eastAsia="zh-CN"/>
              </w:rPr>
              <w:t>11</w:t>
            </w:r>
            <w:r>
              <w:rPr>
                <w:rFonts w:hint="eastAsia" w:ascii="Times New Roman" w:hAnsi="Times New Roman"/>
                <w:b/>
                <w:color w:val="auto"/>
                <w:highlight w:val="none"/>
              </w:rPr>
              <w:t xml:space="preserve">    主要噪声源及相应噪声排放情况</w:t>
            </w:r>
            <w:r>
              <w:rPr>
                <w:rFonts w:hint="eastAsia" w:ascii="Times New Roman" w:hAnsi="Times New Roman"/>
                <w:b/>
                <w:color w:val="auto"/>
                <w:highlight w:val="none"/>
                <w:lang w:val="en-US" w:eastAsia="zh-CN"/>
              </w:rPr>
              <w:t xml:space="preserve">   单位：dB(A)</w:t>
            </w:r>
          </w:p>
          <w:tbl>
            <w:tblPr>
              <w:tblStyle w:val="23"/>
              <w:tblW w:w="7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8"/>
              <w:gridCol w:w="2125"/>
              <w:gridCol w:w="1497"/>
              <w:gridCol w:w="1385"/>
              <w:gridCol w:w="1103"/>
            </w:tblGrid>
            <w:tr w14:paraId="0A10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868" w:type="dxa"/>
                  <w:vMerge w:val="restart"/>
                  <w:shd w:val="clear" w:color="auto" w:fill="auto"/>
                  <w:vAlign w:val="center"/>
                </w:tcPr>
                <w:p w14:paraId="2B87144D">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预测点</w:t>
                  </w:r>
                </w:p>
              </w:tc>
              <w:tc>
                <w:tcPr>
                  <w:tcW w:w="2125" w:type="dxa"/>
                  <w:vMerge w:val="restart"/>
                  <w:vAlign w:val="center"/>
                </w:tcPr>
                <w:p w14:paraId="5C49C8FA">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贡献值</w:t>
                  </w:r>
                </w:p>
              </w:tc>
              <w:tc>
                <w:tcPr>
                  <w:tcW w:w="2882" w:type="dxa"/>
                  <w:gridSpan w:val="2"/>
                  <w:vAlign w:val="center"/>
                </w:tcPr>
                <w:p w14:paraId="5906E456">
                  <w:pPr>
                    <w:pStyle w:val="19"/>
                    <w:spacing w:before="0" w:beforeAutospacing="0" w:after="0" w:afterAutospacing="0"/>
                    <w:jc w:val="center"/>
                    <w:outlineLvl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标准值</w:t>
                  </w:r>
                </w:p>
              </w:tc>
              <w:tc>
                <w:tcPr>
                  <w:tcW w:w="1103" w:type="dxa"/>
                  <w:vMerge w:val="restart"/>
                  <w:vAlign w:val="center"/>
                </w:tcPr>
                <w:p w14:paraId="1C047D45">
                  <w:pPr>
                    <w:pStyle w:val="19"/>
                    <w:spacing w:before="0" w:beforeAutospacing="0" w:after="0" w:afterAutospacing="0"/>
                    <w:jc w:val="center"/>
                    <w:outlineLvl w:val="0"/>
                    <w:rPr>
                      <w:rFonts w:hint="eastAsia" w:ascii="Times New Roman" w:hAnsi="Times New Roman"/>
                      <w:bCs/>
                      <w:color w:val="auto"/>
                      <w:sz w:val="21"/>
                      <w:szCs w:val="21"/>
                      <w:highlight w:val="none"/>
                    </w:rPr>
                  </w:pPr>
                  <w:r>
                    <w:rPr>
                      <w:rFonts w:hint="eastAsia" w:ascii="Times New Roman" w:hAnsi="Times New Roman"/>
                      <w:bCs/>
                      <w:color w:val="auto"/>
                      <w:sz w:val="21"/>
                      <w:szCs w:val="21"/>
                      <w:highlight w:val="none"/>
                    </w:rPr>
                    <w:t>达标</w:t>
                  </w:r>
                </w:p>
                <w:p w14:paraId="4A6C6CDC">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r>
                    <w:rPr>
                      <w:rFonts w:hint="eastAsia" w:ascii="Times New Roman" w:hAnsi="Times New Roman"/>
                      <w:bCs/>
                      <w:color w:val="auto"/>
                      <w:sz w:val="21"/>
                      <w:szCs w:val="21"/>
                      <w:highlight w:val="none"/>
                    </w:rPr>
                    <w:t>情况</w:t>
                  </w:r>
                </w:p>
              </w:tc>
            </w:tr>
            <w:tr w14:paraId="53B4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vMerge w:val="continue"/>
                  <w:shd w:val="clear" w:color="auto" w:fill="auto"/>
                  <w:vAlign w:val="center"/>
                </w:tcPr>
                <w:p w14:paraId="6017E7C4">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p>
              </w:tc>
              <w:tc>
                <w:tcPr>
                  <w:tcW w:w="2125" w:type="dxa"/>
                  <w:vMerge w:val="continue"/>
                  <w:vAlign w:val="center"/>
                </w:tcPr>
                <w:p w14:paraId="0085B878">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p>
              </w:tc>
              <w:tc>
                <w:tcPr>
                  <w:tcW w:w="1497" w:type="dxa"/>
                  <w:shd w:val="clear" w:color="auto" w:fill="auto"/>
                  <w:vAlign w:val="center"/>
                </w:tcPr>
                <w:p w14:paraId="2AFB6B56">
                  <w:pPr>
                    <w:pStyle w:val="19"/>
                    <w:spacing w:before="0" w:beforeAutospacing="0" w:after="0" w:afterAutospacing="0"/>
                    <w:jc w:val="center"/>
                    <w:outlineLvl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rPr>
                    <w:t>昼间</w:t>
                  </w:r>
                </w:p>
              </w:tc>
              <w:tc>
                <w:tcPr>
                  <w:tcW w:w="1385" w:type="dxa"/>
                  <w:shd w:val="clear" w:color="auto" w:fill="auto"/>
                  <w:vAlign w:val="center"/>
                </w:tcPr>
                <w:p w14:paraId="0C5D3698">
                  <w:pPr>
                    <w:pStyle w:val="19"/>
                    <w:spacing w:before="0" w:beforeAutospacing="0" w:after="0" w:afterAutospacing="0"/>
                    <w:jc w:val="center"/>
                    <w:outlineLvl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rPr>
                    <w:t>夜间</w:t>
                  </w:r>
                </w:p>
              </w:tc>
              <w:tc>
                <w:tcPr>
                  <w:tcW w:w="1103" w:type="dxa"/>
                  <w:vMerge w:val="continue"/>
                  <w:vAlign w:val="center"/>
                </w:tcPr>
                <w:p w14:paraId="56A8528A">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r>
            <w:tr w14:paraId="5D18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216B53B9">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厂界东侧</w:t>
                  </w:r>
                </w:p>
              </w:tc>
              <w:tc>
                <w:tcPr>
                  <w:tcW w:w="2125" w:type="dxa"/>
                  <w:shd w:val="clear" w:color="auto" w:fill="auto"/>
                  <w:vAlign w:val="center"/>
                </w:tcPr>
                <w:p w14:paraId="1270C6F3">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39.4</w:t>
                  </w:r>
                </w:p>
              </w:tc>
              <w:tc>
                <w:tcPr>
                  <w:tcW w:w="1497" w:type="dxa"/>
                  <w:vMerge w:val="restart"/>
                  <w:shd w:val="clear" w:color="auto" w:fill="auto"/>
                  <w:vAlign w:val="center"/>
                </w:tcPr>
                <w:p w14:paraId="599EE22F">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65</w:t>
                  </w:r>
                </w:p>
              </w:tc>
              <w:tc>
                <w:tcPr>
                  <w:tcW w:w="1385" w:type="dxa"/>
                  <w:vMerge w:val="restart"/>
                  <w:shd w:val="clear" w:color="auto" w:fill="auto"/>
                  <w:vAlign w:val="center"/>
                </w:tcPr>
                <w:p w14:paraId="04D8A72B">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55</w:t>
                  </w:r>
                </w:p>
              </w:tc>
              <w:tc>
                <w:tcPr>
                  <w:tcW w:w="1103" w:type="dxa"/>
                  <w:shd w:val="clear" w:color="auto" w:fill="auto"/>
                  <w:vAlign w:val="center"/>
                </w:tcPr>
                <w:p w14:paraId="2D28F435">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达标</w:t>
                  </w:r>
                </w:p>
              </w:tc>
            </w:tr>
            <w:tr w14:paraId="44DE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09102A92">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厂界南侧</w:t>
                  </w:r>
                </w:p>
              </w:tc>
              <w:tc>
                <w:tcPr>
                  <w:tcW w:w="2125" w:type="dxa"/>
                  <w:shd w:val="clear" w:color="auto" w:fill="auto"/>
                  <w:vAlign w:val="center"/>
                </w:tcPr>
                <w:p w14:paraId="3DAB92E7">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40.07</w:t>
                  </w:r>
                </w:p>
              </w:tc>
              <w:tc>
                <w:tcPr>
                  <w:tcW w:w="1497" w:type="dxa"/>
                  <w:vMerge w:val="continue"/>
                  <w:vAlign w:val="center"/>
                </w:tcPr>
                <w:p w14:paraId="2BBAA641">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385" w:type="dxa"/>
                  <w:vMerge w:val="continue"/>
                  <w:vAlign w:val="center"/>
                </w:tcPr>
                <w:p w14:paraId="03F06F75">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103" w:type="dxa"/>
                  <w:shd w:val="clear" w:color="auto" w:fill="auto"/>
                  <w:vAlign w:val="center"/>
                </w:tcPr>
                <w:p w14:paraId="7018BC35">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达标</w:t>
                  </w:r>
                </w:p>
              </w:tc>
            </w:tr>
            <w:tr w14:paraId="68C6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6C164A79">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厂界西侧</w:t>
                  </w:r>
                </w:p>
              </w:tc>
              <w:tc>
                <w:tcPr>
                  <w:tcW w:w="2125" w:type="dxa"/>
                  <w:shd w:val="clear" w:color="auto" w:fill="auto"/>
                  <w:vAlign w:val="center"/>
                </w:tcPr>
                <w:p w14:paraId="4E94FF01">
                  <w:pPr>
                    <w:pStyle w:val="19"/>
                    <w:spacing w:before="0" w:beforeAutospacing="0" w:after="0" w:afterAutospacing="0"/>
                    <w:jc w:val="center"/>
                    <w:outlineLvl w:val="0"/>
                    <w:rPr>
                      <w:rFonts w:hint="default" w:ascii="Times New Roman" w:hAnsi="Times New Roman"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41.21</w:t>
                  </w:r>
                </w:p>
              </w:tc>
              <w:tc>
                <w:tcPr>
                  <w:tcW w:w="1497" w:type="dxa"/>
                  <w:vMerge w:val="continue"/>
                  <w:vAlign w:val="center"/>
                </w:tcPr>
                <w:p w14:paraId="565E4DAC">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385" w:type="dxa"/>
                  <w:vMerge w:val="continue"/>
                  <w:vAlign w:val="center"/>
                </w:tcPr>
                <w:p w14:paraId="6410FBFB">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103" w:type="dxa"/>
                  <w:shd w:val="clear" w:color="auto" w:fill="auto"/>
                  <w:vAlign w:val="center"/>
                </w:tcPr>
                <w:p w14:paraId="5F8A219C">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达标</w:t>
                  </w:r>
                </w:p>
              </w:tc>
            </w:tr>
            <w:tr w14:paraId="2499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868" w:type="dxa"/>
                  <w:shd w:val="clear" w:color="auto" w:fill="auto"/>
                  <w:vAlign w:val="center"/>
                </w:tcPr>
                <w:p w14:paraId="1990F246">
                  <w:pPr>
                    <w:pStyle w:val="19"/>
                    <w:spacing w:before="0" w:beforeAutospacing="0" w:after="0" w:afterAutospacing="0"/>
                    <w:jc w:val="center"/>
                    <w:outlineLvl w:val="0"/>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bCs/>
                      <w:color w:val="auto"/>
                      <w:sz w:val="21"/>
                      <w:szCs w:val="21"/>
                      <w:highlight w:val="none"/>
                    </w:rPr>
                    <w:t>厂界北侧</w:t>
                  </w:r>
                </w:p>
              </w:tc>
              <w:tc>
                <w:tcPr>
                  <w:tcW w:w="2125" w:type="dxa"/>
                  <w:shd w:val="clear" w:color="auto" w:fill="auto"/>
                  <w:vAlign w:val="center"/>
                </w:tcPr>
                <w:p w14:paraId="64A1CB57">
                  <w:pPr>
                    <w:pStyle w:val="19"/>
                    <w:spacing w:before="0" w:beforeAutospacing="0" w:after="0" w:afterAutospacing="0"/>
                    <w:jc w:val="center"/>
                    <w:outlineLvl w:val="0"/>
                    <w:rPr>
                      <w:rFonts w:hint="default" w:ascii="Times New Roman" w:hAnsi="Times New Roman" w:cs="Times New Roman"/>
                      <w:bCs/>
                      <w:color w:val="auto"/>
                      <w:kern w:val="0"/>
                      <w:sz w:val="21"/>
                      <w:szCs w:val="21"/>
                      <w:highlight w:val="none"/>
                      <w:lang w:val="en-US" w:eastAsia="zh-CN" w:bidi="ar-SA"/>
                    </w:rPr>
                  </w:pPr>
                  <w:r>
                    <w:rPr>
                      <w:rFonts w:hint="eastAsia" w:ascii="Times New Roman" w:hAnsi="Times New Roman" w:cs="Times New Roman"/>
                      <w:bCs/>
                      <w:color w:val="auto"/>
                      <w:kern w:val="0"/>
                      <w:sz w:val="21"/>
                      <w:szCs w:val="21"/>
                      <w:highlight w:val="none"/>
                      <w:lang w:val="en-US" w:eastAsia="zh-CN" w:bidi="ar-SA"/>
                    </w:rPr>
                    <w:t>42.44</w:t>
                  </w:r>
                </w:p>
              </w:tc>
              <w:tc>
                <w:tcPr>
                  <w:tcW w:w="1497" w:type="dxa"/>
                  <w:vMerge w:val="continue"/>
                  <w:vAlign w:val="center"/>
                </w:tcPr>
                <w:p w14:paraId="19B80ED1">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385" w:type="dxa"/>
                  <w:vMerge w:val="continue"/>
                  <w:vAlign w:val="center"/>
                </w:tcPr>
                <w:p w14:paraId="7880CD6A">
                  <w:pPr>
                    <w:pStyle w:val="19"/>
                    <w:spacing w:before="0" w:beforeAutospacing="0" w:after="0" w:afterAutospacing="0"/>
                    <w:jc w:val="center"/>
                    <w:outlineLvl w:val="0"/>
                    <w:rPr>
                      <w:rFonts w:hint="default" w:ascii="Times New Roman" w:hAnsi="Times New Roman"/>
                      <w:b/>
                      <w:color w:val="auto"/>
                      <w:highlight w:val="none"/>
                      <w:vertAlign w:val="baseline"/>
                      <w:lang w:val="en-US" w:eastAsia="zh-CN"/>
                    </w:rPr>
                  </w:pPr>
                </w:p>
              </w:tc>
              <w:tc>
                <w:tcPr>
                  <w:tcW w:w="1103" w:type="dxa"/>
                  <w:shd w:val="clear" w:color="auto" w:fill="auto"/>
                  <w:vAlign w:val="center"/>
                </w:tcPr>
                <w:p w14:paraId="6F4F1192">
                  <w:pPr>
                    <w:jc w:val="center"/>
                    <w:outlineLvl w:val="0"/>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rPr>
                    <w:t>达标</w:t>
                  </w:r>
                </w:p>
              </w:tc>
            </w:tr>
          </w:tbl>
          <w:p w14:paraId="24912903">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ascii="Times New Roman" w:hAnsi="Times New Roman"/>
                <w:snapToGrid w:val="0"/>
                <w:color w:val="auto"/>
                <w:szCs w:val="24"/>
                <w:highlight w:val="none"/>
              </w:rPr>
              <w:t>通过上表可知，本项目噪声经过</w:t>
            </w:r>
            <w:r>
              <w:rPr>
                <w:rFonts w:hint="eastAsia" w:ascii="Times New Roman" w:hAnsi="Times New Roman"/>
                <w:snapToGrid w:val="0"/>
                <w:color w:val="auto"/>
                <w:szCs w:val="24"/>
                <w:highlight w:val="none"/>
              </w:rPr>
              <w:t>减振</w:t>
            </w:r>
            <w:r>
              <w:rPr>
                <w:rFonts w:ascii="Times New Roman" w:hAnsi="Times New Roman"/>
                <w:snapToGrid w:val="0"/>
                <w:color w:val="auto"/>
                <w:szCs w:val="24"/>
                <w:highlight w:val="none"/>
              </w:rPr>
              <w:t>、隔声后，</w:t>
            </w:r>
            <w:r>
              <w:rPr>
                <w:rFonts w:hint="eastAsia" w:ascii="Times New Roman" w:hAnsi="Times New Roman"/>
                <w:snapToGrid w:val="0"/>
                <w:color w:val="auto"/>
                <w:szCs w:val="24"/>
                <w:highlight w:val="none"/>
                <w:lang w:val="en-US" w:eastAsia="zh-CN"/>
              </w:rPr>
              <w:t>厂界噪声值为39.4---42.44dB(A)，</w:t>
            </w:r>
            <w:r>
              <w:rPr>
                <w:rFonts w:ascii="Times New Roman" w:hAnsi="Times New Roman"/>
                <w:snapToGrid w:val="0"/>
                <w:color w:val="auto"/>
                <w:szCs w:val="24"/>
                <w:highlight w:val="none"/>
              </w:rPr>
              <w:t>可满足《工业企业厂界环境噪声排放标准》（GB12348-2008）中3类区标准的要求。因此，本项目产生的噪声对周围声环境影响较小。</w:t>
            </w:r>
          </w:p>
          <w:p w14:paraId="1926A8F3">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（3）防治措施</w:t>
            </w:r>
          </w:p>
          <w:p w14:paraId="129CA114">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为确保机厂界噪声的排放符合国家和地方有关标准，建议建设单位做好噪声防治措施，具体措施如下：</w:t>
            </w:r>
          </w:p>
          <w:p w14:paraId="2FC12C61">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①选择低噪声设备，并使其处于良好的运行状态。</w:t>
            </w:r>
          </w:p>
          <w:p w14:paraId="57F1337F">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②在设备基座安装防震措施，对高噪声设备安装减振、隔音设施。</w:t>
            </w:r>
          </w:p>
          <w:p w14:paraId="52468004">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③定期维护保养设备及采取降噪设施，维持设备处于良好的运转状态。</w:t>
            </w:r>
          </w:p>
          <w:p w14:paraId="529E661A">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④生产工人佩戴耳塞，以减轻噪声对工人的影响。</w:t>
            </w:r>
          </w:p>
          <w:p w14:paraId="32ACF01F">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⑤合理布局产生设备在车间内的位置。</w:t>
            </w:r>
          </w:p>
          <w:p w14:paraId="3BA4F0FE">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（4）噪声监测计划</w:t>
            </w:r>
          </w:p>
          <w:p w14:paraId="78D380F3">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ascii="Times New Roman" w:hAnsi="Times New Roman"/>
                <w:snapToGrid w:val="0"/>
                <w:color w:val="auto"/>
                <w:szCs w:val="24"/>
                <w:highlight w:val="none"/>
              </w:rPr>
              <w:t>本项目监测频次按照《排污单位自行监测技术指南 总则》（HJ819-2017）进行监测。</w:t>
            </w:r>
          </w:p>
          <w:p w14:paraId="39822AA5">
            <w:pPr>
              <w:pStyle w:val="19"/>
              <w:spacing w:before="0" w:beforeAutospacing="0" w:after="0" w:afterAutospacing="0"/>
              <w:ind w:firstLine="482" w:firstLineChars="200"/>
              <w:jc w:val="center"/>
              <w:outlineLvl w:val="0"/>
              <w:rPr>
                <w:rFonts w:ascii="Times New Roman" w:hAnsi="Times New Roman"/>
                <w:b/>
                <w:color w:val="auto"/>
                <w:highlight w:val="none"/>
              </w:rPr>
            </w:pPr>
            <w:r>
              <w:rPr>
                <w:rFonts w:hint="eastAsia" w:ascii="Times New Roman" w:hAnsi="Times New Roman"/>
                <w:b/>
                <w:color w:val="auto"/>
                <w:highlight w:val="none"/>
              </w:rPr>
              <w:t>表4-</w:t>
            </w:r>
            <w:r>
              <w:rPr>
                <w:rFonts w:hint="eastAsia" w:ascii="Times New Roman" w:hAnsi="Times New Roman"/>
                <w:b/>
                <w:color w:val="auto"/>
                <w:highlight w:val="none"/>
                <w:lang w:val="en-US" w:eastAsia="zh-CN"/>
              </w:rPr>
              <w:t>12</w:t>
            </w:r>
            <w:r>
              <w:rPr>
                <w:rFonts w:hint="eastAsia" w:ascii="Times New Roman" w:hAnsi="Times New Roman"/>
                <w:b/>
                <w:color w:val="auto"/>
                <w:highlight w:val="none"/>
              </w:rPr>
              <w:t xml:space="preserve">    噪声监测计划表</w:t>
            </w:r>
          </w:p>
          <w:tbl>
            <w:tblPr>
              <w:tblStyle w:val="23"/>
              <w:tblW w:w="79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1147"/>
              <w:gridCol w:w="1427"/>
              <w:gridCol w:w="1720"/>
              <w:gridCol w:w="2642"/>
            </w:tblGrid>
            <w:tr w14:paraId="23BA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 w:type="dxa"/>
                  <w:vAlign w:val="center"/>
                </w:tcPr>
                <w:p w14:paraId="40B03538">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监测</w:t>
                  </w:r>
                </w:p>
              </w:tc>
              <w:tc>
                <w:tcPr>
                  <w:tcW w:w="1147" w:type="dxa"/>
                  <w:vAlign w:val="center"/>
                </w:tcPr>
                <w:p w14:paraId="27332F8C">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监测点位</w:t>
                  </w:r>
                </w:p>
              </w:tc>
              <w:tc>
                <w:tcPr>
                  <w:tcW w:w="1427" w:type="dxa"/>
                  <w:vAlign w:val="center"/>
                </w:tcPr>
                <w:p w14:paraId="33573D09">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污染因子</w:t>
                  </w:r>
                </w:p>
              </w:tc>
              <w:tc>
                <w:tcPr>
                  <w:tcW w:w="1720" w:type="dxa"/>
                  <w:vAlign w:val="center"/>
                </w:tcPr>
                <w:p w14:paraId="5464A73D">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监测频次</w:t>
                  </w:r>
                </w:p>
              </w:tc>
              <w:tc>
                <w:tcPr>
                  <w:tcW w:w="2642" w:type="dxa"/>
                  <w:vAlign w:val="center"/>
                </w:tcPr>
                <w:p w14:paraId="38B30499">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备注</w:t>
                  </w:r>
                </w:p>
              </w:tc>
            </w:tr>
            <w:tr w14:paraId="7C8C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6" w:type="dxa"/>
                  <w:vAlign w:val="center"/>
                </w:tcPr>
                <w:p w14:paraId="64F9A543">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噪声</w:t>
                  </w:r>
                </w:p>
              </w:tc>
              <w:tc>
                <w:tcPr>
                  <w:tcW w:w="1147" w:type="dxa"/>
                  <w:vAlign w:val="center"/>
                </w:tcPr>
                <w:p w14:paraId="7A588C53">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厂界外1m处</w:t>
                  </w:r>
                </w:p>
              </w:tc>
              <w:tc>
                <w:tcPr>
                  <w:tcW w:w="1427" w:type="dxa"/>
                  <w:vAlign w:val="center"/>
                </w:tcPr>
                <w:p w14:paraId="33B277F2">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 xml:space="preserve">等效连续 </w:t>
                  </w:r>
                  <w:r>
                    <w:rPr>
                      <w:rFonts w:ascii="Times New Roman" w:hAnsi="Times New Roman"/>
                      <w:bCs/>
                      <w:color w:val="auto"/>
                      <w:sz w:val="21"/>
                      <w:szCs w:val="21"/>
                      <w:highlight w:val="none"/>
                    </w:rPr>
                    <w:t xml:space="preserve">A </w:t>
                  </w:r>
                  <w:r>
                    <w:rPr>
                      <w:rFonts w:hint="eastAsia" w:ascii="Times New Roman" w:hAnsi="Times New Roman"/>
                      <w:bCs/>
                      <w:color w:val="auto"/>
                      <w:sz w:val="21"/>
                      <w:szCs w:val="21"/>
                      <w:highlight w:val="none"/>
                    </w:rPr>
                    <w:t>声级</w:t>
                  </w:r>
                </w:p>
              </w:tc>
              <w:tc>
                <w:tcPr>
                  <w:tcW w:w="1720" w:type="dxa"/>
                  <w:vAlign w:val="center"/>
                </w:tcPr>
                <w:p w14:paraId="367135FF">
                  <w:pPr>
                    <w:pStyle w:val="19"/>
                    <w:spacing w:before="0" w:beforeAutospacing="0" w:after="0" w:afterAutospacing="0"/>
                    <w:jc w:val="center"/>
                    <w:outlineLvl w:val="0"/>
                    <w:rPr>
                      <w:rFonts w:ascii="Times New Roman" w:hAnsi="Times New Roman"/>
                      <w:bCs/>
                      <w:color w:val="auto"/>
                      <w:sz w:val="21"/>
                      <w:szCs w:val="21"/>
                      <w:highlight w:val="none"/>
                    </w:rPr>
                  </w:pPr>
                  <w:r>
                    <w:rPr>
                      <w:rFonts w:hint="eastAsia" w:ascii="Times New Roman" w:hAnsi="Times New Roman"/>
                      <w:bCs/>
                      <w:color w:val="auto"/>
                      <w:sz w:val="21"/>
                      <w:szCs w:val="21"/>
                      <w:highlight w:val="none"/>
                    </w:rPr>
                    <w:t>1次/季</w:t>
                  </w:r>
                </w:p>
              </w:tc>
              <w:tc>
                <w:tcPr>
                  <w:tcW w:w="2642" w:type="dxa"/>
                  <w:vAlign w:val="center"/>
                </w:tcPr>
                <w:p w14:paraId="1EF49ECC">
                  <w:pPr>
                    <w:pStyle w:val="19"/>
                    <w:spacing w:before="0" w:beforeAutospacing="0" w:after="0" w:afterAutospacing="0"/>
                    <w:jc w:val="center"/>
                    <w:outlineLvl w:val="0"/>
                    <w:rPr>
                      <w:rFonts w:ascii="Times New Roman" w:hAnsi="Times New Roman"/>
                      <w:bCs/>
                      <w:color w:val="auto"/>
                      <w:sz w:val="21"/>
                      <w:szCs w:val="21"/>
                      <w:highlight w:val="none"/>
                    </w:rPr>
                  </w:pPr>
                  <w:r>
                    <w:rPr>
                      <w:rFonts w:ascii="Times New Roman" w:hAnsi="Times New Roman"/>
                      <w:bCs/>
                      <w:color w:val="auto"/>
                      <w:sz w:val="21"/>
                      <w:szCs w:val="21"/>
                      <w:highlight w:val="none"/>
                    </w:rPr>
                    <w:t>《工业企业厂界环境噪声排放标准》（GB12348-2008）</w:t>
                  </w:r>
                  <w:r>
                    <w:rPr>
                      <w:rFonts w:hint="eastAsia" w:ascii="Times New Roman" w:hAnsi="Times New Roman"/>
                      <w:bCs/>
                      <w:color w:val="auto"/>
                      <w:sz w:val="21"/>
                      <w:szCs w:val="21"/>
                      <w:highlight w:val="none"/>
                    </w:rPr>
                    <w:t>3</w:t>
                  </w:r>
                  <w:r>
                    <w:rPr>
                      <w:rFonts w:ascii="Times New Roman" w:hAnsi="Times New Roman"/>
                      <w:bCs/>
                      <w:color w:val="auto"/>
                      <w:sz w:val="21"/>
                      <w:szCs w:val="21"/>
                      <w:highlight w:val="none"/>
                    </w:rPr>
                    <w:t>类标准限值要求</w:t>
                  </w:r>
                </w:p>
              </w:tc>
            </w:tr>
          </w:tbl>
          <w:p w14:paraId="5DF0DA29">
            <w:pPr>
              <w:pStyle w:val="1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ascii="Times New Roman" w:hAnsi="Times New Roman"/>
                <w:b/>
                <w:bCs/>
                <w:snapToGrid w:val="0"/>
                <w:color w:val="auto"/>
                <w:szCs w:val="24"/>
                <w:highlight w:val="none"/>
              </w:rPr>
            </w:pPr>
            <w:r>
              <w:rPr>
                <w:rFonts w:hint="eastAsia" w:ascii="Times New Roman" w:hAnsi="Times New Roman"/>
                <w:b/>
                <w:bCs/>
                <w:snapToGrid w:val="0"/>
                <w:color w:val="auto"/>
                <w:szCs w:val="24"/>
                <w:highlight w:val="none"/>
                <w:lang w:val="en-US" w:eastAsia="zh-CN"/>
              </w:rPr>
              <w:t>四</w:t>
            </w:r>
            <w:r>
              <w:rPr>
                <w:rFonts w:hint="eastAsia" w:ascii="Times New Roman" w:hAnsi="Times New Roman"/>
                <w:b/>
                <w:bCs/>
                <w:snapToGrid w:val="0"/>
                <w:color w:val="auto"/>
                <w:szCs w:val="24"/>
                <w:highlight w:val="none"/>
              </w:rPr>
              <w:t>、固体废物</w:t>
            </w:r>
          </w:p>
          <w:p w14:paraId="79F98F84">
            <w:pPr>
              <w:pStyle w:val="19"/>
              <w:spacing w:before="0" w:beforeAutospacing="0" w:after="0" w:afterAutospacing="0" w:line="360" w:lineRule="auto"/>
              <w:ind w:firstLine="480" w:firstLineChars="200"/>
              <w:outlineLvl w:val="0"/>
              <w:rPr>
                <w:rFonts w:hint="eastAsia" w:ascii="Times New Roman" w:hAnsi="Times New Roman"/>
                <w:snapToGrid w:val="0"/>
                <w:color w:val="auto"/>
                <w:szCs w:val="24"/>
              </w:rPr>
            </w:pPr>
            <w:r>
              <w:rPr>
                <w:rFonts w:hint="eastAsia" w:ascii="Times New Roman" w:hAnsi="Times New Roman"/>
                <w:snapToGrid w:val="0"/>
                <w:color w:val="auto"/>
                <w:szCs w:val="24"/>
              </w:rPr>
              <w:t>本项目运营期主要固体废弃物为生活垃圾、一般固</w:t>
            </w:r>
            <w:r>
              <w:rPr>
                <w:rFonts w:hint="eastAsia" w:ascii="Times New Roman" w:hAnsi="Times New Roman"/>
                <w:snapToGrid w:val="0"/>
                <w:color w:val="auto"/>
                <w:szCs w:val="24"/>
                <w:lang w:val="en-US" w:eastAsia="zh-CN"/>
              </w:rPr>
              <w:t>体废物</w:t>
            </w:r>
            <w:r>
              <w:rPr>
                <w:rFonts w:hint="eastAsia" w:ascii="Times New Roman" w:hAnsi="Times New Roman"/>
                <w:snapToGrid w:val="0"/>
                <w:color w:val="auto"/>
                <w:szCs w:val="24"/>
              </w:rPr>
              <w:t>以及危险废物。</w:t>
            </w:r>
          </w:p>
          <w:p w14:paraId="2CDDD8E9">
            <w:pPr>
              <w:pStyle w:val="19"/>
              <w:numPr>
                <w:ilvl w:val="0"/>
                <w:numId w:val="12"/>
              </w:numPr>
              <w:spacing w:before="0" w:beforeAutospacing="0" w:after="0" w:afterAutospacing="0" w:line="360" w:lineRule="auto"/>
              <w:ind w:firstLine="480" w:firstLineChars="200"/>
              <w:outlineLvl w:val="0"/>
              <w:rPr>
                <w:rFonts w:ascii="Times New Roman" w:hAnsi="Times New Roman"/>
                <w:snapToGrid w:val="0"/>
                <w:color w:val="auto"/>
                <w:szCs w:val="24"/>
              </w:rPr>
            </w:pPr>
            <w:r>
              <w:rPr>
                <w:rFonts w:hint="eastAsia" w:ascii="Times New Roman" w:hAnsi="Times New Roman"/>
                <w:snapToGrid w:val="0"/>
                <w:color w:val="auto"/>
                <w:szCs w:val="24"/>
                <w:lang w:val="en-US" w:eastAsia="zh-CN"/>
              </w:rPr>
              <w:t>生活垃圾</w:t>
            </w:r>
            <w:r>
              <w:rPr>
                <w:rFonts w:hint="eastAsia" w:ascii="Times New Roman" w:hAnsi="Times New Roman"/>
                <w:snapToGrid w:val="0"/>
                <w:color w:val="auto"/>
                <w:szCs w:val="24"/>
                <w:lang w:eastAsia="zh-CN"/>
              </w:rPr>
              <w:t>（</w:t>
            </w:r>
            <w:r>
              <w:rPr>
                <w:rFonts w:hint="eastAsia" w:ascii="Times New Roman" w:hAnsi="Times New Roman"/>
                <w:snapToGrid w:val="0"/>
                <w:color w:val="auto"/>
                <w:szCs w:val="24"/>
                <w:lang w:val="en-US" w:eastAsia="zh-CN"/>
              </w:rPr>
              <w:t>S10</w:t>
            </w:r>
            <w:r>
              <w:rPr>
                <w:rFonts w:hint="eastAsia" w:ascii="Times New Roman" w:hAnsi="Times New Roman"/>
                <w:snapToGrid w:val="0"/>
                <w:color w:val="auto"/>
                <w:szCs w:val="24"/>
                <w:lang w:eastAsia="zh-CN"/>
              </w:rPr>
              <w:t>）</w:t>
            </w:r>
          </w:p>
          <w:p w14:paraId="5EF8FDD6">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snapToGrid w:val="0"/>
                <w:color w:val="auto"/>
                <w:szCs w:val="24"/>
                <w:lang w:val="en-US" w:eastAsia="zh-CN"/>
              </w:rPr>
            </w:pPr>
            <w:r>
              <w:rPr>
                <w:rFonts w:hint="eastAsia" w:ascii="Times New Roman" w:hAnsi="Times New Roman"/>
                <w:b/>
                <w:bCs/>
                <w:snapToGrid w:val="0"/>
                <w:color w:val="auto"/>
                <w:szCs w:val="24"/>
                <w:lang w:val="en-US" w:eastAsia="zh-CN"/>
              </w:rPr>
              <w:t>一期：</w:t>
            </w:r>
            <w:r>
              <w:rPr>
                <w:rFonts w:hint="eastAsia" w:ascii="Times New Roman" w:hAnsi="Times New Roman" w:eastAsia="宋体" w:cs="Times New Roman"/>
                <w:color w:val="auto"/>
                <w:sz w:val="24"/>
                <w:highlight w:val="none"/>
                <w:lang w:val="en-US" w:eastAsia="zh-CN"/>
              </w:rPr>
              <w:t>劳动定员37人，</w:t>
            </w:r>
            <w:r>
              <w:rPr>
                <w:rFonts w:hint="eastAsia" w:ascii="Times New Roman" w:hAnsi="Times New Roman"/>
                <w:snapToGrid w:val="0"/>
                <w:color w:val="auto"/>
                <w:szCs w:val="24"/>
              </w:rPr>
              <w:t>生活垃圾产生系数按0.5kg/d·人计算，</w:t>
            </w:r>
            <w:r>
              <w:rPr>
                <w:rFonts w:ascii="Times New Roman" w:hAnsi="Times New Roman"/>
                <w:snapToGrid w:val="0"/>
                <w:color w:val="auto"/>
                <w:szCs w:val="24"/>
              </w:rPr>
              <w:t>年工作时间为</w:t>
            </w:r>
            <w:r>
              <w:rPr>
                <w:rFonts w:hint="eastAsia" w:ascii="Times New Roman" w:hAnsi="Times New Roman"/>
                <w:snapToGrid w:val="0"/>
                <w:color w:val="auto"/>
                <w:szCs w:val="24"/>
              </w:rPr>
              <w:t>33</w:t>
            </w:r>
            <w:r>
              <w:rPr>
                <w:rFonts w:hint="eastAsia" w:ascii="Times New Roman" w:hAnsi="Times New Roman"/>
                <w:snapToGrid w:val="0"/>
                <w:color w:val="auto"/>
                <w:szCs w:val="24"/>
                <w:lang w:val="en-US" w:eastAsia="zh-CN"/>
              </w:rPr>
              <w:t>0</w:t>
            </w:r>
            <w:r>
              <w:rPr>
                <w:rFonts w:ascii="Times New Roman" w:hAnsi="Times New Roman"/>
                <w:snapToGrid w:val="0"/>
                <w:color w:val="auto"/>
                <w:szCs w:val="24"/>
              </w:rPr>
              <w:t>d</w:t>
            </w:r>
            <w:r>
              <w:rPr>
                <w:rFonts w:hint="eastAsia" w:ascii="Times New Roman" w:hAnsi="Times New Roman"/>
                <w:snapToGrid w:val="0"/>
                <w:color w:val="auto"/>
                <w:szCs w:val="24"/>
              </w:rPr>
              <w:t>，生活垃圾排放量</w:t>
            </w:r>
            <w:r>
              <w:rPr>
                <w:rFonts w:hint="eastAsia" w:ascii="Times New Roman" w:hAnsi="Times New Roman"/>
                <w:snapToGrid w:val="0"/>
                <w:color w:val="auto"/>
                <w:szCs w:val="24"/>
                <w:lang w:val="en-US" w:eastAsia="zh-CN"/>
              </w:rPr>
              <w:t>0.0185</w:t>
            </w:r>
            <w:r>
              <w:rPr>
                <w:rFonts w:hint="eastAsia" w:ascii="Times New Roman" w:hAnsi="Times New Roman"/>
                <w:snapToGrid w:val="0"/>
                <w:color w:val="auto"/>
                <w:szCs w:val="24"/>
              </w:rPr>
              <w:t>t/d（</w:t>
            </w:r>
            <w:r>
              <w:rPr>
                <w:rFonts w:hint="eastAsia" w:ascii="Times New Roman" w:hAnsi="Times New Roman"/>
                <w:snapToGrid w:val="0"/>
                <w:color w:val="auto"/>
                <w:szCs w:val="24"/>
                <w:lang w:val="en-US" w:eastAsia="zh-CN"/>
              </w:rPr>
              <w:t>6.105</w:t>
            </w:r>
            <w:r>
              <w:rPr>
                <w:rFonts w:hint="eastAsia" w:ascii="Times New Roman" w:hAnsi="Times New Roman"/>
                <w:snapToGrid w:val="0"/>
                <w:color w:val="auto"/>
                <w:szCs w:val="24"/>
              </w:rPr>
              <w:t>t/a），办公生活区收集设施集中收集，生活垃圾由园区环卫部门统一处理。</w:t>
            </w:r>
          </w:p>
          <w:p w14:paraId="60C509E3">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default" w:ascii="Times New Roman" w:hAnsi="Times New Roman"/>
                <w:snapToGrid w:val="0"/>
                <w:color w:val="auto"/>
                <w:szCs w:val="24"/>
                <w:lang w:val="en-US" w:eastAsia="zh-CN"/>
              </w:rPr>
            </w:pPr>
            <w:r>
              <w:rPr>
                <w:rFonts w:hint="eastAsia" w:ascii="Times New Roman" w:hAnsi="Times New Roman"/>
                <w:b/>
                <w:bCs/>
                <w:snapToGrid w:val="0"/>
                <w:color w:val="auto"/>
                <w:szCs w:val="24"/>
                <w:lang w:val="en-US" w:eastAsia="zh-CN"/>
              </w:rPr>
              <w:t>二期：</w:t>
            </w:r>
            <w:r>
              <w:rPr>
                <w:rFonts w:hint="eastAsia" w:ascii="Times New Roman" w:hAnsi="Times New Roman" w:eastAsia="宋体" w:cs="Times New Roman"/>
                <w:color w:val="auto"/>
                <w:sz w:val="24"/>
                <w:highlight w:val="none"/>
                <w:lang w:val="en-US" w:eastAsia="zh-CN"/>
              </w:rPr>
              <w:t>劳动定员新增27人，</w:t>
            </w:r>
            <w:r>
              <w:rPr>
                <w:rFonts w:hint="eastAsia" w:ascii="Times New Roman" w:hAnsi="Times New Roman"/>
                <w:snapToGrid w:val="0"/>
                <w:color w:val="auto"/>
                <w:szCs w:val="24"/>
              </w:rPr>
              <w:t>生活垃圾产生系数按0.5kg/d·人计算，</w:t>
            </w:r>
            <w:r>
              <w:rPr>
                <w:rFonts w:ascii="Times New Roman" w:hAnsi="Times New Roman"/>
                <w:snapToGrid w:val="0"/>
                <w:color w:val="auto"/>
                <w:szCs w:val="24"/>
              </w:rPr>
              <w:t>年工作时间为</w:t>
            </w:r>
            <w:r>
              <w:rPr>
                <w:rFonts w:hint="eastAsia" w:ascii="Times New Roman" w:hAnsi="Times New Roman"/>
                <w:snapToGrid w:val="0"/>
                <w:color w:val="auto"/>
                <w:szCs w:val="24"/>
              </w:rPr>
              <w:t>33</w:t>
            </w:r>
            <w:r>
              <w:rPr>
                <w:rFonts w:hint="eastAsia" w:ascii="Times New Roman" w:hAnsi="Times New Roman"/>
                <w:snapToGrid w:val="0"/>
                <w:color w:val="auto"/>
                <w:szCs w:val="24"/>
                <w:lang w:val="en-US" w:eastAsia="zh-CN"/>
              </w:rPr>
              <w:t>0</w:t>
            </w:r>
            <w:r>
              <w:rPr>
                <w:rFonts w:ascii="Times New Roman" w:hAnsi="Times New Roman"/>
                <w:snapToGrid w:val="0"/>
                <w:color w:val="auto"/>
                <w:szCs w:val="24"/>
              </w:rPr>
              <w:t>d</w:t>
            </w:r>
            <w:r>
              <w:rPr>
                <w:rFonts w:hint="eastAsia" w:ascii="Times New Roman" w:hAnsi="Times New Roman"/>
                <w:snapToGrid w:val="0"/>
                <w:color w:val="auto"/>
                <w:szCs w:val="24"/>
              </w:rPr>
              <w:t>，生活垃圾排放量</w:t>
            </w:r>
            <w:r>
              <w:rPr>
                <w:rFonts w:hint="eastAsia" w:ascii="Times New Roman" w:hAnsi="Times New Roman"/>
                <w:snapToGrid w:val="0"/>
                <w:color w:val="auto"/>
                <w:szCs w:val="24"/>
                <w:lang w:val="en-US" w:eastAsia="zh-CN"/>
              </w:rPr>
              <w:t>0.0135</w:t>
            </w:r>
            <w:r>
              <w:rPr>
                <w:rFonts w:hint="eastAsia" w:ascii="Times New Roman" w:hAnsi="Times New Roman"/>
                <w:snapToGrid w:val="0"/>
                <w:color w:val="auto"/>
                <w:szCs w:val="24"/>
              </w:rPr>
              <w:t>t/d（</w:t>
            </w:r>
            <w:r>
              <w:rPr>
                <w:rFonts w:hint="eastAsia" w:ascii="Times New Roman" w:hAnsi="Times New Roman"/>
                <w:snapToGrid w:val="0"/>
                <w:color w:val="auto"/>
                <w:szCs w:val="24"/>
                <w:lang w:val="en-US" w:eastAsia="zh-CN"/>
              </w:rPr>
              <w:t>4.455</w:t>
            </w:r>
            <w:r>
              <w:rPr>
                <w:rFonts w:hint="eastAsia" w:ascii="Times New Roman" w:hAnsi="Times New Roman"/>
                <w:snapToGrid w:val="0"/>
                <w:color w:val="auto"/>
                <w:szCs w:val="24"/>
              </w:rPr>
              <w:t>t/a），办公生活区收集设施集中收集，生活垃圾由园区环卫部门统一处理。</w:t>
            </w:r>
          </w:p>
          <w:p w14:paraId="0DD55B61">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ascii="Times New Roman" w:hAnsi="Times New Roman"/>
                <w:snapToGrid w:val="0"/>
                <w:color w:val="auto"/>
                <w:szCs w:val="24"/>
              </w:rPr>
            </w:pPr>
            <w:r>
              <w:rPr>
                <w:rFonts w:hint="eastAsia" w:ascii="Times New Roman" w:hAnsi="Times New Roman"/>
                <w:snapToGrid w:val="0"/>
                <w:color w:val="auto"/>
                <w:szCs w:val="24"/>
                <w:lang w:val="en-US" w:eastAsia="zh-CN"/>
              </w:rPr>
              <w:t>本项目</w:t>
            </w:r>
            <w:r>
              <w:rPr>
                <w:rFonts w:hint="eastAsia" w:ascii="Times New Roman" w:hAnsi="Times New Roman" w:eastAsia="宋体" w:cs="Times New Roman"/>
                <w:color w:val="auto"/>
                <w:sz w:val="24"/>
                <w:highlight w:val="none"/>
                <w:lang w:val="en-US" w:eastAsia="zh-CN"/>
              </w:rPr>
              <w:t>全部建成后劳动定员为64人</w:t>
            </w:r>
            <w:r>
              <w:rPr>
                <w:rFonts w:hint="eastAsia" w:ascii="Times New Roman" w:hAnsi="Times New Roman"/>
                <w:snapToGrid w:val="0"/>
                <w:color w:val="auto"/>
                <w:szCs w:val="24"/>
              </w:rPr>
              <w:t>，生活垃圾产生系数按0.5kg/d·人计算，</w:t>
            </w:r>
            <w:r>
              <w:rPr>
                <w:rFonts w:ascii="Times New Roman" w:hAnsi="Times New Roman"/>
                <w:snapToGrid w:val="0"/>
                <w:color w:val="auto"/>
                <w:szCs w:val="24"/>
              </w:rPr>
              <w:t>年工作时间为</w:t>
            </w:r>
            <w:r>
              <w:rPr>
                <w:rFonts w:hint="eastAsia" w:ascii="Times New Roman" w:hAnsi="Times New Roman"/>
                <w:snapToGrid w:val="0"/>
                <w:color w:val="auto"/>
                <w:szCs w:val="24"/>
              </w:rPr>
              <w:t>33</w:t>
            </w:r>
            <w:r>
              <w:rPr>
                <w:rFonts w:hint="eastAsia" w:ascii="Times New Roman" w:hAnsi="Times New Roman"/>
                <w:snapToGrid w:val="0"/>
                <w:color w:val="auto"/>
                <w:szCs w:val="24"/>
                <w:lang w:val="en-US" w:eastAsia="zh-CN"/>
              </w:rPr>
              <w:t>0</w:t>
            </w:r>
            <w:r>
              <w:rPr>
                <w:rFonts w:ascii="Times New Roman" w:hAnsi="Times New Roman"/>
                <w:snapToGrid w:val="0"/>
                <w:color w:val="auto"/>
                <w:szCs w:val="24"/>
              </w:rPr>
              <w:t>d</w:t>
            </w:r>
            <w:r>
              <w:rPr>
                <w:rFonts w:hint="eastAsia" w:ascii="Times New Roman" w:hAnsi="Times New Roman"/>
                <w:snapToGrid w:val="0"/>
                <w:color w:val="auto"/>
                <w:szCs w:val="24"/>
              </w:rPr>
              <w:t>，生活垃圾排放量</w:t>
            </w:r>
            <w:r>
              <w:rPr>
                <w:rFonts w:hint="eastAsia" w:ascii="Times New Roman" w:hAnsi="Times New Roman"/>
                <w:snapToGrid w:val="0"/>
                <w:color w:val="auto"/>
                <w:szCs w:val="24"/>
                <w:lang w:val="en-US" w:eastAsia="zh-CN"/>
              </w:rPr>
              <w:t>0.032</w:t>
            </w:r>
            <w:r>
              <w:rPr>
                <w:rFonts w:hint="eastAsia" w:ascii="Times New Roman" w:hAnsi="Times New Roman"/>
                <w:snapToGrid w:val="0"/>
                <w:color w:val="auto"/>
                <w:szCs w:val="24"/>
              </w:rPr>
              <w:t>t/d（</w:t>
            </w:r>
            <w:r>
              <w:rPr>
                <w:rFonts w:hint="eastAsia" w:ascii="Times New Roman" w:hAnsi="Times New Roman"/>
                <w:snapToGrid w:val="0"/>
                <w:color w:val="auto"/>
                <w:szCs w:val="24"/>
                <w:lang w:val="en-US" w:eastAsia="zh-CN"/>
              </w:rPr>
              <w:t>10.56</w:t>
            </w:r>
            <w:r>
              <w:rPr>
                <w:rFonts w:hint="eastAsia" w:ascii="Times New Roman" w:hAnsi="Times New Roman"/>
                <w:snapToGrid w:val="0"/>
                <w:color w:val="auto"/>
                <w:szCs w:val="24"/>
              </w:rPr>
              <w:t>t/a），办公生活区收集设施集中收集，生活垃圾由园区环卫部门统一处理。</w:t>
            </w:r>
          </w:p>
          <w:p w14:paraId="6B848647">
            <w:pPr>
              <w:pStyle w:val="19"/>
              <w:numPr>
                <w:ilvl w:val="0"/>
                <w:numId w:val="12"/>
              </w:numPr>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snapToGrid w:val="0"/>
                <w:color w:val="auto"/>
                <w:szCs w:val="24"/>
                <w:highlight w:val="none"/>
              </w:rPr>
              <w:t>一般固</w:t>
            </w:r>
            <w:r>
              <w:rPr>
                <w:rFonts w:hint="eastAsia" w:ascii="Times New Roman" w:hAnsi="Times New Roman"/>
                <w:snapToGrid w:val="0"/>
                <w:color w:val="auto"/>
                <w:szCs w:val="24"/>
                <w:highlight w:val="none"/>
                <w:lang w:val="en-US" w:eastAsia="zh-CN"/>
              </w:rPr>
              <w:t>体废物</w:t>
            </w:r>
          </w:p>
          <w:p w14:paraId="7BB9B294">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eastAsia="宋体" w:cs="Times New Roman"/>
                <w:bCs/>
                <w:color w:val="auto"/>
                <w:szCs w:val="21"/>
                <w:highlight w:val="none"/>
                <w:lang w:val="en-US" w:eastAsia="zh-CN"/>
              </w:rPr>
            </w:pPr>
            <w:r>
              <w:rPr>
                <w:rFonts w:hint="eastAsia" w:ascii="Times New Roman" w:hAnsi="Times New Roman"/>
                <w:snapToGrid w:val="0"/>
                <w:color w:val="auto"/>
                <w:szCs w:val="24"/>
                <w:highlight w:val="none"/>
                <w:lang w:val="en-US" w:eastAsia="zh-CN"/>
              </w:rPr>
              <w:t>①</w:t>
            </w:r>
            <w:r>
              <w:rPr>
                <w:rFonts w:hint="eastAsia" w:ascii="Times New Roman" w:hAnsi="Times New Roman" w:cs="Times New Roman"/>
                <w:bCs/>
                <w:color w:val="auto"/>
                <w:szCs w:val="21"/>
                <w:highlight w:val="none"/>
                <w:lang w:val="en-US" w:eastAsia="zh-CN"/>
              </w:rPr>
              <w:t>切割粉尘</w:t>
            </w:r>
            <w:r>
              <w:rPr>
                <w:rFonts w:hint="eastAsia" w:ascii="Times New Roman" w:hAnsi="Times New Roman" w:eastAsia="宋体" w:cs="Times New Roman"/>
                <w:bCs/>
                <w:color w:val="auto"/>
                <w:szCs w:val="21"/>
                <w:highlight w:val="none"/>
                <w:lang w:val="en-US" w:eastAsia="zh-CN"/>
              </w:rPr>
              <w:t>（S</w:t>
            </w:r>
            <w:r>
              <w:rPr>
                <w:rFonts w:hint="eastAsia" w:ascii="Times New Roman" w:hAnsi="Times New Roman" w:cs="Times New Roman"/>
                <w:bCs/>
                <w:color w:val="auto"/>
                <w:szCs w:val="21"/>
                <w:highlight w:val="none"/>
                <w:lang w:val="en-US" w:eastAsia="zh-CN"/>
              </w:rPr>
              <w:t>4</w:t>
            </w:r>
            <w:r>
              <w:rPr>
                <w:rFonts w:hint="eastAsia" w:ascii="Times New Roman" w:hAnsi="Times New Roman" w:eastAsia="宋体" w:cs="Times New Roman"/>
                <w:bCs/>
                <w:color w:val="auto"/>
                <w:szCs w:val="21"/>
                <w:highlight w:val="none"/>
                <w:lang w:val="en-US" w:eastAsia="zh-CN"/>
              </w:rPr>
              <w:t>）</w:t>
            </w:r>
            <w:r>
              <w:rPr>
                <w:rFonts w:hint="eastAsia" w:ascii="Times New Roman" w:hAnsi="Times New Roman" w:cs="Times New Roman"/>
                <w:bCs/>
                <w:color w:val="auto"/>
                <w:szCs w:val="21"/>
                <w:highlight w:val="none"/>
                <w:lang w:val="en-US" w:eastAsia="zh-CN"/>
              </w:rPr>
              <w:t>、打磨粉尘</w:t>
            </w:r>
            <w:r>
              <w:rPr>
                <w:rFonts w:hint="eastAsia" w:ascii="Times New Roman" w:hAnsi="Times New Roman" w:eastAsia="宋体" w:cs="Times New Roman"/>
                <w:bCs/>
                <w:color w:val="auto"/>
                <w:szCs w:val="21"/>
                <w:highlight w:val="none"/>
                <w:lang w:val="en-US" w:eastAsia="zh-CN"/>
              </w:rPr>
              <w:t>（S</w:t>
            </w:r>
            <w:r>
              <w:rPr>
                <w:rFonts w:hint="eastAsia" w:ascii="Times New Roman" w:hAnsi="Times New Roman" w:cs="Times New Roman"/>
                <w:bCs/>
                <w:color w:val="auto"/>
                <w:szCs w:val="21"/>
                <w:highlight w:val="none"/>
                <w:lang w:val="en-US" w:eastAsia="zh-CN"/>
              </w:rPr>
              <w:t>5</w:t>
            </w:r>
            <w:r>
              <w:rPr>
                <w:rFonts w:hint="eastAsia" w:ascii="Times New Roman" w:hAnsi="Times New Roman" w:eastAsia="宋体" w:cs="Times New Roman"/>
                <w:bCs/>
                <w:color w:val="auto"/>
                <w:szCs w:val="21"/>
                <w:highlight w:val="none"/>
                <w:lang w:val="en-US" w:eastAsia="zh-CN"/>
              </w:rPr>
              <w:t>）</w:t>
            </w:r>
          </w:p>
          <w:p w14:paraId="51744AEA">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color w:val="auto"/>
                <w:sz w:val="24"/>
                <w:highlight w:val="none"/>
                <w:lang w:val="en-US" w:eastAsia="zh-CN"/>
              </w:rPr>
            </w:pPr>
            <w:r>
              <w:rPr>
                <w:rFonts w:hint="eastAsia"/>
                <w:color w:val="auto"/>
                <w:sz w:val="24"/>
                <w:highlight w:val="none"/>
                <w:lang w:val="en-US" w:eastAsia="zh-CN"/>
              </w:rPr>
              <w:t>切割、打磨工序在密闭环境中完成，产生的粉末由自带的吸尘管道收集，管道链接外置吸尘器由收集容器收集，不外排。本项年生产</w:t>
            </w:r>
            <w:r>
              <w:rPr>
                <w:rFonts w:hint="eastAsia" w:ascii="Times New Roman" w:hAnsi="Times New Roman" w:cs="Times New Roman"/>
                <w:bCs/>
                <w:color w:val="auto"/>
                <w:szCs w:val="21"/>
                <w:highlight w:val="none"/>
                <w:lang w:val="en-US" w:eastAsia="zh-CN"/>
              </w:rPr>
              <w:t>120万米环氧玻璃纤维高压管道，6m切割1次；分为两次建设，一期60万米环氧玻璃纤维高压管道，二期60万米环氧玻璃纤维高压管道；该过程产生粉尘如下计算：</w:t>
            </w:r>
          </w:p>
          <w:p w14:paraId="6F300DC4">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eastAsia="宋体" w:cs="Times New Roman"/>
                <w:bCs/>
                <w:color w:val="auto"/>
                <w:szCs w:val="21"/>
                <w:highlight w:val="none"/>
                <w:lang w:val="en-US" w:eastAsia="zh-CN"/>
              </w:rPr>
            </w:pPr>
            <w:r>
              <w:rPr>
                <w:rFonts w:hint="eastAsia"/>
                <w:b/>
                <w:bCs/>
                <w:color w:val="auto"/>
                <w:sz w:val="24"/>
                <w:highlight w:val="none"/>
                <w:lang w:val="en-US" w:eastAsia="zh-CN"/>
              </w:rPr>
              <w:t>一期：</w:t>
            </w:r>
            <w:r>
              <w:rPr>
                <w:rFonts w:hint="eastAsia" w:ascii="Times New Roman" w:hAnsi="Times New Roman" w:cs="Times New Roman"/>
                <w:bCs/>
                <w:color w:val="auto"/>
                <w:szCs w:val="21"/>
                <w:highlight w:val="none"/>
                <w:lang w:val="en-US" w:eastAsia="zh-CN"/>
              </w:rPr>
              <w:t>切割粉尘</w:t>
            </w:r>
            <w:r>
              <w:rPr>
                <w:rFonts w:hint="eastAsia" w:ascii="Times New Roman" w:hAnsi="Times New Roman" w:eastAsia="宋体" w:cs="Times New Roman"/>
                <w:bCs/>
                <w:color w:val="auto"/>
                <w:szCs w:val="21"/>
                <w:highlight w:val="none"/>
                <w:lang w:val="en-US" w:eastAsia="zh-CN"/>
              </w:rPr>
              <w:t>（S</w:t>
            </w:r>
            <w:r>
              <w:rPr>
                <w:rFonts w:hint="eastAsia" w:ascii="Times New Roman" w:hAnsi="Times New Roman" w:cs="Times New Roman"/>
                <w:bCs/>
                <w:color w:val="auto"/>
                <w:szCs w:val="21"/>
                <w:highlight w:val="none"/>
                <w:lang w:val="en-US" w:eastAsia="zh-CN"/>
              </w:rPr>
              <w:t>4</w:t>
            </w:r>
            <w:r>
              <w:rPr>
                <w:rFonts w:hint="eastAsia" w:ascii="Times New Roman" w:hAnsi="Times New Roman" w:eastAsia="宋体" w:cs="Times New Roman"/>
                <w:bCs/>
                <w:color w:val="auto"/>
                <w:szCs w:val="21"/>
                <w:highlight w:val="none"/>
                <w:lang w:val="en-US" w:eastAsia="zh-CN"/>
              </w:rPr>
              <w:t>）：根据《排放源统计调查产排污核算方法和系数手册》(公告 2021年第24号)中的“3062玻璃纤维增强塑料制品制造行业”给出的缠绕工艺切割成型环节颗粒物产污系数为3.5kg/t产品，</w:t>
            </w:r>
            <w:r>
              <w:rPr>
                <w:rFonts w:hint="eastAsia" w:ascii="Times New Roman" w:hAnsi="Times New Roman" w:cs="Times New Roman"/>
                <w:bCs/>
                <w:color w:val="auto"/>
                <w:szCs w:val="21"/>
                <w:highlight w:val="none"/>
                <w:lang w:val="en-US" w:eastAsia="zh-CN"/>
              </w:rPr>
              <w:t>本项目60万米环氧玻璃纤维高压管道产品重量为11304吨，</w:t>
            </w:r>
            <w:r>
              <w:rPr>
                <w:rFonts w:hint="eastAsia" w:ascii="Times New Roman" w:hAnsi="Times New Roman" w:eastAsia="宋体" w:cs="Times New Roman"/>
                <w:bCs/>
                <w:color w:val="auto"/>
                <w:szCs w:val="21"/>
                <w:highlight w:val="none"/>
                <w:lang w:val="en-US" w:eastAsia="zh-CN"/>
              </w:rPr>
              <w:t>则本项目切割工序粉尘产生量为</w:t>
            </w:r>
            <w:r>
              <w:rPr>
                <w:rFonts w:hint="eastAsia" w:ascii="Times New Roman" w:hAnsi="Times New Roman" w:cs="Times New Roman"/>
                <w:bCs/>
                <w:color w:val="auto"/>
                <w:szCs w:val="21"/>
                <w:highlight w:val="none"/>
                <w:lang w:val="en-US" w:eastAsia="zh-CN"/>
              </w:rPr>
              <w:t>39.564</w:t>
            </w:r>
            <w:r>
              <w:rPr>
                <w:rFonts w:hint="eastAsia" w:ascii="Times New Roman" w:hAnsi="Times New Roman" w:eastAsia="宋体" w:cs="Times New Roman"/>
                <w:bCs/>
                <w:color w:val="auto"/>
                <w:szCs w:val="21"/>
                <w:highlight w:val="none"/>
                <w:lang w:val="en-US" w:eastAsia="zh-CN"/>
              </w:rPr>
              <w:t>t/a。</w:t>
            </w:r>
          </w:p>
          <w:p w14:paraId="304793B7">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打磨粉尘</w:t>
            </w:r>
            <w:r>
              <w:rPr>
                <w:rFonts w:hint="eastAsia" w:ascii="Times New Roman" w:hAnsi="Times New Roman" w:eastAsia="宋体" w:cs="Times New Roman"/>
                <w:bCs/>
                <w:color w:val="auto"/>
                <w:szCs w:val="21"/>
                <w:highlight w:val="none"/>
                <w:lang w:val="en-US" w:eastAsia="zh-CN"/>
              </w:rPr>
              <w:t>（S</w:t>
            </w:r>
            <w:r>
              <w:rPr>
                <w:rFonts w:hint="eastAsia" w:ascii="Times New Roman" w:hAnsi="Times New Roman" w:cs="Times New Roman"/>
                <w:bCs/>
                <w:color w:val="auto"/>
                <w:szCs w:val="21"/>
                <w:highlight w:val="none"/>
                <w:lang w:val="en-US" w:eastAsia="zh-CN"/>
              </w:rPr>
              <w:t>5</w:t>
            </w:r>
            <w:r>
              <w:rPr>
                <w:rFonts w:hint="eastAsia" w:ascii="Times New Roman" w:hAnsi="Times New Roman" w:eastAsia="宋体" w:cs="Times New Roman"/>
                <w:bCs/>
                <w:color w:val="auto"/>
                <w:szCs w:val="21"/>
                <w:highlight w:val="none"/>
                <w:lang w:val="en-US" w:eastAsia="zh-CN"/>
              </w:rPr>
              <w:t>）</w:t>
            </w:r>
            <w:r>
              <w:rPr>
                <w:rFonts w:hint="eastAsia" w:ascii="Times New Roman" w:hAnsi="Times New Roman" w:cs="Times New Roman"/>
                <w:bCs/>
                <w:color w:val="auto"/>
                <w:szCs w:val="21"/>
                <w:highlight w:val="none"/>
                <w:lang w:val="en-US" w:eastAsia="zh-CN"/>
              </w:rPr>
              <w:t>：修整是管道修整环节便于管道连接，修整采用打磨，经查阅《三废处理工程技术手册 废气卷》，修整工序粉尘的产生量按修整物料的0.4%左右计，项目需修整的物料量为11304t/a，则修整工序粉尘产生量为45.216t/a。</w:t>
            </w:r>
          </w:p>
          <w:p w14:paraId="61E01C17">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cs="Times New Roman"/>
                <w:bCs/>
                <w:color w:val="auto"/>
                <w:szCs w:val="21"/>
                <w:highlight w:val="none"/>
                <w:lang w:val="en-US" w:eastAsia="zh-CN"/>
              </w:rPr>
            </w:pPr>
            <w:r>
              <w:rPr>
                <w:rFonts w:hint="eastAsia"/>
                <w:bCs/>
                <w:color w:val="auto"/>
                <w:szCs w:val="21"/>
                <w:highlight w:val="none"/>
                <w:lang w:val="en-US" w:eastAsia="zh-CN"/>
              </w:rPr>
              <w:t>切割在密闭设备内进行操作，</w:t>
            </w:r>
            <w:r>
              <w:rPr>
                <w:rFonts w:hint="eastAsia"/>
                <w:snapToGrid w:val="0"/>
                <w:color w:val="auto"/>
                <w:kern w:val="0"/>
                <w:sz w:val="24"/>
                <w:highlight w:val="none"/>
              </w:rPr>
              <w:t>共计收</w:t>
            </w:r>
            <w:r>
              <w:rPr>
                <w:rFonts w:hint="eastAsia" w:ascii="Times New Roman" w:hAnsi="Times New Roman" w:eastAsia="宋体" w:cs="Times New Roman"/>
                <w:snapToGrid w:val="0"/>
                <w:color w:val="auto"/>
                <w:szCs w:val="24"/>
                <w:highlight w:val="none"/>
              </w:rPr>
              <w:t>集</w:t>
            </w:r>
            <w:r>
              <w:rPr>
                <w:rFonts w:hint="eastAsia" w:ascii="Times New Roman" w:hAnsi="Times New Roman" w:eastAsia="宋体" w:cs="Times New Roman"/>
                <w:snapToGrid w:val="0"/>
                <w:color w:val="auto"/>
                <w:szCs w:val="24"/>
                <w:highlight w:val="none"/>
                <w:lang w:val="en-US" w:eastAsia="zh-CN"/>
              </w:rPr>
              <w:t>切割</w:t>
            </w:r>
            <w:r>
              <w:rPr>
                <w:rFonts w:hint="eastAsia" w:ascii="Times New Roman" w:hAnsi="Times New Roman" w:cs="Times New Roman"/>
                <w:snapToGrid w:val="0"/>
                <w:color w:val="auto"/>
                <w:szCs w:val="24"/>
                <w:highlight w:val="none"/>
                <w:lang w:val="en-US" w:eastAsia="zh-CN"/>
              </w:rPr>
              <w:t>、打磨粉尘84.78</w:t>
            </w:r>
            <w:r>
              <w:rPr>
                <w:rFonts w:hint="eastAsia" w:ascii="Times New Roman" w:hAnsi="Times New Roman" w:eastAsia="宋体" w:cs="Times New Roman"/>
                <w:snapToGrid w:val="0"/>
                <w:color w:val="auto"/>
                <w:szCs w:val="24"/>
                <w:highlight w:val="none"/>
              </w:rPr>
              <w:t>t/a，</w:t>
            </w:r>
            <w:r>
              <w:rPr>
                <w:rFonts w:hint="eastAsia"/>
                <w:bCs/>
                <w:color w:val="auto"/>
                <w:szCs w:val="21"/>
                <w:highlight w:val="none"/>
                <w:lang w:val="en-US" w:eastAsia="zh-CN"/>
              </w:rPr>
              <w:t>粉尘不外排，收集后暂存一般固废间，</w:t>
            </w:r>
            <w:r>
              <w:rPr>
                <w:rFonts w:hint="eastAsia"/>
                <w:bCs/>
                <w:color w:val="auto"/>
                <w:szCs w:val="21"/>
                <w:highlight w:val="none"/>
              </w:rPr>
              <w:t>交由一般固废处置单位处置。</w:t>
            </w:r>
          </w:p>
          <w:p w14:paraId="76EAF82B">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eastAsia="宋体" w:cs="Times New Roman"/>
                <w:bCs/>
                <w:color w:val="auto"/>
                <w:szCs w:val="21"/>
                <w:highlight w:val="none"/>
                <w:lang w:val="en-US" w:eastAsia="zh-CN"/>
              </w:rPr>
            </w:pPr>
            <w:r>
              <w:rPr>
                <w:rFonts w:hint="eastAsia"/>
                <w:b/>
                <w:bCs/>
                <w:color w:val="auto"/>
                <w:sz w:val="24"/>
                <w:highlight w:val="none"/>
                <w:lang w:val="en-US" w:eastAsia="zh-CN"/>
              </w:rPr>
              <w:t>二期：</w:t>
            </w:r>
            <w:r>
              <w:rPr>
                <w:rFonts w:hint="eastAsia" w:ascii="Times New Roman" w:hAnsi="Times New Roman" w:cs="Times New Roman"/>
                <w:bCs/>
                <w:color w:val="auto"/>
                <w:szCs w:val="21"/>
                <w:highlight w:val="none"/>
                <w:lang w:val="en-US" w:eastAsia="zh-CN"/>
              </w:rPr>
              <w:t>切割粉尘</w:t>
            </w:r>
            <w:r>
              <w:rPr>
                <w:rFonts w:hint="eastAsia" w:ascii="Times New Roman" w:hAnsi="Times New Roman" w:eastAsia="宋体" w:cs="Times New Roman"/>
                <w:bCs/>
                <w:color w:val="auto"/>
                <w:szCs w:val="21"/>
                <w:highlight w:val="none"/>
                <w:lang w:val="en-US" w:eastAsia="zh-CN"/>
              </w:rPr>
              <w:t>（S</w:t>
            </w:r>
            <w:r>
              <w:rPr>
                <w:rFonts w:hint="eastAsia" w:ascii="Times New Roman" w:hAnsi="Times New Roman" w:cs="Times New Roman"/>
                <w:bCs/>
                <w:color w:val="auto"/>
                <w:szCs w:val="21"/>
                <w:highlight w:val="none"/>
                <w:lang w:val="en-US" w:eastAsia="zh-CN"/>
              </w:rPr>
              <w:t>4</w:t>
            </w:r>
            <w:r>
              <w:rPr>
                <w:rFonts w:hint="eastAsia" w:ascii="Times New Roman" w:hAnsi="Times New Roman" w:eastAsia="宋体" w:cs="Times New Roman"/>
                <w:bCs/>
                <w:color w:val="auto"/>
                <w:szCs w:val="21"/>
                <w:highlight w:val="none"/>
                <w:lang w:val="en-US" w:eastAsia="zh-CN"/>
              </w:rPr>
              <w:t>）：根据《排放源统计调查产排污核算方法和系数手册》(公告 2021年第24号)中的“3062玻璃纤维增强塑料制品制造行业”给出的缠绕工艺切割成型环节颗粒物产污系数为3.5kg/t产品，</w:t>
            </w:r>
            <w:r>
              <w:rPr>
                <w:rFonts w:hint="eastAsia" w:ascii="Times New Roman" w:hAnsi="Times New Roman" w:cs="Times New Roman"/>
                <w:bCs/>
                <w:color w:val="auto"/>
                <w:szCs w:val="21"/>
                <w:highlight w:val="none"/>
                <w:lang w:val="en-US" w:eastAsia="zh-CN"/>
              </w:rPr>
              <w:t>本项目60万米环氧玻璃纤维高压管道产品重量为11304吨，</w:t>
            </w:r>
            <w:r>
              <w:rPr>
                <w:rFonts w:hint="eastAsia" w:ascii="Times New Roman" w:hAnsi="Times New Roman" w:eastAsia="宋体" w:cs="Times New Roman"/>
                <w:bCs/>
                <w:color w:val="auto"/>
                <w:szCs w:val="21"/>
                <w:highlight w:val="none"/>
                <w:lang w:val="en-US" w:eastAsia="zh-CN"/>
              </w:rPr>
              <w:t>则本项目切割工序粉尘产生量为</w:t>
            </w:r>
            <w:r>
              <w:rPr>
                <w:rFonts w:hint="eastAsia" w:ascii="Times New Roman" w:hAnsi="Times New Roman" w:cs="Times New Roman"/>
                <w:bCs/>
                <w:color w:val="auto"/>
                <w:szCs w:val="21"/>
                <w:highlight w:val="none"/>
                <w:lang w:val="en-US" w:eastAsia="zh-CN"/>
              </w:rPr>
              <w:t>39.564</w:t>
            </w:r>
            <w:r>
              <w:rPr>
                <w:rFonts w:hint="eastAsia" w:ascii="Times New Roman" w:hAnsi="Times New Roman" w:eastAsia="宋体" w:cs="Times New Roman"/>
                <w:bCs/>
                <w:color w:val="auto"/>
                <w:szCs w:val="21"/>
                <w:highlight w:val="none"/>
                <w:lang w:val="en-US" w:eastAsia="zh-CN"/>
              </w:rPr>
              <w:t>t/a。</w:t>
            </w:r>
          </w:p>
          <w:p w14:paraId="0597EABA">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打磨粉尘</w:t>
            </w:r>
            <w:r>
              <w:rPr>
                <w:rFonts w:hint="eastAsia" w:ascii="Times New Roman" w:hAnsi="Times New Roman" w:eastAsia="宋体" w:cs="Times New Roman"/>
                <w:bCs/>
                <w:color w:val="auto"/>
                <w:szCs w:val="21"/>
                <w:highlight w:val="none"/>
                <w:lang w:val="en-US" w:eastAsia="zh-CN"/>
              </w:rPr>
              <w:t>（S</w:t>
            </w:r>
            <w:r>
              <w:rPr>
                <w:rFonts w:hint="eastAsia" w:ascii="Times New Roman" w:hAnsi="Times New Roman" w:cs="Times New Roman"/>
                <w:bCs/>
                <w:color w:val="auto"/>
                <w:szCs w:val="21"/>
                <w:highlight w:val="none"/>
                <w:lang w:val="en-US" w:eastAsia="zh-CN"/>
              </w:rPr>
              <w:t>5</w:t>
            </w:r>
            <w:r>
              <w:rPr>
                <w:rFonts w:hint="eastAsia" w:ascii="Times New Roman" w:hAnsi="Times New Roman" w:eastAsia="宋体" w:cs="Times New Roman"/>
                <w:bCs/>
                <w:color w:val="auto"/>
                <w:szCs w:val="21"/>
                <w:highlight w:val="none"/>
                <w:lang w:val="en-US" w:eastAsia="zh-CN"/>
              </w:rPr>
              <w:t>）</w:t>
            </w:r>
            <w:r>
              <w:rPr>
                <w:rFonts w:hint="eastAsia" w:ascii="Times New Roman" w:hAnsi="Times New Roman" w:cs="Times New Roman"/>
                <w:bCs/>
                <w:color w:val="auto"/>
                <w:szCs w:val="21"/>
                <w:highlight w:val="none"/>
                <w:lang w:val="en-US" w:eastAsia="zh-CN"/>
              </w:rPr>
              <w:t>：修整是管道修整环节便于管道连接，修整采用打磨，经查阅《三废处理工程技术手册 废气卷》，修整工序粉尘的产生量按修整物料的0.4%左右计，项目需修整的物料量为11304t/a，则修整工序粉尘产生量为45.216t/a。</w:t>
            </w:r>
          </w:p>
          <w:p w14:paraId="1F84D163">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cs="Times New Roman"/>
                <w:bCs/>
                <w:color w:val="auto"/>
                <w:szCs w:val="21"/>
                <w:highlight w:val="none"/>
                <w:lang w:val="en-US" w:eastAsia="zh-CN"/>
              </w:rPr>
            </w:pPr>
            <w:r>
              <w:rPr>
                <w:rFonts w:hint="eastAsia"/>
                <w:bCs/>
                <w:color w:val="auto"/>
                <w:szCs w:val="21"/>
                <w:highlight w:val="none"/>
                <w:lang w:val="en-US" w:eastAsia="zh-CN"/>
              </w:rPr>
              <w:t>切割在密闭设备内进行操作，</w:t>
            </w:r>
            <w:r>
              <w:rPr>
                <w:rFonts w:hint="eastAsia"/>
                <w:snapToGrid w:val="0"/>
                <w:color w:val="auto"/>
                <w:kern w:val="0"/>
                <w:sz w:val="24"/>
                <w:highlight w:val="none"/>
              </w:rPr>
              <w:t>共计收</w:t>
            </w:r>
            <w:r>
              <w:rPr>
                <w:rFonts w:hint="eastAsia" w:ascii="Times New Roman" w:hAnsi="Times New Roman" w:eastAsia="宋体" w:cs="Times New Roman"/>
                <w:snapToGrid w:val="0"/>
                <w:color w:val="auto"/>
                <w:szCs w:val="24"/>
                <w:highlight w:val="none"/>
              </w:rPr>
              <w:t>集</w:t>
            </w:r>
            <w:r>
              <w:rPr>
                <w:rFonts w:hint="eastAsia" w:ascii="Times New Roman" w:hAnsi="Times New Roman" w:eastAsia="宋体" w:cs="Times New Roman"/>
                <w:snapToGrid w:val="0"/>
                <w:color w:val="auto"/>
                <w:szCs w:val="24"/>
                <w:highlight w:val="none"/>
                <w:lang w:val="en-US" w:eastAsia="zh-CN"/>
              </w:rPr>
              <w:t>切割</w:t>
            </w:r>
            <w:r>
              <w:rPr>
                <w:rFonts w:hint="eastAsia" w:ascii="Times New Roman" w:hAnsi="Times New Roman" w:cs="Times New Roman"/>
                <w:snapToGrid w:val="0"/>
                <w:color w:val="auto"/>
                <w:szCs w:val="24"/>
                <w:highlight w:val="none"/>
                <w:lang w:val="en-US" w:eastAsia="zh-CN"/>
              </w:rPr>
              <w:t>、打磨粉尘84.78</w:t>
            </w:r>
            <w:r>
              <w:rPr>
                <w:rFonts w:hint="eastAsia" w:ascii="Times New Roman" w:hAnsi="Times New Roman" w:eastAsia="宋体" w:cs="Times New Roman"/>
                <w:snapToGrid w:val="0"/>
                <w:color w:val="auto"/>
                <w:szCs w:val="24"/>
                <w:highlight w:val="none"/>
              </w:rPr>
              <w:t>t/a，</w:t>
            </w:r>
            <w:r>
              <w:rPr>
                <w:rFonts w:hint="eastAsia"/>
                <w:bCs/>
                <w:color w:val="auto"/>
                <w:szCs w:val="21"/>
                <w:highlight w:val="none"/>
                <w:lang w:val="en-US" w:eastAsia="zh-CN"/>
              </w:rPr>
              <w:t>粉尘不外排，收集后暂存一般固废间，</w:t>
            </w:r>
            <w:r>
              <w:rPr>
                <w:rFonts w:hint="eastAsia"/>
                <w:bCs/>
                <w:color w:val="auto"/>
                <w:szCs w:val="21"/>
                <w:highlight w:val="none"/>
              </w:rPr>
              <w:t>交由一般固废处置单位处置。</w:t>
            </w:r>
          </w:p>
          <w:p w14:paraId="1FE88FFA">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eastAsia="宋体" w:cs="Times New Roman"/>
                <w:bCs/>
                <w:color w:val="auto"/>
                <w:szCs w:val="21"/>
                <w:highlight w:val="none"/>
                <w:lang w:val="en-US" w:eastAsia="zh-CN"/>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eastAsia"/>
                <w:snapToGrid w:val="0"/>
                <w:color w:val="auto"/>
                <w:kern w:val="0"/>
                <w:sz w:val="24"/>
                <w:highlight w:val="none"/>
              </w:rPr>
              <w:t>共计收</w:t>
            </w:r>
            <w:r>
              <w:rPr>
                <w:rFonts w:hint="eastAsia" w:ascii="Times New Roman" w:hAnsi="Times New Roman" w:eastAsia="宋体" w:cs="Times New Roman"/>
                <w:snapToGrid w:val="0"/>
                <w:color w:val="auto"/>
                <w:szCs w:val="24"/>
                <w:highlight w:val="none"/>
              </w:rPr>
              <w:t>集</w:t>
            </w:r>
            <w:r>
              <w:rPr>
                <w:rFonts w:hint="eastAsia" w:ascii="Times New Roman" w:hAnsi="Times New Roman" w:eastAsia="宋体" w:cs="Times New Roman"/>
                <w:snapToGrid w:val="0"/>
                <w:color w:val="auto"/>
                <w:szCs w:val="24"/>
                <w:highlight w:val="none"/>
                <w:lang w:val="en-US" w:eastAsia="zh-CN"/>
              </w:rPr>
              <w:t>切割</w:t>
            </w:r>
            <w:r>
              <w:rPr>
                <w:rFonts w:hint="eastAsia" w:ascii="Times New Roman" w:hAnsi="Times New Roman" w:cs="Times New Roman"/>
                <w:snapToGrid w:val="0"/>
                <w:color w:val="auto"/>
                <w:szCs w:val="24"/>
                <w:highlight w:val="none"/>
                <w:lang w:val="en-US" w:eastAsia="zh-CN"/>
              </w:rPr>
              <w:t>、打磨粉尘169.56</w:t>
            </w:r>
            <w:r>
              <w:rPr>
                <w:rFonts w:hint="eastAsia" w:ascii="Times New Roman" w:hAnsi="Times New Roman" w:eastAsia="宋体" w:cs="Times New Roman"/>
                <w:snapToGrid w:val="0"/>
                <w:color w:val="auto"/>
                <w:szCs w:val="24"/>
                <w:highlight w:val="none"/>
              </w:rPr>
              <w:t>t/a，</w:t>
            </w:r>
            <w:r>
              <w:rPr>
                <w:rFonts w:hint="eastAsia"/>
                <w:bCs/>
                <w:color w:val="auto"/>
                <w:szCs w:val="21"/>
                <w:highlight w:val="none"/>
                <w:lang w:val="en-US" w:eastAsia="zh-CN"/>
              </w:rPr>
              <w:t>粉尘不外排，收集后暂存一般固废间，</w:t>
            </w:r>
            <w:r>
              <w:rPr>
                <w:rFonts w:hint="eastAsia"/>
                <w:bCs/>
                <w:color w:val="auto"/>
                <w:szCs w:val="21"/>
                <w:highlight w:val="none"/>
              </w:rPr>
              <w:t>交由一般固废处置单位处置。</w:t>
            </w:r>
          </w:p>
          <w:p w14:paraId="290A87E3">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②不合格产品（S</w:t>
            </w:r>
            <w:r>
              <w:rPr>
                <w:rFonts w:hint="eastAsia" w:ascii="Times New Roman" w:hAnsi="Times New Roman" w:cs="Times New Roman"/>
                <w:bCs/>
                <w:color w:val="auto"/>
                <w:szCs w:val="21"/>
                <w:lang w:val="en-US" w:eastAsia="zh-CN"/>
              </w:rPr>
              <w:t>8</w:t>
            </w:r>
            <w:r>
              <w:rPr>
                <w:rFonts w:hint="eastAsia" w:ascii="Times New Roman" w:hAnsi="Times New Roman" w:eastAsia="宋体" w:cs="Times New Roman"/>
                <w:bCs/>
                <w:color w:val="auto"/>
                <w:szCs w:val="21"/>
                <w:lang w:val="en-US" w:eastAsia="zh-CN"/>
              </w:rPr>
              <w:t>）</w:t>
            </w:r>
          </w:p>
          <w:p w14:paraId="413EA61A">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b/>
                <w:bCs/>
                <w:color w:val="auto"/>
                <w:sz w:val="24"/>
                <w:highlight w:val="none"/>
                <w:lang w:val="en-US" w:eastAsia="zh-CN"/>
              </w:rPr>
            </w:pPr>
            <w:r>
              <w:rPr>
                <w:rFonts w:hint="eastAsia"/>
                <w:b/>
                <w:bCs/>
                <w:color w:val="auto"/>
                <w:sz w:val="24"/>
                <w:highlight w:val="none"/>
                <w:lang w:val="en-US" w:eastAsia="zh-CN"/>
              </w:rPr>
              <w:t>一期：</w:t>
            </w:r>
            <w:r>
              <w:rPr>
                <w:rFonts w:hint="default" w:ascii="Times New Roman" w:hAnsi="Times New Roman" w:eastAsia="宋体" w:cs="Times New Roman"/>
                <w:bCs/>
                <w:color w:val="auto"/>
                <w:szCs w:val="21"/>
                <w:highlight w:val="none"/>
                <w:lang w:val="en-US" w:eastAsia="zh-CN"/>
              </w:rPr>
              <w:t>本项目检测过程中产生的</w:t>
            </w:r>
            <w:r>
              <w:rPr>
                <w:rFonts w:hint="eastAsia" w:ascii="Times New Roman" w:hAnsi="Times New Roman" w:cs="Times New Roman"/>
                <w:bCs/>
                <w:color w:val="auto"/>
                <w:szCs w:val="21"/>
                <w:highlight w:val="none"/>
                <w:lang w:val="en-US" w:eastAsia="zh-CN"/>
              </w:rPr>
              <w:t>不合格产</w:t>
            </w:r>
            <w:r>
              <w:rPr>
                <w:rFonts w:hint="default" w:ascii="Times New Roman" w:hAnsi="Times New Roman" w:eastAsia="宋体" w:cs="Times New Roman"/>
                <w:bCs/>
                <w:color w:val="auto"/>
                <w:szCs w:val="21"/>
                <w:highlight w:val="none"/>
                <w:lang w:val="en-US" w:eastAsia="zh-CN"/>
              </w:rPr>
              <w:t>品，</w:t>
            </w:r>
            <w:r>
              <w:rPr>
                <w:rFonts w:hint="eastAsia" w:ascii="Times New Roman" w:hAnsi="Times New Roman" w:cs="Times New Roman"/>
                <w:bCs/>
                <w:color w:val="auto"/>
                <w:szCs w:val="21"/>
                <w:highlight w:val="none"/>
                <w:lang w:val="en-US" w:eastAsia="zh-CN"/>
              </w:rPr>
              <w:t>根据企业提供，不合格产</w:t>
            </w:r>
            <w:r>
              <w:rPr>
                <w:rFonts w:hint="default" w:ascii="Times New Roman" w:hAnsi="Times New Roman" w:eastAsia="宋体" w:cs="Times New Roman"/>
                <w:bCs/>
                <w:color w:val="auto"/>
                <w:szCs w:val="21"/>
                <w:highlight w:val="none"/>
                <w:lang w:val="en-US" w:eastAsia="zh-CN"/>
              </w:rPr>
              <w:t>品</w:t>
            </w:r>
            <w:r>
              <w:rPr>
                <w:rFonts w:hint="eastAsia" w:ascii="Times New Roman" w:hAnsi="Times New Roman" w:cs="Times New Roman"/>
                <w:bCs/>
                <w:color w:val="auto"/>
                <w:szCs w:val="21"/>
                <w:highlight w:val="none"/>
                <w:lang w:val="en-US" w:eastAsia="zh-CN"/>
              </w:rPr>
              <w:t>的</w:t>
            </w:r>
            <w:r>
              <w:rPr>
                <w:rFonts w:hint="default" w:ascii="Times New Roman" w:hAnsi="Times New Roman" w:eastAsia="宋体" w:cs="Times New Roman"/>
                <w:bCs/>
                <w:color w:val="auto"/>
                <w:szCs w:val="21"/>
                <w:highlight w:val="none"/>
                <w:lang w:val="en-US" w:eastAsia="zh-CN"/>
              </w:rPr>
              <w:t>产生量</w:t>
            </w:r>
            <w:r>
              <w:rPr>
                <w:rFonts w:hint="eastAsia" w:ascii="Times New Roman" w:hAnsi="Times New Roman" w:eastAsia="宋体" w:cs="Times New Roman"/>
                <w:bCs/>
                <w:color w:val="auto"/>
                <w:szCs w:val="21"/>
                <w:highlight w:val="none"/>
                <w:lang w:val="en-US" w:eastAsia="zh-CN"/>
              </w:rPr>
              <w:t>为0.01%</w:t>
            </w:r>
            <w:r>
              <w:rPr>
                <w:rFonts w:hint="eastAsia" w:ascii="Times New Roman" w:hAnsi="Times New Roman" w:cs="Times New Roman"/>
                <w:bCs/>
                <w:color w:val="auto"/>
                <w:szCs w:val="21"/>
                <w:highlight w:val="none"/>
                <w:lang w:val="en-US" w:eastAsia="zh-CN"/>
              </w:rPr>
              <w:t>，</w:t>
            </w:r>
            <w:r>
              <w:rPr>
                <w:rFonts w:hint="default" w:ascii="Times New Roman" w:hAnsi="Times New Roman" w:eastAsia="宋体" w:cs="Times New Roman"/>
                <w:bCs/>
                <w:color w:val="auto"/>
                <w:szCs w:val="21"/>
                <w:highlight w:val="none"/>
                <w:lang w:val="en-US" w:eastAsia="zh-CN"/>
              </w:rPr>
              <w:t>则不合格品产生量为</w:t>
            </w:r>
            <w:r>
              <w:rPr>
                <w:rFonts w:hint="eastAsia" w:ascii="Times New Roman" w:hAnsi="Times New Roman" w:cs="Times New Roman"/>
                <w:bCs/>
                <w:color w:val="auto"/>
                <w:szCs w:val="21"/>
                <w:highlight w:val="none"/>
                <w:lang w:val="en-US" w:eastAsia="zh-CN"/>
              </w:rPr>
              <w:t>1.1304</w:t>
            </w:r>
            <w:r>
              <w:rPr>
                <w:rFonts w:hint="eastAsia" w:ascii="Times New Roman" w:hAnsi="Times New Roman" w:eastAsia="宋体" w:cs="Times New Roman"/>
                <w:bCs/>
                <w:color w:val="auto"/>
                <w:szCs w:val="21"/>
                <w:highlight w:val="none"/>
                <w:lang w:val="en-US" w:eastAsia="zh-CN"/>
              </w:rPr>
              <w:t>t</w:t>
            </w:r>
            <w:r>
              <w:rPr>
                <w:rFonts w:hint="default" w:ascii="Times New Roman" w:hAnsi="Times New Roman" w:eastAsia="宋体" w:cs="Times New Roman"/>
                <w:bCs/>
                <w:color w:val="auto"/>
                <w:szCs w:val="21"/>
                <w:highlight w:val="none"/>
                <w:lang w:val="en-US" w:eastAsia="zh-CN"/>
              </w:rPr>
              <w:t>/a</w:t>
            </w:r>
            <w:r>
              <w:rPr>
                <w:rFonts w:hint="eastAsia" w:ascii="Times New Roman" w:hAnsi="Times New Roman" w:eastAsia="宋体" w:cs="Times New Roman"/>
                <w:bCs/>
                <w:color w:val="auto"/>
                <w:szCs w:val="21"/>
                <w:highlight w:val="none"/>
                <w:lang w:val="en-US" w:eastAsia="zh-CN"/>
              </w:rPr>
              <w:t>，</w:t>
            </w:r>
            <w:r>
              <w:rPr>
                <w:rFonts w:hint="eastAsia"/>
                <w:bCs/>
                <w:color w:val="auto"/>
                <w:szCs w:val="21"/>
                <w:highlight w:val="none"/>
                <w:lang w:val="en-US" w:eastAsia="zh-CN"/>
              </w:rPr>
              <w:t>暂存一般固废间，</w:t>
            </w:r>
            <w:r>
              <w:rPr>
                <w:rFonts w:hint="eastAsia"/>
                <w:bCs/>
                <w:color w:val="auto"/>
                <w:szCs w:val="21"/>
                <w:highlight w:val="none"/>
              </w:rPr>
              <w:t>交由一般固废处置单位处置。</w:t>
            </w:r>
          </w:p>
          <w:p w14:paraId="695CE630">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default" w:ascii="Times New Roman" w:hAnsi="Times New Roman" w:eastAsia="宋体" w:cs="Times New Roman"/>
                <w:bCs/>
                <w:color w:val="auto"/>
                <w:szCs w:val="21"/>
                <w:highlight w:val="none"/>
                <w:lang w:val="en-US" w:eastAsia="zh-CN"/>
              </w:rPr>
            </w:pPr>
            <w:r>
              <w:rPr>
                <w:rFonts w:hint="eastAsia"/>
                <w:b/>
                <w:bCs/>
                <w:color w:val="auto"/>
                <w:sz w:val="24"/>
                <w:highlight w:val="none"/>
                <w:lang w:val="en-US" w:eastAsia="zh-CN"/>
              </w:rPr>
              <w:t>二期：</w:t>
            </w:r>
            <w:r>
              <w:rPr>
                <w:rFonts w:hint="default" w:ascii="Times New Roman" w:hAnsi="Times New Roman" w:eastAsia="宋体" w:cs="Times New Roman"/>
                <w:bCs/>
                <w:color w:val="auto"/>
                <w:szCs w:val="21"/>
                <w:highlight w:val="none"/>
                <w:lang w:val="en-US" w:eastAsia="zh-CN"/>
              </w:rPr>
              <w:t>本项目检测过程中产生的</w:t>
            </w:r>
            <w:r>
              <w:rPr>
                <w:rFonts w:hint="eastAsia" w:ascii="Times New Roman" w:hAnsi="Times New Roman" w:cs="Times New Roman"/>
                <w:bCs/>
                <w:color w:val="auto"/>
                <w:szCs w:val="21"/>
                <w:highlight w:val="none"/>
                <w:lang w:val="en-US" w:eastAsia="zh-CN"/>
              </w:rPr>
              <w:t>不合格产</w:t>
            </w:r>
            <w:r>
              <w:rPr>
                <w:rFonts w:hint="default" w:ascii="Times New Roman" w:hAnsi="Times New Roman" w:eastAsia="宋体" w:cs="Times New Roman"/>
                <w:bCs/>
                <w:color w:val="auto"/>
                <w:szCs w:val="21"/>
                <w:highlight w:val="none"/>
                <w:lang w:val="en-US" w:eastAsia="zh-CN"/>
              </w:rPr>
              <w:t>品，</w:t>
            </w:r>
            <w:r>
              <w:rPr>
                <w:rFonts w:hint="eastAsia" w:ascii="Times New Roman" w:hAnsi="Times New Roman" w:cs="Times New Roman"/>
                <w:bCs/>
                <w:color w:val="auto"/>
                <w:szCs w:val="21"/>
                <w:highlight w:val="none"/>
                <w:lang w:val="en-US" w:eastAsia="zh-CN"/>
              </w:rPr>
              <w:t>根据企业提供，不合格产</w:t>
            </w:r>
            <w:r>
              <w:rPr>
                <w:rFonts w:hint="default" w:ascii="Times New Roman" w:hAnsi="Times New Roman" w:eastAsia="宋体" w:cs="Times New Roman"/>
                <w:bCs/>
                <w:color w:val="auto"/>
                <w:szCs w:val="21"/>
                <w:highlight w:val="none"/>
                <w:lang w:val="en-US" w:eastAsia="zh-CN"/>
              </w:rPr>
              <w:t>品</w:t>
            </w:r>
            <w:r>
              <w:rPr>
                <w:rFonts w:hint="eastAsia" w:ascii="Times New Roman" w:hAnsi="Times New Roman" w:cs="Times New Roman"/>
                <w:bCs/>
                <w:color w:val="auto"/>
                <w:szCs w:val="21"/>
                <w:highlight w:val="none"/>
                <w:lang w:val="en-US" w:eastAsia="zh-CN"/>
              </w:rPr>
              <w:t>的</w:t>
            </w:r>
            <w:r>
              <w:rPr>
                <w:rFonts w:hint="default" w:ascii="Times New Roman" w:hAnsi="Times New Roman" w:eastAsia="宋体" w:cs="Times New Roman"/>
                <w:bCs/>
                <w:color w:val="auto"/>
                <w:szCs w:val="21"/>
                <w:highlight w:val="none"/>
                <w:lang w:val="en-US" w:eastAsia="zh-CN"/>
              </w:rPr>
              <w:t>产生量</w:t>
            </w:r>
            <w:r>
              <w:rPr>
                <w:rFonts w:hint="eastAsia" w:ascii="Times New Roman" w:hAnsi="Times New Roman" w:eastAsia="宋体" w:cs="Times New Roman"/>
                <w:bCs/>
                <w:color w:val="auto"/>
                <w:szCs w:val="21"/>
                <w:highlight w:val="none"/>
                <w:lang w:val="en-US" w:eastAsia="zh-CN"/>
              </w:rPr>
              <w:t>为0.01%</w:t>
            </w:r>
            <w:r>
              <w:rPr>
                <w:rFonts w:hint="eastAsia" w:ascii="Times New Roman" w:hAnsi="Times New Roman" w:cs="Times New Roman"/>
                <w:bCs/>
                <w:color w:val="auto"/>
                <w:szCs w:val="21"/>
                <w:highlight w:val="none"/>
                <w:lang w:val="en-US" w:eastAsia="zh-CN"/>
              </w:rPr>
              <w:t>，</w:t>
            </w:r>
            <w:r>
              <w:rPr>
                <w:rFonts w:hint="default" w:ascii="Times New Roman" w:hAnsi="Times New Roman" w:eastAsia="宋体" w:cs="Times New Roman"/>
                <w:bCs/>
                <w:color w:val="auto"/>
                <w:szCs w:val="21"/>
                <w:highlight w:val="none"/>
                <w:lang w:val="en-US" w:eastAsia="zh-CN"/>
              </w:rPr>
              <w:t>则不合格品产生量为</w:t>
            </w:r>
            <w:r>
              <w:rPr>
                <w:rFonts w:hint="eastAsia" w:ascii="Times New Roman" w:hAnsi="Times New Roman" w:cs="Times New Roman"/>
                <w:bCs/>
                <w:color w:val="auto"/>
                <w:szCs w:val="21"/>
                <w:highlight w:val="none"/>
                <w:lang w:val="en-US" w:eastAsia="zh-CN"/>
              </w:rPr>
              <w:t>1.1304</w:t>
            </w:r>
            <w:r>
              <w:rPr>
                <w:rFonts w:hint="eastAsia" w:ascii="Times New Roman" w:hAnsi="Times New Roman" w:eastAsia="宋体" w:cs="Times New Roman"/>
                <w:bCs/>
                <w:color w:val="auto"/>
                <w:szCs w:val="21"/>
                <w:highlight w:val="none"/>
                <w:lang w:val="en-US" w:eastAsia="zh-CN"/>
              </w:rPr>
              <w:t>t</w:t>
            </w:r>
            <w:r>
              <w:rPr>
                <w:rFonts w:hint="default" w:ascii="Times New Roman" w:hAnsi="Times New Roman" w:eastAsia="宋体" w:cs="Times New Roman"/>
                <w:bCs/>
                <w:color w:val="auto"/>
                <w:szCs w:val="21"/>
                <w:highlight w:val="none"/>
                <w:lang w:val="en-US" w:eastAsia="zh-CN"/>
              </w:rPr>
              <w:t>/a</w:t>
            </w:r>
            <w:r>
              <w:rPr>
                <w:rFonts w:hint="eastAsia" w:ascii="Times New Roman" w:hAnsi="Times New Roman" w:eastAsia="宋体" w:cs="Times New Roman"/>
                <w:bCs/>
                <w:color w:val="auto"/>
                <w:szCs w:val="21"/>
                <w:highlight w:val="none"/>
                <w:lang w:val="en-US" w:eastAsia="zh-CN"/>
              </w:rPr>
              <w:t>，</w:t>
            </w:r>
            <w:r>
              <w:rPr>
                <w:rFonts w:hint="eastAsia"/>
                <w:bCs/>
                <w:color w:val="auto"/>
                <w:szCs w:val="21"/>
                <w:highlight w:val="none"/>
                <w:lang w:val="en-US" w:eastAsia="zh-CN"/>
              </w:rPr>
              <w:t>暂存一般固废间，</w:t>
            </w:r>
            <w:r>
              <w:rPr>
                <w:rFonts w:hint="eastAsia"/>
                <w:bCs/>
                <w:color w:val="auto"/>
                <w:szCs w:val="21"/>
                <w:highlight w:val="none"/>
              </w:rPr>
              <w:t>交由一般固废处置单位处置。</w:t>
            </w:r>
          </w:p>
          <w:p w14:paraId="227C7FB8">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bCs/>
                <w:color w:val="auto"/>
                <w:szCs w:val="21"/>
                <w:highlight w:val="none"/>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default" w:ascii="Times New Roman" w:hAnsi="Times New Roman" w:eastAsia="宋体" w:cs="Times New Roman"/>
                <w:bCs/>
                <w:color w:val="auto"/>
                <w:szCs w:val="21"/>
                <w:highlight w:val="none"/>
                <w:lang w:val="en-US" w:eastAsia="zh-CN"/>
              </w:rPr>
              <w:t>不合格品产生量为</w:t>
            </w:r>
            <w:r>
              <w:rPr>
                <w:rFonts w:hint="eastAsia" w:ascii="Times New Roman" w:hAnsi="Times New Roman" w:cs="Times New Roman"/>
                <w:bCs/>
                <w:color w:val="auto"/>
                <w:szCs w:val="21"/>
                <w:highlight w:val="none"/>
                <w:lang w:val="en-US" w:eastAsia="zh-CN"/>
              </w:rPr>
              <w:t>2.2608</w:t>
            </w:r>
            <w:r>
              <w:rPr>
                <w:rFonts w:hint="eastAsia" w:ascii="Times New Roman" w:hAnsi="Times New Roman" w:eastAsia="宋体" w:cs="Times New Roman"/>
                <w:bCs/>
                <w:color w:val="auto"/>
                <w:szCs w:val="21"/>
                <w:highlight w:val="none"/>
                <w:lang w:val="en-US" w:eastAsia="zh-CN"/>
              </w:rPr>
              <w:t>t</w:t>
            </w:r>
            <w:r>
              <w:rPr>
                <w:rFonts w:hint="default" w:ascii="Times New Roman" w:hAnsi="Times New Roman" w:eastAsia="宋体" w:cs="Times New Roman"/>
                <w:bCs/>
                <w:color w:val="auto"/>
                <w:szCs w:val="21"/>
                <w:highlight w:val="none"/>
                <w:lang w:val="en-US" w:eastAsia="zh-CN"/>
              </w:rPr>
              <w:t>/a</w:t>
            </w:r>
            <w:r>
              <w:rPr>
                <w:rFonts w:hint="eastAsia" w:ascii="Times New Roman" w:hAnsi="Times New Roman" w:eastAsia="宋体" w:cs="Times New Roman"/>
                <w:bCs/>
                <w:color w:val="auto"/>
                <w:szCs w:val="21"/>
                <w:highlight w:val="none"/>
                <w:lang w:val="en-US" w:eastAsia="zh-CN"/>
              </w:rPr>
              <w:t>，</w:t>
            </w:r>
            <w:r>
              <w:rPr>
                <w:rFonts w:hint="eastAsia"/>
                <w:bCs/>
                <w:color w:val="auto"/>
                <w:szCs w:val="21"/>
                <w:highlight w:val="none"/>
                <w:lang w:val="en-US" w:eastAsia="zh-CN"/>
              </w:rPr>
              <w:t>暂存一般固废间，</w:t>
            </w:r>
            <w:r>
              <w:rPr>
                <w:rFonts w:hint="eastAsia"/>
                <w:bCs/>
                <w:color w:val="auto"/>
                <w:szCs w:val="21"/>
                <w:highlight w:val="none"/>
              </w:rPr>
              <w:t>交由一般固废处置单位处置。</w:t>
            </w:r>
          </w:p>
          <w:p w14:paraId="555D4482">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snapToGrid w:val="0"/>
                <w:color w:val="auto"/>
                <w:szCs w:val="24"/>
                <w:highlight w:val="none"/>
                <w:lang w:val="en-US" w:eastAsia="zh-CN"/>
              </w:rPr>
            </w:pPr>
            <w:r>
              <w:rPr>
                <w:rFonts w:hint="eastAsia" w:ascii="Times New Roman" w:hAnsi="Times New Roman"/>
                <w:snapToGrid w:val="0"/>
                <w:color w:val="auto"/>
                <w:szCs w:val="24"/>
                <w:highlight w:val="none"/>
                <w:lang w:val="en-US" w:eastAsia="zh-CN"/>
              </w:rPr>
              <w:t>③静电喷涂粉尘（S6）</w:t>
            </w:r>
          </w:p>
          <w:p w14:paraId="2FEB9354">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bCs/>
                <w:color w:val="auto"/>
                <w:szCs w:val="21"/>
                <w:lang w:val="en-US" w:eastAsia="zh-CN"/>
              </w:rPr>
            </w:pPr>
            <w:r>
              <w:rPr>
                <w:rFonts w:hint="eastAsia"/>
                <w:b/>
                <w:bCs w:val="0"/>
                <w:color w:val="auto"/>
                <w:szCs w:val="21"/>
                <w:lang w:val="en-US" w:eastAsia="zh-CN"/>
              </w:rPr>
              <w:t>一期：</w:t>
            </w:r>
            <w:r>
              <w:rPr>
                <w:rFonts w:hint="eastAsia"/>
                <w:bCs/>
                <w:color w:val="auto"/>
                <w:szCs w:val="21"/>
                <w:lang w:val="en-US" w:eastAsia="zh-CN"/>
              </w:rPr>
              <w:t>转翼式滤芯过滤器二级回收系统定期进行滤芯清理，清理粉尘</w:t>
            </w:r>
            <w:r>
              <w:rPr>
                <w:rFonts w:hint="eastAsia" w:ascii="Times New Roman" w:hAnsi="Times New Roman" w:cs="Times New Roman"/>
                <w:bCs/>
                <w:color w:val="auto"/>
                <w:szCs w:val="21"/>
                <w:lang w:val="en-US" w:eastAsia="zh-CN"/>
              </w:rPr>
              <w:t>0.0756</w:t>
            </w:r>
            <w:r>
              <w:rPr>
                <w:rFonts w:hint="default" w:ascii="Times New Roman" w:hAnsi="Times New Roman" w:cs="Times New Roman"/>
                <w:bCs/>
                <w:color w:val="auto"/>
                <w:szCs w:val="21"/>
                <w:lang w:val="en-US" w:eastAsia="zh-CN"/>
              </w:rPr>
              <w:t>t/a</w:t>
            </w:r>
            <w:r>
              <w:rPr>
                <w:rFonts w:hint="eastAsia" w:ascii="Times New Roman" w:hAnsi="Times New Roman" w:cs="Times New Roman"/>
                <w:bCs/>
                <w:color w:val="auto"/>
                <w:szCs w:val="21"/>
                <w:lang w:val="en-US" w:eastAsia="zh-CN"/>
              </w:rPr>
              <w:t>，</w:t>
            </w:r>
            <w:r>
              <w:rPr>
                <w:rFonts w:hint="eastAsia"/>
                <w:bCs/>
                <w:color w:val="auto"/>
                <w:szCs w:val="21"/>
                <w:lang w:val="en-US" w:eastAsia="zh-CN"/>
              </w:rPr>
              <w:t>暂存一般固废间，交由一般固废处置单位处置。</w:t>
            </w:r>
          </w:p>
          <w:p w14:paraId="44470457">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snapToGrid w:val="0"/>
                <w:color w:val="auto"/>
                <w:szCs w:val="24"/>
                <w:highlight w:val="none"/>
                <w:lang w:val="en-US" w:eastAsia="zh-CN"/>
              </w:rPr>
            </w:pPr>
            <w:r>
              <w:rPr>
                <w:rFonts w:hint="eastAsia" w:ascii="Times New Roman" w:hAnsi="Times New Roman"/>
                <w:b/>
                <w:bCs/>
                <w:snapToGrid w:val="0"/>
                <w:color w:val="auto"/>
                <w:szCs w:val="24"/>
                <w:highlight w:val="none"/>
                <w:lang w:val="en-US" w:eastAsia="zh-CN"/>
              </w:rPr>
              <w:t>二期：</w:t>
            </w:r>
            <w:r>
              <w:rPr>
                <w:rFonts w:hint="eastAsia"/>
                <w:bCs/>
                <w:color w:val="auto"/>
                <w:szCs w:val="21"/>
                <w:lang w:val="en-US" w:eastAsia="zh-CN"/>
              </w:rPr>
              <w:t>转翼式滤芯过滤器二级回收系统定期进行滤芯清理，清理粉尘</w:t>
            </w:r>
            <w:r>
              <w:rPr>
                <w:rFonts w:hint="eastAsia" w:ascii="Times New Roman" w:hAnsi="Times New Roman" w:cs="Times New Roman"/>
                <w:bCs/>
                <w:color w:val="auto"/>
                <w:szCs w:val="21"/>
                <w:lang w:val="en-US" w:eastAsia="zh-CN"/>
              </w:rPr>
              <w:t>0.0756</w:t>
            </w:r>
            <w:r>
              <w:rPr>
                <w:rFonts w:hint="default" w:ascii="Times New Roman" w:hAnsi="Times New Roman" w:cs="Times New Roman"/>
                <w:bCs/>
                <w:color w:val="auto"/>
                <w:szCs w:val="21"/>
                <w:lang w:val="en-US" w:eastAsia="zh-CN"/>
              </w:rPr>
              <w:t>t/a</w:t>
            </w:r>
            <w:r>
              <w:rPr>
                <w:rFonts w:hint="eastAsia" w:ascii="Times New Roman" w:hAnsi="Times New Roman" w:cs="Times New Roman"/>
                <w:bCs/>
                <w:color w:val="auto"/>
                <w:szCs w:val="21"/>
                <w:lang w:val="en-US" w:eastAsia="zh-CN"/>
              </w:rPr>
              <w:t>，</w:t>
            </w:r>
            <w:r>
              <w:rPr>
                <w:rFonts w:hint="eastAsia"/>
                <w:bCs/>
                <w:color w:val="auto"/>
                <w:szCs w:val="21"/>
                <w:lang w:val="en-US" w:eastAsia="zh-CN"/>
              </w:rPr>
              <w:t>暂存一般固废间，交由一般固废处置单位处置</w:t>
            </w:r>
          </w:p>
          <w:p w14:paraId="5C1C16E8">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default" w:ascii="Times New Roman" w:hAnsi="Times New Roman"/>
                <w:snapToGrid w:val="0"/>
                <w:color w:val="auto"/>
                <w:szCs w:val="24"/>
                <w:highlight w:val="none"/>
                <w:lang w:val="en-US" w:eastAsia="zh-CN"/>
              </w:rPr>
            </w:pPr>
            <w:r>
              <w:rPr>
                <w:rFonts w:hint="eastAsia" w:ascii="Times New Roman" w:hAnsi="Times New Roman"/>
                <w:snapToGrid w:val="0"/>
                <w:color w:val="auto"/>
                <w:szCs w:val="24"/>
                <w:highlight w:val="none"/>
                <w:lang w:val="en-US" w:eastAsia="zh-CN"/>
              </w:rPr>
              <w:t>本项目建成后，共回收0.1512t/a粉末，</w:t>
            </w:r>
            <w:r>
              <w:rPr>
                <w:rFonts w:hint="eastAsia"/>
                <w:bCs/>
                <w:color w:val="auto"/>
                <w:szCs w:val="21"/>
                <w:lang w:val="en-US" w:eastAsia="zh-CN"/>
              </w:rPr>
              <w:t>清理后的粉尘回收利用</w:t>
            </w:r>
            <w:r>
              <w:rPr>
                <w:rFonts w:hint="eastAsia" w:ascii="Times New Roman" w:hAnsi="Times New Roman"/>
                <w:snapToGrid w:val="0"/>
                <w:color w:val="auto"/>
                <w:szCs w:val="24"/>
                <w:highlight w:val="none"/>
                <w:lang w:val="en-US" w:eastAsia="zh-CN"/>
              </w:rPr>
              <w:t>。</w:t>
            </w:r>
          </w:p>
          <w:p w14:paraId="57428A21">
            <w:pPr>
              <w:pStyle w:val="19"/>
              <w:numPr>
                <w:ilvl w:val="0"/>
                <w:numId w:val="12"/>
              </w:numPr>
              <w:spacing w:before="0" w:beforeAutospacing="0" w:after="0" w:afterAutospacing="0" w:line="360" w:lineRule="auto"/>
              <w:ind w:firstLine="480" w:firstLineChars="200"/>
              <w:outlineLvl w:val="0"/>
              <w:rPr>
                <w:rFonts w:ascii="Times New Roman" w:hAnsi="Times New Roman"/>
                <w:snapToGrid w:val="0"/>
                <w:color w:val="auto"/>
                <w:szCs w:val="24"/>
              </w:rPr>
            </w:pPr>
            <w:r>
              <w:rPr>
                <w:rFonts w:hint="eastAsia" w:ascii="Times New Roman" w:hAnsi="Times New Roman"/>
                <w:snapToGrid w:val="0"/>
                <w:color w:val="auto"/>
                <w:szCs w:val="24"/>
              </w:rPr>
              <w:t>危险废物</w:t>
            </w:r>
          </w:p>
          <w:p w14:paraId="0718C89B">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cs="Times New Roman"/>
                <w:bCs/>
                <w:color w:val="auto"/>
                <w:szCs w:val="21"/>
                <w:lang w:val="en-US" w:eastAsia="zh-CN"/>
              </w:rPr>
            </w:pPr>
            <w:r>
              <w:rPr>
                <w:rFonts w:hint="eastAsia" w:ascii="Times New Roman" w:hAnsi="Times New Roman" w:cs="Times New Roman"/>
                <w:bCs/>
                <w:color w:val="auto"/>
                <w:szCs w:val="21"/>
                <w:lang w:val="en-US" w:eastAsia="zh-CN"/>
              </w:rPr>
              <w:t>①废包装桶（S1）</w:t>
            </w:r>
          </w:p>
          <w:p w14:paraId="4C5B6A56">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一期：</w:t>
            </w:r>
            <w:r>
              <w:rPr>
                <w:rFonts w:hint="eastAsia" w:ascii="Times New Roman" w:hAnsi="Times New Roman" w:cs="Times New Roman"/>
                <w:bCs/>
                <w:color w:val="auto"/>
                <w:szCs w:val="21"/>
                <w:highlight w:val="none"/>
                <w:lang w:val="en-US" w:eastAsia="zh-CN"/>
              </w:rPr>
              <w:t>本项目原料</w:t>
            </w:r>
            <w:r>
              <w:rPr>
                <w:rFonts w:hint="eastAsia" w:ascii="Times New Roman" w:hAnsi="Times New Roman" w:cs="Times New Roman"/>
                <w:color w:val="auto"/>
                <w:kern w:val="2"/>
                <w:sz w:val="24"/>
                <w:szCs w:val="24"/>
                <w:highlight w:val="none"/>
                <w:lang w:val="en-US" w:eastAsia="zh-CN" w:bidi="ar-SA"/>
              </w:rPr>
              <w:t>无溶剂改性环氧树脂、改性液体酸酐固化剂</w:t>
            </w:r>
            <w:r>
              <w:rPr>
                <w:rFonts w:hint="eastAsia" w:ascii="Times New Roman" w:hAnsi="Times New Roman" w:cs="Times New Roman"/>
                <w:bCs/>
                <w:color w:val="auto"/>
                <w:szCs w:val="21"/>
                <w:highlight w:val="none"/>
                <w:lang w:val="en-US" w:eastAsia="zh-CN"/>
              </w:rPr>
              <w:t>、环氧粉末会产生废包装桶，废胶桶量为107360个/a，每个桶约重1.0kg，则产生量为107.36/a。</w:t>
            </w:r>
          </w:p>
          <w:p w14:paraId="69B8B4F4">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二期：</w:t>
            </w:r>
            <w:r>
              <w:rPr>
                <w:rFonts w:hint="eastAsia" w:ascii="Times New Roman" w:hAnsi="Times New Roman" w:cs="Times New Roman"/>
                <w:bCs/>
                <w:color w:val="auto"/>
                <w:szCs w:val="21"/>
                <w:highlight w:val="none"/>
                <w:lang w:val="en-US" w:eastAsia="zh-CN"/>
              </w:rPr>
              <w:t>本项目原料</w:t>
            </w:r>
            <w:r>
              <w:rPr>
                <w:rFonts w:hint="eastAsia" w:ascii="Times New Roman" w:hAnsi="Times New Roman" w:cs="Times New Roman"/>
                <w:color w:val="auto"/>
                <w:kern w:val="2"/>
                <w:sz w:val="24"/>
                <w:szCs w:val="24"/>
                <w:highlight w:val="none"/>
                <w:lang w:val="en-US" w:eastAsia="zh-CN" w:bidi="ar-SA"/>
              </w:rPr>
              <w:t>无溶剂改性环氧树脂、改性液体酸酐固化剂</w:t>
            </w:r>
            <w:r>
              <w:rPr>
                <w:rFonts w:hint="eastAsia" w:ascii="Times New Roman" w:hAnsi="Times New Roman" w:cs="Times New Roman"/>
                <w:bCs/>
                <w:color w:val="auto"/>
                <w:szCs w:val="21"/>
                <w:highlight w:val="none"/>
                <w:lang w:val="en-US" w:eastAsia="zh-CN"/>
              </w:rPr>
              <w:t>、环氧粉末会产生废包装桶，废胶桶量为107360个/a，每个桶约重1.16kg，则产生量为107.36t/a。</w:t>
            </w:r>
          </w:p>
          <w:p w14:paraId="5F6C4331">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cs="Times New Roman"/>
                <w:bCs/>
                <w:color w:val="auto"/>
                <w:szCs w:val="21"/>
                <w:highlight w:val="none"/>
                <w:lang w:val="en-US" w:eastAsia="zh-CN"/>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eastAsia" w:ascii="Times New Roman" w:hAnsi="Times New Roman" w:cs="Times New Roman"/>
                <w:bCs/>
                <w:color w:val="auto"/>
                <w:szCs w:val="21"/>
                <w:highlight w:val="none"/>
                <w:lang w:val="en-US" w:eastAsia="zh-CN"/>
              </w:rPr>
              <w:t>废包装桶产生量</w:t>
            </w:r>
            <w:r>
              <w:rPr>
                <w:rFonts w:hint="default" w:ascii="Times New Roman" w:hAnsi="Times New Roman" w:eastAsia="宋体" w:cs="Times New Roman"/>
                <w:bCs/>
                <w:color w:val="auto"/>
                <w:szCs w:val="21"/>
                <w:highlight w:val="none"/>
                <w:lang w:val="en-US" w:eastAsia="zh-CN"/>
              </w:rPr>
              <w:t>为</w:t>
            </w:r>
            <w:r>
              <w:rPr>
                <w:rFonts w:hint="eastAsia" w:ascii="Times New Roman" w:hAnsi="Times New Roman" w:cs="Times New Roman"/>
                <w:bCs/>
                <w:color w:val="auto"/>
                <w:szCs w:val="21"/>
                <w:highlight w:val="none"/>
                <w:lang w:val="en-US" w:eastAsia="zh-CN"/>
              </w:rPr>
              <w:t>214.72</w:t>
            </w:r>
            <w:r>
              <w:rPr>
                <w:rFonts w:hint="eastAsia" w:ascii="Times New Roman" w:hAnsi="Times New Roman" w:eastAsia="宋体" w:cs="Times New Roman"/>
                <w:bCs/>
                <w:color w:val="auto"/>
                <w:szCs w:val="21"/>
                <w:highlight w:val="none"/>
                <w:lang w:val="en-US" w:eastAsia="zh-CN"/>
              </w:rPr>
              <w:t>t</w:t>
            </w:r>
            <w:r>
              <w:rPr>
                <w:rFonts w:hint="default" w:ascii="Times New Roman" w:hAnsi="Times New Roman" w:eastAsia="宋体" w:cs="Times New Roman"/>
                <w:bCs/>
                <w:color w:val="auto"/>
                <w:szCs w:val="21"/>
                <w:highlight w:val="none"/>
                <w:lang w:val="en-US" w:eastAsia="zh-CN"/>
              </w:rPr>
              <w:t>/a</w:t>
            </w:r>
            <w:r>
              <w:rPr>
                <w:rFonts w:hint="eastAsia" w:ascii="Times New Roman" w:hAnsi="Times New Roman" w:eastAsia="宋体" w:cs="Times New Roman"/>
                <w:bCs/>
                <w:color w:val="auto"/>
                <w:szCs w:val="21"/>
                <w:highlight w:val="none"/>
                <w:lang w:val="en-US" w:eastAsia="zh-CN"/>
              </w:rPr>
              <w:t>，</w:t>
            </w:r>
            <w:r>
              <w:rPr>
                <w:rFonts w:hint="eastAsia" w:ascii="Times New Roman" w:hAnsi="Times New Roman" w:cs="Times New Roman"/>
                <w:bCs/>
                <w:color w:val="auto"/>
                <w:szCs w:val="21"/>
                <w:highlight w:val="none"/>
                <w:lang w:val="en-US" w:eastAsia="zh-CN"/>
              </w:rPr>
              <w:t>属于危险废弃物，经收集后暂存于危废间内，委托有资质单位定期妥善处置</w:t>
            </w:r>
            <w:r>
              <w:rPr>
                <w:rFonts w:hint="eastAsia"/>
                <w:bCs/>
                <w:color w:val="auto"/>
                <w:szCs w:val="21"/>
                <w:highlight w:val="none"/>
              </w:rPr>
              <w:t>。</w:t>
            </w:r>
          </w:p>
          <w:p w14:paraId="024AA4E3">
            <w:pPr>
              <w:pStyle w:val="19"/>
              <w:spacing w:before="0" w:beforeAutospacing="0" w:after="0" w:afterAutospacing="0" w:line="360" w:lineRule="auto"/>
              <w:ind w:firstLine="480" w:firstLineChars="200"/>
              <w:outlineLvl w:val="0"/>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②废活性炭（S</w:t>
            </w:r>
            <w:r>
              <w:rPr>
                <w:rFonts w:hint="eastAsia" w:ascii="Times New Roman" w:hAnsi="Times New Roman" w:cs="Times New Roman"/>
                <w:bCs/>
                <w:color w:val="auto"/>
                <w:szCs w:val="21"/>
                <w:lang w:val="en-US" w:eastAsia="zh-CN"/>
              </w:rPr>
              <w:t>2</w:t>
            </w:r>
            <w:r>
              <w:rPr>
                <w:rFonts w:hint="eastAsia" w:ascii="Times New Roman" w:hAnsi="Times New Roman" w:eastAsia="宋体" w:cs="Times New Roman"/>
                <w:bCs/>
                <w:color w:val="auto"/>
                <w:szCs w:val="21"/>
                <w:lang w:val="en-US" w:eastAsia="zh-CN"/>
              </w:rPr>
              <w:t>）</w:t>
            </w:r>
          </w:p>
          <w:p w14:paraId="7F087887">
            <w:pPr>
              <w:pStyle w:val="19"/>
              <w:spacing w:before="0" w:beforeAutospacing="0" w:after="0" w:afterAutospacing="0" w:line="360" w:lineRule="auto"/>
              <w:ind w:firstLine="480" w:firstLineChars="200"/>
              <w:outlineLvl w:val="0"/>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本项目搅拌、缠绕（浸润）、固化工序产生的非甲烷总烃经集气罩收集（收集效率</w:t>
            </w:r>
            <w:r>
              <w:rPr>
                <w:rFonts w:hint="eastAsia" w:ascii="Times New Roman" w:hAnsi="Times New Roman" w:cs="Times New Roman"/>
                <w:bCs/>
                <w:color w:val="auto"/>
                <w:szCs w:val="21"/>
                <w:lang w:val="en-US" w:eastAsia="zh-CN"/>
              </w:rPr>
              <w:t>9</w:t>
            </w:r>
            <w:r>
              <w:rPr>
                <w:rFonts w:hint="eastAsia" w:ascii="Times New Roman" w:hAnsi="Times New Roman" w:eastAsia="宋体" w:cs="Times New Roman"/>
                <w:bCs/>
                <w:color w:val="auto"/>
                <w:szCs w:val="21"/>
                <w:lang w:val="en-US" w:eastAsia="zh-CN"/>
              </w:rPr>
              <w:t>0%）后，进入“二级活性炭吸附”装置处理。</w:t>
            </w:r>
            <w:r>
              <w:rPr>
                <w:rFonts w:hint="eastAsia" w:ascii="Times New Roman" w:hAnsi="Times New Roman" w:eastAsia="宋体"/>
                <w:lang w:val="en-US" w:eastAsia="zh-CN"/>
              </w:rPr>
              <w:t>根据企业提供资料，本项目的二级活性炭吸附的能力为80%，半年更换一次，可以满足处理要求</w:t>
            </w:r>
            <w:r>
              <w:rPr>
                <w:rFonts w:hint="eastAsia" w:ascii="Times New Roman" w:hAnsi="Times New Roman" w:cs="Times New Roman"/>
                <w:bCs/>
                <w:color w:val="auto"/>
                <w:szCs w:val="21"/>
                <w:lang w:val="en-US" w:eastAsia="zh-CN"/>
              </w:rPr>
              <w:t>：</w:t>
            </w:r>
          </w:p>
          <w:p w14:paraId="4A246CBA">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一期：</w:t>
            </w:r>
            <w:r>
              <w:rPr>
                <w:rFonts w:hint="eastAsia" w:ascii="Times New Roman" w:hAnsi="Times New Roman" w:cs="Times New Roman"/>
                <w:color w:val="auto"/>
                <w:sz w:val="24"/>
                <w:highlight w:val="none"/>
                <w:lang w:val="en-US" w:eastAsia="zh-CN"/>
              </w:rPr>
              <w:t>废</w:t>
            </w:r>
            <w:r>
              <w:rPr>
                <w:rFonts w:hint="eastAsia" w:ascii="Times New Roman" w:hAnsi="Times New Roman" w:eastAsia="宋体" w:cs="Times New Roman"/>
                <w:bCs/>
                <w:color w:val="auto"/>
                <w:szCs w:val="21"/>
                <w:lang w:val="en-US" w:eastAsia="zh-CN"/>
              </w:rPr>
              <w:t>活性炭量</w:t>
            </w:r>
            <w:r>
              <w:rPr>
                <w:rFonts w:hint="eastAsia" w:ascii="Times New Roman" w:hAnsi="Times New Roman" w:cs="Times New Roman"/>
                <w:bCs/>
                <w:color w:val="auto"/>
                <w:szCs w:val="21"/>
                <w:lang w:val="en-US" w:eastAsia="zh-CN"/>
              </w:rPr>
              <w:t>产生量为1</w:t>
            </w:r>
            <w:r>
              <w:rPr>
                <w:rFonts w:hint="eastAsia" w:ascii="Times New Roman" w:hAnsi="Times New Roman" w:cs="Times New Roman"/>
                <w:bCs/>
                <w:color w:val="auto"/>
                <w:szCs w:val="21"/>
                <w:highlight w:val="none"/>
                <w:lang w:val="en-US" w:eastAsia="zh-CN"/>
              </w:rPr>
              <w:t>6.2544t/a。</w:t>
            </w:r>
          </w:p>
          <w:p w14:paraId="69A14547">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二期：</w:t>
            </w:r>
            <w:r>
              <w:rPr>
                <w:rFonts w:hint="eastAsia" w:ascii="Times New Roman" w:hAnsi="Times New Roman" w:cs="Times New Roman"/>
                <w:color w:val="auto"/>
                <w:sz w:val="24"/>
                <w:highlight w:val="none"/>
                <w:lang w:val="en-US" w:eastAsia="zh-CN"/>
              </w:rPr>
              <w:t>废</w:t>
            </w:r>
            <w:r>
              <w:rPr>
                <w:rFonts w:hint="eastAsia" w:ascii="Times New Roman" w:hAnsi="Times New Roman" w:eastAsia="宋体" w:cs="Times New Roman"/>
                <w:bCs/>
                <w:color w:val="auto"/>
                <w:szCs w:val="21"/>
                <w:lang w:val="en-US" w:eastAsia="zh-CN"/>
              </w:rPr>
              <w:t>活性炭量</w:t>
            </w:r>
            <w:r>
              <w:rPr>
                <w:rFonts w:hint="eastAsia" w:ascii="Times New Roman" w:hAnsi="Times New Roman" w:cs="Times New Roman"/>
                <w:bCs/>
                <w:color w:val="auto"/>
                <w:szCs w:val="21"/>
                <w:lang w:val="en-US" w:eastAsia="zh-CN"/>
              </w:rPr>
              <w:t>产生量为1</w:t>
            </w:r>
            <w:r>
              <w:rPr>
                <w:rFonts w:hint="eastAsia" w:ascii="Times New Roman" w:hAnsi="Times New Roman" w:cs="Times New Roman"/>
                <w:bCs/>
                <w:color w:val="auto"/>
                <w:szCs w:val="21"/>
                <w:highlight w:val="none"/>
                <w:lang w:val="en-US" w:eastAsia="zh-CN"/>
              </w:rPr>
              <w:t>6.2544t/a。</w:t>
            </w:r>
          </w:p>
          <w:p w14:paraId="463D4962">
            <w:pPr>
              <w:pStyle w:val="19"/>
              <w:spacing w:before="0" w:beforeAutospacing="0" w:after="0" w:afterAutospacing="0" w:line="360" w:lineRule="auto"/>
              <w:ind w:firstLine="480" w:firstLineChars="200"/>
              <w:outlineLvl w:val="0"/>
              <w:rPr>
                <w:rFonts w:hint="eastAsia" w:ascii="Times New Roman" w:hAnsi="Times New Roman" w:eastAsia="宋体" w:cs="Times New Roman"/>
                <w:bCs/>
                <w:color w:val="auto"/>
                <w:szCs w:val="21"/>
                <w:lang w:val="en-US" w:eastAsia="zh-CN"/>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eastAsia" w:ascii="Times New Roman" w:hAnsi="Times New Roman" w:cs="Times New Roman"/>
                <w:color w:val="auto"/>
                <w:sz w:val="24"/>
                <w:highlight w:val="none"/>
                <w:lang w:val="en-US" w:eastAsia="zh-CN"/>
              </w:rPr>
              <w:t>废</w:t>
            </w:r>
            <w:r>
              <w:rPr>
                <w:rFonts w:hint="eastAsia" w:ascii="Times New Roman" w:hAnsi="Times New Roman" w:eastAsia="宋体" w:cs="Times New Roman"/>
                <w:bCs/>
                <w:color w:val="auto"/>
                <w:szCs w:val="21"/>
                <w:lang w:val="en-US" w:eastAsia="zh-CN"/>
              </w:rPr>
              <w:t>活性炭量</w:t>
            </w:r>
            <w:r>
              <w:rPr>
                <w:rFonts w:hint="eastAsia" w:ascii="Times New Roman" w:hAnsi="Times New Roman" w:cs="Times New Roman"/>
                <w:bCs/>
                <w:color w:val="auto"/>
                <w:szCs w:val="21"/>
                <w:lang w:val="en-US" w:eastAsia="zh-CN"/>
              </w:rPr>
              <w:t>为32.5088</w:t>
            </w:r>
            <w:r>
              <w:rPr>
                <w:rFonts w:hint="eastAsia" w:ascii="Times New Roman" w:hAnsi="Times New Roman" w:eastAsia="宋体" w:cs="Times New Roman"/>
                <w:bCs/>
                <w:color w:val="auto"/>
                <w:szCs w:val="21"/>
                <w:lang w:val="en-US" w:eastAsia="zh-CN"/>
              </w:rPr>
              <w:t>t/a，</w:t>
            </w:r>
            <w:r>
              <w:rPr>
                <w:rFonts w:hint="eastAsia" w:ascii="Times New Roman" w:hAnsi="Times New Roman" w:eastAsia="宋体" w:cs="Times New Roman"/>
                <w:snapToGrid w:val="0"/>
                <w:color w:val="auto"/>
                <w:szCs w:val="24"/>
                <w:highlight w:val="none"/>
                <w:lang w:val="en-US" w:eastAsia="zh-CN"/>
              </w:rPr>
              <w:t>暂存</w:t>
            </w:r>
            <w:r>
              <w:rPr>
                <w:rFonts w:hint="eastAsia" w:ascii="Times New Roman" w:hAnsi="Times New Roman" w:eastAsia="宋体"/>
                <w:snapToGrid w:val="0"/>
                <w:color w:val="auto"/>
                <w:szCs w:val="24"/>
                <w:highlight w:val="none"/>
                <w:lang w:val="en-US" w:eastAsia="zh-CN"/>
              </w:rPr>
              <w:t>危废暂存间</w:t>
            </w:r>
            <w:r>
              <w:rPr>
                <w:rFonts w:hint="eastAsia" w:ascii="Times New Roman" w:hAnsi="Times New Roman"/>
                <w:snapToGrid w:val="0"/>
                <w:color w:val="auto"/>
                <w:szCs w:val="24"/>
                <w:highlight w:val="none"/>
              </w:rPr>
              <w:t>，</w:t>
            </w:r>
            <w:r>
              <w:rPr>
                <w:rFonts w:ascii="Times New Roman" w:hAnsi="Times New Roman"/>
                <w:snapToGrid w:val="0"/>
                <w:color w:val="auto"/>
                <w:szCs w:val="24"/>
                <w:highlight w:val="none"/>
              </w:rPr>
              <w:t>定期交由有资质单位处置。</w:t>
            </w:r>
          </w:p>
          <w:p w14:paraId="5CA26F48">
            <w:pPr>
              <w:pStyle w:val="19"/>
              <w:spacing w:before="0" w:beforeAutospacing="0" w:after="0" w:afterAutospacing="0" w:line="360" w:lineRule="auto"/>
              <w:ind w:firstLine="480" w:firstLineChars="200"/>
              <w:outlineLvl w:val="0"/>
              <w:rPr>
                <w:rFonts w:hint="eastAsia" w:ascii="Times New Roman" w:hAnsi="Times New Roman" w:eastAsia="宋体" w:cs="Times New Roman"/>
                <w:bCs/>
                <w:color w:val="auto"/>
                <w:szCs w:val="21"/>
                <w:lang w:val="en-US" w:eastAsia="zh-CN"/>
              </w:rPr>
            </w:pPr>
            <w:r>
              <w:rPr>
                <w:rFonts w:hint="eastAsia" w:ascii="Times New Roman" w:hAnsi="Times New Roman" w:cs="Times New Roman"/>
                <w:bCs/>
                <w:color w:val="auto"/>
                <w:szCs w:val="21"/>
                <w:lang w:val="en-US" w:eastAsia="zh-CN"/>
              </w:rPr>
              <w:t>④</w:t>
            </w:r>
            <w:r>
              <w:rPr>
                <w:rFonts w:hint="eastAsia" w:ascii="Times New Roman" w:hAnsi="Times New Roman" w:eastAsia="宋体" w:cs="Times New Roman"/>
                <w:bCs/>
                <w:color w:val="auto"/>
                <w:szCs w:val="21"/>
                <w:lang w:val="en-US" w:eastAsia="zh-CN"/>
              </w:rPr>
              <w:t>沾染树脂的手套及玻璃纤维（S</w:t>
            </w:r>
            <w:r>
              <w:rPr>
                <w:rFonts w:hint="eastAsia" w:ascii="Times New Roman" w:hAnsi="Times New Roman" w:cs="Times New Roman"/>
                <w:bCs/>
                <w:color w:val="auto"/>
                <w:szCs w:val="21"/>
                <w:lang w:val="en-US" w:eastAsia="zh-CN"/>
              </w:rPr>
              <w:t>3</w:t>
            </w:r>
            <w:r>
              <w:rPr>
                <w:rFonts w:hint="eastAsia" w:ascii="Times New Roman" w:hAnsi="Times New Roman" w:eastAsia="宋体" w:cs="Times New Roman"/>
                <w:bCs/>
                <w:color w:val="auto"/>
                <w:szCs w:val="21"/>
                <w:lang w:val="en-US" w:eastAsia="zh-CN"/>
              </w:rPr>
              <w:t>）</w:t>
            </w:r>
          </w:p>
          <w:p w14:paraId="0C0AC6CD">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一期：</w:t>
            </w: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cs="Times New Roman"/>
                <w:bCs/>
                <w:color w:val="auto"/>
                <w:szCs w:val="21"/>
                <w:lang w:val="en-US" w:eastAsia="zh-CN"/>
              </w:rPr>
              <w:t>根据企业提供，系数按照0.01</w:t>
            </w:r>
            <w:r>
              <w:rPr>
                <w:rFonts w:hint="eastAsia" w:ascii="Times New Roman" w:hAnsi="Times New Roman" w:eastAsia="宋体" w:cs="Times New Roman"/>
                <w:bCs/>
                <w:color w:val="auto"/>
                <w:szCs w:val="21"/>
                <w:lang w:val="en-US" w:eastAsia="zh-CN"/>
              </w:rPr>
              <w:t>‰计算，</w:t>
            </w:r>
            <w:r>
              <w:rPr>
                <w:rFonts w:hint="eastAsia" w:ascii="Times New Roman" w:hAnsi="Times New Roman" w:cs="Times New Roman"/>
                <w:bCs/>
                <w:color w:val="auto"/>
                <w:szCs w:val="21"/>
                <w:highlight w:val="none"/>
                <w:lang w:val="en-US" w:eastAsia="zh-CN"/>
              </w:rPr>
              <w:t>产生量为0.11304t/a。</w:t>
            </w:r>
          </w:p>
          <w:p w14:paraId="6ADEC3C7">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二期：</w:t>
            </w: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cs="Times New Roman"/>
                <w:bCs/>
                <w:color w:val="auto"/>
                <w:szCs w:val="21"/>
                <w:lang w:val="en-US" w:eastAsia="zh-CN"/>
              </w:rPr>
              <w:t>根据企业提供，系数按照0.01</w:t>
            </w:r>
            <w:r>
              <w:rPr>
                <w:rFonts w:hint="eastAsia" w:ascii="Times New Roman" w:hAnsi="Times New Roman" w:eastAsia="宋体" w:cs="Times New Roman"/>
                <w:bCs/>
                <w:color w:val="auto"/>
                <w:szCs w:val="21"/>
                <w:lang w:val="en-US" w:eastAsia="zh-CN"/>
              </w:rPr>
              <w:t>‰计算，</w:t>
            </w:r>
            <w:r>
              <w:rPr>
                <w:rFonts w:hint="eastAsia" w:ascii="Times New Roman" w:hAnsi="Times New Roman" w:cs="Times New Roman"/>
                <w:bCs/>
                <w:color w:val="auto"/>
                <w:szCs w:val="21"/>
                <w:highlight w:val="none"/>
                <w:lang w:val="en-US" w:eastAsia="zh-CN"/>
              </w:rPr>
              <w:t>产生量为0.11304t/a。</w:t>
            </w:r>
          </w:p>
          <w:p w14:paraId="36014E2A">
            <w:pPr>
              <w:pStyle w:val="19"/>
              <w:spacing w:before="0" w:beforeAutospacing="0" w:after="0" w:afterAutospacing="0" w:line="360" w:lineRule="auto"/>
              <w:ind w:firstLine="480" w:firstLineChars="200"/>
              <w:outlineLvl w:val="0"/>
              <w:rPr>
                <w:rFonts w:hint="default" w:ascii="Times New Roman" w:hAnsi="Times New Roman" w:eastAsia="宋体" w:cs="Times New Roman"/>
                <w:bCs/>
                <w:color w:val="auto"/>
                <w:szCs w:val="21"/>
                <w:lang w:val="en-US" w:eastAsia="zh-CN"/>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eastAsia" w:ascii="Times New Roman" w:hAnsi="Times New Roman" w:eastAsia="宋体" w:cs="Times New Roman"/>
                <w:bCs/>
                <w:color w:val="auto"/>
                <w:szCs w:val="21"/>
                <w:highlight w:val="none"/>
                <w:lang w:val="en-US" w:eastAsia="zh-CN"/>
              </w:rPr>
              <w:t>沾染树脂的手套及玻璃纤维</w:t>
            </w:r>
            <w:r>
              <w:rPr>
                <w:rFonts w:hint="eastAsia" w:ascii="Times New Roman" w:hAnsi="Times New Roman" w:cs="Times New Roman"/>
                <w:bCs/>
                <w:color w:val="auto"/>
                <w:szCs w:val="21"/>
                <w:highlight w:val="none"/>
                <w:lang w:val="en-US" w:eastAsia="zh-CN"/>
              </w:rPr>
              <w:t>总</w:t>
            </w:r>
            <w:r>
              <w:rPr>
                <w:rFonts w:ascii="Times New Roman" w:hAnsi="Times New Roman"/>
                <w:snapToGrid w:val="0"/>
                <w:color w:val="auto"/>
                <w:szCs w:val="24"/>
                <w:highlight w:val="none"/>
              </w:rPr>
              <w:t>产生量为</w:t>
            </w:r>
            <w:r>
              <w:rPr>
                <w:rFonts w:hint="eastAsia" w:ascii="Times New Roman" w:hAnsi="Times New Roman"/>
                <w:snapToGrid w:val="0"/>
                <w:color w:val="auto"/>
                <w:szCs w:val="24"/>
                <w:highlight w:val="none"/>
                <w:lang w:val="en-US" w:eastAsia="zh-CN"/>
              </w:rPr>
              <w:t>0.22608</w:t>
            </w:r>
            <w:r>
              <w:rPr>
                <w:rFonts w:ascii="Times New Roman" w:hAnsi="Times New Roman"/>
                <w:snapToGrid w:val="0"/>
                <w:color w:val="auto"/>
                <w:szCs w:val="24"/>
                <w:highlight w:val="none"/>
              </w:rPr>
              <w:t>t/a，</w:t>
            </w:r>
            <w:r>
              <w:rPr>
                <w:rFonts w:hint="eastAsia" w:ascii="Times New Roman" w:hAnsi="Times New Roman" w:eastAsia="宋体" w:cs="Times New Roman"/>
                <w:snapToGrid w:val="0"/>
                <w:color w:val="auto"/>
                <w:szCs w:val="24"/>
                <w:highlight w:val="none"/>
                <w:lang w:val="en-US" w:eastAsia="zh-CN"/>
              </w:rPr>
              <w:t>暂存</w:t>
            </w:r>
            <w:r>
              <w:rPr>
                <w:rFonts w:hint="eastAsia" w:ascii="Times New Roman" w:hAnsi="Times New Roman" w:eastAsia="宋体"/>
                <w:snapToGrid w:val="0"/>
                <w:color w:val="auto"/>
                <w:szCs w:val="24"/>
                <w:highlight w:val="none"/>
                <w:lang w:val="en-US" w:eastAsia="zh-CN"/>
              </w:rPr>
              <w:t>危废暂存间</w:t>
            </w:r>
            <w:r>
              <w:rPr>
                <w:rFonts w:hint="eastAsia" w:ascii="Times New Roman" w:hAnsi="Times New Roman"/>
                <w:snapToGrid w:val="0"/>
                <w:color w:val="auto"/>
                <w:szCs w:val="24"/>
                <w:highlight w:val="none"/>
              </w:rPr>
              <w:t>，</w:t>
            </w:r>
            <w:r>
              <w:rPr>
                <w:rFonts w:ascii="Times New Roman" w:hAnsi="Times New Roman"/>
                <w:snapToGrid w:val="0"/>
                <w:color w:val="auto"/>
                <w:szCs w:val="24"/>
                <w:highlight w:val="none"/>
              </w:rPr>
              <w:t>定期交由有资质单位处置。</w:t>
            </w:r>
          </w:p>
          <w:p w14:paraId="2E2452BF">
            <w:pPr>
              <w:pStyle w:val="19"/>
              <w:spacing w:before="0" w:beforeAutospacing="0" w:after="0" w:afterAutospacing="0" w:line="360" w:lineRule="auto"/>
              <w:ind w:firstLine="480" w:firstLineChars="200"/>
              <w:outlineLvl w:val="0"/>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⑤废活性炭（S</w:t>
            </w:r>
            <w:r>
              <w:rPr>
                <w:rFonts w:hint="eastAsia" w:ascii="Times New Roman" w:hAnsi="Times New Roman" w:cs="Times New Roman"/>
                <w:bCs/>
                <w:color w:val="auto"/>
                <w:szCs w:val="21"/>
                <w:lang w:val="en-US" w:eastAsia="zh-CN"/>
              </w:rPr>
              <w:t>7</w:t>
            </w:r>
            <w:r>
              <w:rPr>
                <w:rFonts w:hint="eastAsia" w:ascii="Times New Roman" w:hAnsi="Times New Roman" w:eastAsia="宋体" w:cs="Times New Roman"/>
                <w:bCs/>
                <w:color w:val="auto"/>
                <w:szCs w:val="21"/>
                <w:lang w:val="en-US" w:eastAsia="zh-CN"/>
              </w:rPr>
              <w:t>）</w:t>
            </w:r>
          </w:p>
          <w:p w14:paraId="4C2657A2">
            <w:pPr>
              <w:pStyle w:val="19"/>
              <w:spacing w:before="0" w:beforeAutospacing="0" w:after="0" w:afterAutospacing="0" w:line="360" w:lineRule="auto"/>
              <w:ind w:firstLine="480" w:firstLineChars="200"/>
              <w:outlineLvl w:val="0"/>
              <w:rPr>
                <w:rFonts w:ascii="Times New Roman" w:hAnsi="Times New Roman"/>
                <w:snapToGrid w:val="0"/>
                <w:color w:val="auto"/>
                <w:szCs w:val="24"/>
                <w:highlight w:val="none"/>
              </w:rPr>
            </w:pPr>
            <w:r>
              <w:rPr>
                <w:rFonts w:hint="eastAsia" w:ascii="Times New Roman" w:hAnsi="Times New Roman" w:eastAsia="宋体" w:cs="Times New Roman"/>
                <w:bCs/>
                <w:color w:val="auto"/>
                <w:szCs w:val="21"/>
                <w:lang w:val="en-US" w:eastAsia="zh-CN"/>
              </w:rPr>
              <w:t>静电喷涂设备有机废气采用二级活性炭吸附处理，活性炭在使用一段时间后其内部孔径将被吸附的废物填满，从而失去吸附能力，为保证处理效率，企业需定期对活性炭进行更换。</w:t>
            </w:r>
            <w:r>
              <w:rPr>
                <w:rFonts w:hint="eastAsia" w:ascii="Times New Roman" w:hAnsi="Times New Roman" w:eastAsia="宋体"/>
                <w:lang w:val="en-US" w:eastAsia="zh-CN"/>
              </w:rPr>
              <w:t>根据企业提供资料，本项目的二级活性炭吸附的能力为80%，半年更换一次，可以满足处理要求</w:t>
            </w:r>
            <w:r>
              <w:rPr>
                <w:rFonts w:hint="eastAsia" w:ascii="Times New Roman" w:hAnsi="Times New Roman" w:cs="Times New Roman"/>
                <w:bCs/>
                <w:color w:val="auto"/>
                <w:szCs w:val="21"/>
                <w:lang w:val="en-US" w:eastAsia="zh-CN"/>
              </w:rPr>
              <w:t>：</w:t>
            </w:r>
          </w:p>
          <w:p w14:paraId="1D7A6436">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一期：</w:t>
            </w:r>
            <w:r>
              <w:rPr>
                <w:rFonts w:hint="eastAsia" w:ascii="Times New Roman" w:hAnsi="Times New Roman" w:cs="Times New Roman"/>
                <w:color w:val="auto"/>
                <w:sz w:val="24"/>
                <w:highlight w:val="none"/>
                <w:lang w:val="en-US" w:eastAsia="zh-CN"/>
              </w:rPr>
              <w:t>废</w:t>
            </w:r>
            <w:r>
              <w:rPr>
                <w:rFonts w:hint="eastAsia" w:ascii="Times New Roman" w:hAnsi="Times New Roman" w:eastAsia="宋体" w:cs="Times New Roman"/>
                <w:bCs/>
                <w:color w:val="auto"/>
                <w:szCs w:val="21"/>
                <w:lang w:val="en-US" w:eastAsia="zh-CN"/>
              </w:rPr>
              <w:t>活性炭量</w:t>
            </w:r>
            <w:r>
              <w:rPr>
                <w:rFonts w:hint="eastAsia" w:ascii="Times New Roman" w:hAnsi="Times New Roman" w:cs="Times New Roman"/>
                <w:bCs/>
                <w:color w:val="auto"/>
                <w:szCs w:val="21"/>
                <w:lang w:val="en-US" w:eastAsia="zh-CN"/>
              </w:rPr>
              <w:t>产生量为</w:t>
            </w:r>
            <w:r>
              <w:rPr>
                <w:rFonts w:hint="eastAsia" w:ascii="Times New Roman" w:hAnsi="Times New Roman" w:cs="Times New Roman"/>
                <w:bCs/>
                <w:color w:val="auto"/>
                <w:szCs w:val="21"/>
                <w:highlight w:val="none"/>
                <w:lang w:val="en-US" w:eastAsia="zh-CN"/>
              </w:rPr>
              <w:t>1.41t/a。</w:t>
            </w:r>
          </w:p>
          <w:p w14:paraId="55922168">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ascii="Times New Roman" w:hAnsi="Times New Roman" w:cs="Times New Roman"/>
                <w:bCs/>
                <w:color w:val="auto"/>
                <w:szCs w:val="21"/>
                <w:highlight w:val="none"/>
                <w:lang w:val="en-US" w:eastAsia="zh-CN"/>
              </w:rPr>
            </w:pPr>
            <w:r>
              <w:rPr>
                <w:rFonts w:hint="eastAsia"/>
                <w:b/>
                <w:bCs/>
                <w:color w:val="auto"/>
                <w:sz w:val="24"/>
                <w:highlight w:val="none"/>
                <w:lang w:val="en-US" w:eastAsia="zh-CN"/>
              </w:rPr>
              <w:t>二期：</w:t>
            </w:r>
            <w:r>
              <w:rPr>
                <w:rFonts w:hint="eastAsia" w:ascii="Times New Roman" w:hAnsi="Times New Roman" w:cs="Times New Roman"/>
                <w:color w:val="auto"/>
                <w:sz w:val="24"/>
                <w:highlight w:val="none"/>
                <w:lang w:val="en-US" w:eastAsia="zh-CN"/>
              </w:rPr>
              <w:t>废</w:t>
            </w:r>
            <w:r>
              <w:rPr>
                <w:rFonts w:hint="eastAsia" w:ascii="Times New Roman" w:hAnsi="Times New Roman" w:eastAsia="宋体" w:cs="Times New Roman"/>
                <w:bCs/>
                <w:color w:val="auto"/>
                <w:szCs w:val="21"/>
                <w:lang w:val="en-US" w:eastAsia="zh-CN"/>
              </w:rPr>
              <w:t>活性炭量</w:t>
            </w:r>
            <w:r>
              <w:rPr>
                <w:rFonts w:hint="eastAsia" w:ascii="Times New Roman" w:hAnsi="Times New Roman" w:cs="Times New Roman"/>
                <w:bCs/>
                <w:color w:val="auto"/>
                <w:szCs w:val="21"/>
                <w:lang w:val="en-US" w:eastAsia="zh-CN"/>
              </w:rPr>
              <w:t>产生量为</w:t>
            </w:r>
            <w:r>
              <w:rPr>
                <w:rFonts w:hint="eastAsia" w:ascii="Times New Roman" w:hAnsi="Times New Roman" w:cs="Times New Roman"/>
                <w:bCs/>
                <w:color w:val="auto"/>
                <w:szCs w:val="21"/>
                <w:highlight w:val="none"/>
                <w:lang w:val="en-US" w:eastAsia="zh-CN"/>
              </w:rPr>
              <w:t>1.41/a。</w:t>
            </w:r>
          </w:p>
          <w:p w14:paraId="76285A8A">
            <w:pPr>
              <w:pStyle w:val="19"/>
              <w:spacing w:before="0" w:beforeAutospacing="0" w:after="0" w:afterAutospacing="0" w:line="360" w:lineRule="auto"/>
              <w:ind w:firstLine="480" w:firstLineChars="200"/>
              <w:outlineLvl w:val="0"/>
              <w:rPr>
                <w:rFonts w:hint="eastAsia" w:ascii="Times New Roman" w:hAnsi="Times New Roman"/>
                <w:snapToGrid w:val="0"/>
                <w:color w:val="auto"/>
                <w:szCs w:val="24"/>
                <w:highlight w:val="none"/>
                <w:lang w:val="en-US" w:eastAsia="zh-CN"/>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eastAsia" w:ascii="Times New Roman" w:hAnsi="Times New Roman" w:cs="Times New Roman"/>
                <w:color w:val="auto"/>
                <w:sz w:val="24"/>
                <w:highlight w:val="none"/>
                <w:lang w:val="en-US" w:eastAsia="zh-CN"/>
              </w:rPr>
              <w:t>废</w:t>
            </w:r>
            <w:r>
              <w:rPr>
                <w:rFonts w:hint="eastAsia" w:ascii="Times New Roman" w:hAnsi="Times New Roman" w:eastAsia="宋体" w:cs="Times New Roman"/>
                <w:bCs/>
                <w:color w:val="auto"/>
                <w:szCs w:val="21"/>
                <w:lang w:val="en-US" w:eastAsia="zh-CN"/>
              </w:rPr>
              <w:t>活性炭量</w:t>
            </w:r>
            <w:r>
              <w:rPr>
                <w:rFonts w:hint="eastAsia" w:ascii="Times New Roman" w:hAnsi="Times New Roman" w:cs="Times New Roman"/>
                <w:bCs/>
                <w:color w:val="auto"/>
                <w:szCs w:val="21"/>
                <w:lang w:val="en-US" w:eastAsia="zh-CN"/>
              </w:rPr>
              <w:t>为2.82</w:t>
            </w:r>
            <w:r>
              <w:rPr>
                <w:rFonts w:hint="eastAsia" w:ascii="Times New Roman" w:hAnsi="Times New Roman" w:eastAsia="宋体" w:cs="Times New Roman"/>
                <w:bCs/>
                <w:color w:val="auto"/>
                <w:szCs w:val="21"/>
                <w:lang w:val="en-US" w:eastAsia="zh-CN"/>
              </w:rPr>
              <w:t>t/a，</w:t>
            </w:r>
            <w:r>
              <w:rPr>
                <w:rFonts w:hint="eastAsia" w:ascii="Times New Roman" w:hAnsi="Times New Roman" w:eastAsia="宋体" w:cs="Times New Roman"/>
                <w:snapToGrid w:val="0"/>
                <w:color w:val="auto"/>
                <w:szCs w:val="24"/>
                <w:highlight w:val="none"/>
                <w:lang w:val="en-US" w:eastAsia="zh-CN"/>
              </w:rPr>
              <w:t>暂存</w:t>
            </w:r>
            <w:r>
              <w:rPr>
                <w:rFonts w:hint="eastAsia" w:ascii="Times New Roman" w:hAnsi="Times New Roman" w:eastAsia="宋体"/>
                <w:snapToGrid w:val="0"/>
                <w:color w:val="auto"/>
                <w:szCs w:val="24"/>
                <w:highlight w:val="none"/>
                <w:lang w:val="en-US" w:eastAsia="zh-CN"/>
              </w:rPr>
              <w:t>危废暂存间</w:t>
            </w:r>
            <w:r>
              <w:rPr>
                <w:rFonts w:hint="eastAsia" w:ascii="Times New Roman" w:hAnsi="Times New Roman"/>
                <w:snapToGrid w:val="0"/>
                <w:color w:val="auto"/>
                <w:szCs w:val="24"/>
                <w:highlight w:val="none"/>
              </w:rPr>
              <w:t>，</w:t>
            </w:r>
            <w:r>
              <w:rPr>
                <w:rFonts w:ascii="Times New Roman" w:hAnsi="Times New Roman"/>
                <w:snapToGrid w:val="0"/>
                <w:color w:val="auto"/>
                <w:szCs w:val="24"/>
                <w:highlight w:val="none"/>
              </w:rPr>
              <w:t>定期交由有资质单位处置。</w:t>
            </w:r>
          </w:p>
          <w:p w14:paraId="4D903A62">
            <w:pPr>
              <w:pStyle w:val="19"/>
              <w:spacing w:before="0" w:beforeAutospacing="0" w:after="0" w:afterAutospacing="0" w:line="360" w:lineRule="auto"/>
              <w:ind w:firstLine="480" w:firstLineChars="200"/>
              <w:outlineLvl w:val="0"/>
              <w:rPr>
                <w:rFonts w:hint="eastAsia" w:ascii="Times New Roman" w:hAnsi="Times New Roman" w:eastAsia="宋体" w:cs="Times New Roman"/>
                <w:bCs/>
                <w:color w:val="auto"/>
                <w:szCs w:val="21"/>
                <w:lang w:val="en-US" w:eastAsia="zh-CN"/>
              </w:rPr>
            </w:pPr>
            <w:r>
              <w:rPr>
                <w:rFonts w:hint="eastAsia" w:ascii="Times New Roman" w:hAnsi="Times New Roman" w:cs="Times New Roman"/>
                <w:bCs/>
                <w:color w:val="auto"/>
                <w:szCs w:val="21"/>
                <w:lang w:val="en-US" w:eastAsia="zh-CN"/>
              </w:rPr>
              <w:t>⑥</w:t>
            </w:r>
            <w:r>
              <w:rPr>
                <w:rFonts w:hint="eastAsia" w:ascii="Times New Roman" w:hAnsi="Times New Roman" w:eastAsia="宋体" w:cs="Times New Roman"/>
                <w:bCs/>
                <w:color w:val="auto"/>
                <w:szCs w:val="21"/>
                <w:lang w:val="en-US" w:eastAsia="zh-CN"/>
              </w:rPr>
              <w:t>废润滑油（S</w:t>
            </w:r>
            <w:r>
              <w:rPr>
                <w:rFonts w:hint="eastAsia" w:ascii="Times New Roman" w:hAnsi="Times New Roman" w:cs="Times New Roman"/>
                <w:bCs/>
                <w:color w:val="auto"/>
                <w:szCs w:val="21"/>
                <w:lang w:val="en-US" w:eastAsia="zh-CN"/>
              </w:rPr>
              <w:t>9</w:t>
            </w:r>
            <w:r>
              <w:rPr>
                <w:rFonts w:hint="eastAsia" w:ascii="Times New Roman" w:hAnsi="Times New Roman" w:eastAsia="宋体" w:cs="Times New Roman"/>
                <w:bCs/>
                <w:color w:val="auto"/>
                <w:szCs w:val="21"/>
                <w:lang w:val="en-US" w:eastAsia="zh-CN"/>
              </w:rPr>
              <w:t>）</w:t>
            </w:r>
          </w:p>
          <w:p w14:paraId="11587E53">
            <w:pPr>
              <w:pStyle w:val="19"/>
              <w:spacing w:before="0" w:beforeAutospacing="0" w:after="0" w:afterAutospacing="0" w:line="360" w:lineRule="auto"/>
              <w:ind w:firstLine="480" w:firstLineChars="200"/>
              <w:outlineLvl w:val="0"/>
              <w:rPr>
                <w:rFonts w:hint="eastAsia" w:ascii="Times New Roman" w:hAnsi="Times New Roman"/>
                <w:color w:val="auto"/>
                <w:highlight w:val="none"/>
                <w:lang w:val="en-US" w:eastAsia="zh-CN"/>
              </w:rPr>
            </w:pPr>
            <w:r>
              <w:rPr>
                <w:rFonts w:hint="eastAsia" w:ascii="Times New Roman" w:hAnsi="Times New Roman"/>
                <w:color w:val="auto"/>
                <w:highlight w:val="none"/>
              </w:rPr>
              <w:t>废润滑油</w:t>
            </w:r>
            <w:r>
              <w:rPr>
                <w:rFonts w:ascii="Times New Roman" w:hAnsi="Times New Roman"/>
                <w:snapToGrid w:val="0"/>
                <w:color w:val="auto"/>
                <w:szCs w:val="24"/>
                <w:highlight w:val="none"/>
              </w:rPr>
              <w:t>主要</w:t>
            </w:r>
            <w:r>
              <w:rPr>
                <w:rFonts w:hint="eastAsia" w:ascii="Times New Roman" w:hAnsi="Times New Roman" w:eastAsia="宋体" w:cs="Times New Roman"/>
                <w:snapToGrid w:val="0"/>
                <w:color w:val="auto"/>
                <w:szCs w:val="24"/>
                <w:highlight w:val="none"/>
                <w:lang w:val="en-US" w:eastAsia="zh-CN"/>
              </w:rPr>
              <w:t>为编织机</w:t>
            </w:r>
            <w:r>
              <w:rPr>
                <w:rFonts w:ascii="Times New Roman" w:hAnsi="Times New Roman" w:eastAsia="宋体" w:cs="Times New Roman"/>
                <w:snapToGrid w:val="0"/>
                <w:color w:val="auto"/>
                <w:szCs w:val="24"/>
                <w:highlight w:val="none"/>
              </w:rPr>
              <w:t>、</w:t>
            </w:r>
            <w:r>
              <w:rPr>
                <w:rFonts w:hint="eastAsia" w:ascii="Times New Roman" w:hAnsi="Times New Roman" w:eastAsia="宋体" w:cs="Times New Roman"/>
                <w:snapToGrid w:val="0"/>
                <w:color w:val="auto"/>
                <w:szCs w:val="24"/>
                <w:highlight w:val="none"/>
                <w:lang w:val="en-US" w:eastAsia="zh-CN"/>
              </w:rPr>
              <w:t>静电喷涂等设备</w:t>
            </w:r>
            <w:r>
              <w:rPr>
                <w:rFonts w:ascii="Times New Roman" w:hAnsi="Times New Roman" w:eastAsia="宋体" w:cs="Times New Roman"/>
                <w:snapToGrid w:val="0"/>
                <w:color w:val="auto"/>
                <w:szCs w:val="24"/>
                <w:highlight w:val="none"/>
              </w:rPr>
              <w:t>的检</w:t>
            </w:r>
            <w:r>
              <w:rPr>
                <w:rFonts w:ascii="Times New Roman" w:hAnsi="Times New Roman"/>
                <w:snapToGrid w:val="0"/>
                <w:color w:val="auto"/>
                <w:szCs w:val="24"/>
                <w:highlight w:val="none"/>
              </w:rPr>
              <w:t>修过程产生，属于《国家危险废物名录》（202</w:t>
            </w:r>
            <w:r>
              <w:rPr>
                <w:rFonts w:hint="eastAsia" w:ascii="Times New Roman" w:hAnsi="Times New Roman"/>
                <w:snapToGrid w:val="0"/>
                <w:color w:val="auto"/>
                <w:szCs w:val="24"/>
                <w:highlight w:val="none"/>
              </w:rPr>
              <w:t>5</w:t>
            </w:r>
            <w:r>
              <w:rPr>
                <w:rFonts w:ascii="Times New Roman" w:hAnsi="Times New Roman"/>
                <w:snapToGrid w:val="0"/>
                <w:color w:val="auto"/>
                <w:szCs w:val="24"/>
                <w:highlight w:val="none"/>
              </w:rPr>
              <w:t>版）中HW08废矿物油与含矿物</w:t>
            </w:r>
            <w:r>
              <w:rPr>
                <w:rFonts w:ascii="Times New Roman" w:hAnsi="Times New Roman" w:eastAsia="宋体" w:cs="Times New Roman"/>
                <w:snapToGrid w:val="0"/>
                <w:color w:val="auto"/>
                <w:szCs w:val="24"/>
                <w:highlight w:val="none"/>
              </w:rPr>
              <w:t>油废物900-21</w:t>
            </w:r>
            <w:r>
              <w:rPr>
                <w:rFonts w:hint="eastAsia" w:ascii="Times New Roman" w:hAnsi="Times New Roman" w:eastAsia="宋体" w:cs="Times New Roman"/>
                <w:snapToGrid w:val="0"/>
                <w:color w:val="auto"/>
                <w:szCs w:val="24"/>
                <w:highlight w:val="none"/>
                <w:lang w:val="en-US" w:eastAsia="zh-CN"/>
              </w:rPr>
              <w:t>7</w:t>
            </w:r>
            <w:r>
              <w:rPr>
                <w:rFonts w:ascii="Times New Roman" w:hAnsi="Times New Roman" w:eastAsia="宋体" w:cs="Times New Roman"/>
                <w:snapToGrid w:val="0"/>
                <w:color w:val="auto"/>
                <w:szCs w:val="24"/>
                <w:highlight w:val="none"/>
              </w:rPr>
              <w:t>-08</w:t>
            </w:r>
            <w:r>
              <w:rPr>
                <w:rFonts w:hint="eastAsia" w:ascii="Times New Roman" w:hAnsi="Times New Roman" w:eastAsia="宋体" w:cs="Times New Roman"/>
                <w:snapToGrid w:val="0"/>
                <w:color w:val="auto"/>
                <w:szCs w:val="24"/>
                <w:highlight w:val="none"/>
              </w:rPr>
              <w:t>；</w:t>
            </w:r>
            <w:r>
              <w:rPr>
                <w:rFonts w:hint="eastAsia" w:ascii="Times New Roman" w:hAnsi="Times New Roman" w:eastAsia="宋体" w:cs="Times New Roman"/>
                <w:snapToGrid w:val="0"/>
                <w:color w:val="auto"/>
                <w:szCs w:val="24"/>
                <w:highlight w:val="none"/>
                <w:lang w:val="en-US" w:eastAsia="zh-CN"/>
              </w:rPr>
              <w:t>暂存</w:t>
            </w:r>
            <w:r>
              <w:rPr>
                <w:rFonts w:hint="eastAsia" w:ascii="Times New Roman" w:hAnsi="Times New Roman" w:eastAsia="宋体"/>
                <w:snapToGrid w:val="0"/>
                <w:color w:val="auto"/>
                <w:szCs w:val="24"/>
                <w:highlight w:val="none"/>
                <w:lang w:val="en-US" w:eastAsia="zh-CN"/>
              </w:rPr>
              <w:t>危废暂存间</w:t>
            </w:r>
            <w:r>
              <w:rPr>
                <w:rFonts w:hint="eastAsia" w:ascii="Times New Roman" w:hAnsi="Times New Roman"/>
                <w:snapToGrid w:val="0"/>
                <w:color w:val="auto"/>
                <w:szCs w:val="24"/>
                <w:highlight w:val="none"/>
              </w:rPr>
              <w:t>，</w:t>
            </w:r>
            <w:r>
              <w:rPr>
                <w:rFonts w:ascii="Times New Roman" w:hAnsi="Times New Roman"/>
                <w:snapToGrid w:val="0"/>
                <w:color w:val="auto"/>
                <w:szCs w:val="24"/>
                <w:highlight w:val="none"/>
              </w:rPr>
              <w:t>定期交由有资质单位处置。</w:t>
            </w:r>
          </w:p>
          <w:p w14:paraId="2B020AC4">
            <w:pPr>
              <w:pStyle w:val="19"/>
              <w:spacing w:before="0" w:beforeAutospacing="0" w:after="0" w:afterAutospacing="0" w:line="360" w:lineRule="auto"/>
              <w:ind w:firstLine="480" w:firstLineChars="200"/>
              <w:outlineLvl w:val="0"/>
              <w:rPr>
                <w:rFonts w:hint="eastAsia" w:ascii="Times New Roman" w:hAnsi="Times New Roman" w:eastAsia="宋体"/>
                <w:color w:val="auto"/>
                <w:highlight w:val="none"/>
                <w:lang w:val="en-US" w:eastAsia="zh-CN"/>
              </w:rPr>
            </w:pPr>
            <w:r>
              <w:rPr>
                <w:rFonts w:hint="eastAsia" w:ascii="Times New Roman" w:hAnsi="Times New Roman"/>
                <w:color w:val="auto"/>
                <w:highlight w:val="none"/>
                <w:lang w:val="en-US" w:eastAsia="zh-CN"/>
              </w:rPr>
              <w:t>一期：根据业主提供数据，</w:t>
            </w:r>
            <w:r>
              <w:rPr>
                <w:rFonts w:ascii="Times New Roman" w:hAnsi="Times New Roman"/>
                <w:snapToGrid w:val="0"/>
                <w:color w:val="auto"/>
                <w:szCs w:val="24"/>
                <w:highlight w:val="none"/>
              </w:rPr>
              <w:t>产生量为0.5t/a</w:t>
            </w:r>
            <w:r>
              <w:rPr>
                <w:rFonts w:hint="eastAsia" w:ascii="Times New Roman" w:hAnsi="Times New Roman"/>
                <w:snapToGrid w:val="0"/>
                <w:color w:val="auto"/>
                <w:szCs w:val="24"/>
                <w:highlight w:val="none"/>
                <w:lang w:eastAsia="zh-CN"/>
              </w:rPr>
              <w:t>。</w:t>
            </w:r>
          </w:p>
          <w:p w14:paraId="77A1F9B5">
            <w:pPr>
              <w:pStyle w:val="19"/>
              <w:spacing w:before="0" w:beforeAutospacing="0" w:after="0" w:afterAutospacing="0" w:line="360" w:lineRule="auto"/>
              <w:ind w:firstLine="480" w:firstLineChars="200"/>
              <w:outlineLvl w:val="0"/>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二期：根据业主提供数据，</w:t>
            </w:r>
            <w:r>
              <w:rPr>
                <w:rFonts w:ascii="Times New Roman" w:hAnsi="Times New Roman"/>
                <w:snapToGrid w:val="0"/>
                <w:color w:val="auto"/>
                <w:szCs w:val="24"/>
                <w:highlight w:val="none"/>
              </w:rPr>
              <w:t>产生量为0.</w:t>
            </w:r>
            <w:r>
              <w:rPr>
                <w:rFonts w:hint="eastAsia" w:ascii="Times New Roman" w:hAnsi="Times New Roman"/>
                <w:snapToGrid w:val="0"/>
                <w:color w:val="auto"/>
                <w:szCs w:val="24"/>
                <w:highlight w:val="none"/>
                <w:lang w:val="en-US" w:eastAsia="zh-CN"/>
              </w:rPr>
              <w:t>2</w:t>
            </w:r>
            <w:r>
              <w:rPr>
                <w:rFonts w:ascii="Times New Roman" w:hAnsi="Times New Roman"/>
                <w:snapToGrid w:val="0"/>
                <w:color w:val="auto"/>
                <w:szCs w:val="24"/>
                <w:highlight w:val="none"/>
              </w:rPr>
              <w:t>t/a</w:t>
            </w:r>
            <w:r>
              <w:rPr>
                <w:rFonts w:hint="eastAsia" w:ascii="Times New Roman" w:hAnsi="Times New Roman"/>
                <w:snapToGrid w:val="0"/>
                <w:color w:val="auto"/>
                <w:szCs w:val="24"/>
                <w:highlight w:val="none"/>
                <w:lang w:eastAsia="zh-CN"/>
              </w:rPr>
              <w:t>。</w:t>
            </w:r>
          </w:p>
          <w:p w14:paraId="40B88795">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eastAsia" w:ascii="Times New Roman" w:hAnsi="Times New Roman" w:eastAsia="宋体" w:cs="Times New Roman"/>
                <w:bCs/>
                <w:color w:val="auto"/>
                <w:szCs w:val="21"/>
                <w:highlight w:val="none"/>
                <w:lang w:val="en-US" w:eastAsia="zh-CN"/>
              </w:rPr>
            </w:pPr>
            <w:r>
              <w:rPr>
                <w:rFonts w:hint="eastAsia" w:ascii="Times New Roman" w:hAnsi="Times New Roman"/>
                <w:snapToGrid w:val="0"/>
                <w:color w:val="auto"/>
                <w:szCs w:val="24"/>
                <w:highlight w:val="none"/>
                <w:lang w:val="en-US" w:eastAsia="zh-CN"/>
              </w:rPr>
              <w:t>本项目</w:t>
            </w:r>
            <w:r>
              <w:rPr>
                <w:rFonts w:hint="eastAsia" w:ascii="Times New Roman" w:hAnsi="Times New Roman" w:eastAsia="宋体" w:cs="Times New Roman"/>
                <w:color w:val="auto"/>
                <w:sz w:val="24"/>
                <w:highlight w:val="none"/>
                <w:lang w:val="en-US" w:eastAsia="zh-CN"/>
              </w:rPr>
              <w:t>全部建成后</w:t>
            </w:r>
            <w:r>
              <w:rPr>
                <w:rFonts w:hint="eastAsia" w:ascii="Times New Roman" w:hAnsi="Times New Roman" w:eastAsia="宋体" w:cs="Times New Roman"/>
                <w:bCs/>
                <w:color w:val="auto"/>
                <w:szCs w:val="21"/>
                <w:lang w:val="en-US" w:eastAsia="zh-CN"/>
              </w:rPr>
              <w:t>废润滑油</w:t>
            </w:r>
            <w:r>
              <w:rPr>
                <w:rFonts w:hint="eastAsia" w:ascii="Times New Roman" w:hAnsi="Times New Roman" w:cs="Times New Roman"/>
                <w:bCs/>
                <w:color w:val="auto"/>
                <w:szCs w:val="21"/>
                <w:highlight w:val="none"/>
                <w:lang w:val="en-US" w:eastAsia="zh-CN"/>
              </w:rPr>
              <w:t>产生量</w:t>
            </w:r>
            <w:r>
              <w:rPr>
                <w:rFonts w:hint="default" w:ascii="Times New Roman" w:hAnsi="Times New Roman" w:eastAsia="宋体" w:cs="Times New Roman"/>
                <w:bCs/>
                <w:color w:val="auto"/>
                <w:szCs w:val="21"/>
                <w:highlight w:val="none"/>
                <w:lang w:val="en-US" w:eastAsia="zh-CN"/>
              </w:rPr>
              <w:t>为</w:t>
            </w:r>
            <w:r>
              <w:rPr>
                <w:rFonts w:hint="eastAsia" w:ascii="Times New Roman" w:hAnsi="Times New Roman" w:cs="Times New Roman"/>
                <w:bCs/>
                <w:color w:val="auto"/>
                <w:szCs w:val="21"/>
                <w:highlight w:val="none"/>
                <w:lang w:val="en-US" w:eastAsia="zh-CN"/>
              </w:rPr>
              <w:t>0.7</w:t>
            </w:r>
            <w:r>
              <w:rPr>
                <w:rFonts w:hint="eastAsia" w:ascii="Times New Roman" w:hAnsi="Times New Roman" w:eastAsia="宋体" w:cs="Times New Roman"/>
                <w:bCs/>
                <w:color w:val="auto"/>
                <w:szCs w:val="21"/>
                <w:highlight w:val="none"/>
                <w:lang w:val="en-US" w:eastAsia="zh-CN"/>
              </w:rPr>
              <w:t>t</w:t>
            </w:r>
            <w:r>
              <w:rPr>
                <w:rFonts w:hint="default" w:ascii="Times New Roman" w:hAnsi="Times New Roman" w:eastAsia="宋体" w:cs="Times New Roman"/>
                <w:bCs/>
                <w:color w:val="auto"/>
                <w:szCs w:val="21"/>
                <w:highlight w:val="none"/>
                <w:lang w:val="en-US" w:eastAsia="zh-CN"/>
              </w:rPr>
              <w:t>/a</w:t>
            </w:r>
            <w:r>
              <w:rPr>
                <w:rFonts w:hint="eastAsia" w:ascii="Times New Roman" w:hAnsi="Times New Roman" w:eastAsia="宋体" w:cs="Times New Roman"/>
                <w:bCs/>
                <w:color w:val="auto"/>
                <w:szCs w:val="21"/>
                <w:highlight w:val="none"/>
                <w:lang w:val="en-US" w:eastAsia="zh-CN"/>
              </w:rPr>
              <w:t>，</w:t>
            </w:r>
            <w:r>
              <w:rPr>
                <w:rFonts w:hint="eastAsia" w:ascii="Times New Roman" w:hAnsi="Times New Roman" w:cs="Times New Roman"/>
                <w:bCs/>
                <w:color w:val="auto"/>
                <w:szCs w:val="21"/>
                <w:highlight w:val="none"/>
                <w:lang w:val="en-US" w:eastAsia="zh-CN"/>
              </w:rPr>
              <w:t>属于危险废弃物，经收集后暂存于危废间内，委托有资质单位定期妥善处置</w:t>
            </w:r>
            <w:r>
              <w:rPr>
                <w:rFonts w:hint="eastAsia"/>
                <w:bCs/>
                <w:color w:val="auto"/>
                <w:szCs w:val="21"/>
                <w:highlight w:val="none"/>
              </w:rPr>
              <w:t>。</w:t>
            </w:r>
          </w:p>
          <w:p w14:paraId="1AAFE95C">
            <w:pPr>
              <w:pStyle w:val="19"/>
              <w:numPr>
                <w:ilvl w:val="0"/>
                <w:numId w:val="0"/>
              </w:numPr>
              <w:spacing w:before="0" w:beforeAutospacing="0" w:after="0" w:afterAutospacing="0" w:line="360" w:lineRule="auto"/>
              <w:ind w:firstLine="480" w:firstLineChars="200"/>
              <w:outlineLvl w:val="0"/>
              <w:rPr>
                <w:rFonts w:ascii="Times New Roman" w:hAnsi="Times New Roman"/>
                <w:snapToGrid w:val="0"/>
                <w:color w:val="auto"/>
                <w:szCs w:val="24"/>
              </w:rPr>
            </w:pPr>
            <w:r>
              <w:rPr>
                <w:rFonts w:ascii="Times New Roman" w:hAnsi="Times New Roman"/>
                <w:snapToGrid w:val="0"/>
                <w:color w:val="auto"/>
                <w:szCs w:val="24"/>
              </w:rPr>
              <w:t>综上所述，本项目固废均合理处置，符合《一般工业固体废物贮存和填埋污染控制标准》（GB18599-2020）中要求；危险废物的贮存符合《危险废物贮存污染控制标准》（GB18597-2023）。</w:t>
            </w:r>
          </w:p>
          <w:p w14:paraId="16095BE2">
            <w:pPr>
              <w:pStyle w:val="19"/>
              <w:spacing w:before="0" w:beforeAutospacing="0" w:after="0" w:afterAutospacing="0" w:line="360" w:lineRule="auto"/>
              <w:ind w:firstLine="480" w:firstLineChars="200"/>
              <w:outlineLvl w:val="0"/>
              <w:rPr>
                <w:rFonts w:ascii="Times New Roman" w:hAnsi="Times New Roman"/>
                <w:snapToGrid w:val="0"/>
                <w:color w:val="auto"/>
                <w:szCs w:val="24"/>
              </w:rPr>
            </w:pPr>
            <w:r>
              <w:rPr>
                <w:rFonts w:ascii="Times New Roman" w:hAnsi="Times New Roman"/>
                <w:snapToGrid w:val="0"/>
                <w:color w:val="auto"/>
                <w:szCs w:val="24"/>
              </w:rPr>
              <w:t>本项目固废全部妥善处理，对周边环境影响较小，固体废物产生情况及处置措施见下表。</w:t>
            </w:r>
          </w:p>
          <w:p w14:paraId="2C5105A7">
            <w:pPr>
              <w:pStyle w:val="19"/>
              <w:spacing w:before="0" w:beforeAutospacing="0" w:after="0" w:afterAutospacing="0"/>
              <w:ind w:left="420" w:leftChars="200"/>
              <w:jc w:val="center"/>
              <w:outlineLvl w:val="0"/>
              <w:rPr>
                <w:rFonts w:ascii="Times New Roman" w:hAnsi="Times New Roman"/>
                <w:b/>
                <w:bCs/>
                <w:snapToGrid w:val="0"/>
                <w:color w:val="auto"/>
                <w:szCs w:val="24"/>
              </w:rPr>
            </w:pPr>
            <w:r>
              <w:rPr>
                <w:rFonts w:ascii="Times New Roman" w:hAnsi="Times New Roman"/>
                <w:b/>
                <w:bCs/>
                <w:snapToGrid w:val="0"/>
                <w:color w:val="auto"/>
                <w:szCs w:val="24"/>
              </w:rPr>
              <w:t>表4-</w:t>
            </w:r>
            <w:r>
              <w:rPr>
                <w:rFonts w:hint="eastAsia" w:ascii="Times New Roman" w:hAnsi="Times New Roman"/>
                <w:b/>
                <w:bCs/>
                <w:snapToGrid w:val="0"/>
                <w:color w:val="auto"/>
                <w:szCs w:val="24"/>
              </w:rPr>
              <w:t>1</w:t>
            </w:r>
            <w:r>
              <w:rPr>
                <w:rFonts w:hint="eastAsia" w:ascii="Times New Roman" w:hAnsi="Times New Roman"/>
                <w:b/>
                <w:bCs/>
                <w:snapToGrid w:val="0"/>
                <w:color w:val="auto"/>
                <w:szCs w:val="24"/>
                <w:lang w:val="en-US" w:eastAsia="zh-CN"/>
              </w:rPr>
              <w:t>3</w:t>
            </w:r>
            <w:r>
              <w:rPr>
                <w:rFonts w:ascii="Times New Roman" w:hAnsi="Times New Roman"/>
                <w:b/>
                <w:bCs/>
                <w:snapToGrid w:val="0"/>
                <w:color w:val="auto"/>
                <w:szCs w:val="24"/>
              </w:rPr>
              <w:t xml:space="preserve">    </w:t>
            </w:r>
            <w:r>
              <w:rPr>
                <w:rFonts w:hint="eastAsia" w:ascii="Times New Roman" w:hAnsi="Times New Roman"/>
                <w:b/>
                <w:bCs/>
                <w:snapToGrid w:val="0"/>
                <w:color w:val="auto"/>
                <w:szCs w:val="24"/>
                <w:lang w:val="en-US" w:eastAsia="zh-CN"/>
              </w:rPr>
              <w:t>一期</w:t>
            </w:r>
            <w:r>
              <w:rPr>
                <w:rFonts w:ascii="Times New Roman" w:hAnsi="Times New Roman"/>
                <w:b/>
                <w:bCs/>
                <w:snapToGrid w:val="0"/>
                <w:color w:val="auto"/>
                <w:szCs w:val="24"/>
              </w:rPr>
              <w:t>固体废物产生信息一览表</w:t>
            </w:r>
          </w:p>
          <w:tbl>
            <w:tblPr>
              <w:tblStyle w:val="23"/>
              <w:tblW w:w="8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7"/>
              <w:gridCol w:w="935"/>
              <w:gridCol w:w="861"/>
              <w:gridCol w:w="338"/>
              <w:gridCol w:w="943"/>
              <w:gridCol w:w="881"/>
              <w:gridCol w:w="831"/>
              <w:gridCol w:w="842"/>
              <w:gridCol w:w="417"/>
              <w:gridCol w:w="789"/>
              <w:gridCol w:w="1149"/>
            </w:tblGrid>
            <w:tr w14:paraId="094D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377" w:type="dxa"/>
                  <w:vAlign w:val="center"/>
                </w:tcPr>
                <w:p w14:paraId="6C0894CB">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序号</w:t>
                  </w:r>
                </w:p>
              </w:tc>
              <w:tc>
                <w:tcPr>
                  <w:tcW w:w="935" w:type="dxa"/>
                  <w:vAlign w:val="center"/>
                </w:tcPr>
                <w:p w14:paraId="0C22F342">
                  <w:pPr>
                    <w:pStyle w:val="47"/>
                    <w:widowControl/>
                    <w:jc w:val="center"/>
                    <w:rPr>
                      <w:rFonts w:ascii="Times New Roman" w:hAnsi="Times New Roman" w:cs="Times New Roman"/>
                      <w:snapToGrid w:val="0"/>
                      <w:color w:val="auto"/>
                      <w:sz w:val="21"/>
                      <w:szCs w:val="21"/>
                      <w:lang w:eastAsia="zh-CN"/>
                    </w:rPr>
                  </w:pPr>
                  <w:r>
                    <w:rPr>
                      <w:rFonts w:ascii="Times New Roman" w:hAnsi="Times New Roman" w:cs="Times New Roman"/>
                      <w:color w:val="auto"/>
                      <w:spacing w:val="2"/>
                      <w:sz w:val="21"/>
                      <w:szCs w:val="21"/>
                    </w:rPr>
                    <w:t>固体废物</w:t>
                  </w:r>
                  <w:r>
                    <w:rPr>
                      <w:rFonts w:ascii="Times New Roman" w:hAnsi="Times New Roman" w:cs="Times New Roman"/>
                      <w:color w:val="auto"/>
                      <w:spacing w:val="7"/>
                      <w:sz w:val="21"/>
                      <w:szCs w:val="21"/>
                    </w:rPr>
                    <w:t>产生环节</w:t>
                  </w:r>
                </w:p>
              </w:tc>
              <w:tc>
                <w:tcPr>
                  <w:tcW w:w="861" w:type="dxa"/>
                  <w:vAlign w:val="center"/>
                </w:tcPr>
                <w:p w14:paraId="33391937">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固体废物名称</w:t>
                  </w:r>
                </w:p>
              </w:tc>
              <w:tc>
                <w:tcPr>
                  <w:tcW w:w="338" w:type="dxa"/>
                  <w:vAlign w:val="center"/>
                </w:tcPr>
                <w:p w14:paraId="3A0FF1D7">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属性</w:t>
                  </w:r>
                </w:p>
              </w:tc>
              <w:tc>
                <w:tcPr>
                  <w:tcW w:w="943" w:type="dxa"/>
                  <w:vAlign w:val="center"/>
                </w:tcPr>
                <w:p w14:paraId="1FD2A7D5">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危险废物类别、代码</w:t>
                  </w:r>
                </w:p>
              </w:tc>
              <w:tc>
                <w:tcPr>
                  <w:tcW w:w="881" w:type="dxa"/>
                  <w:vAlign w:val="center"/>
                </w:tcPr>
                <w:p w14:paraId="5C291C51">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lang w:val="en-US" w:eastAsia="zh-CN"/>
                    </w:rPr>
                    <w:t>一期</w:t>
                  </w:r>
                  <w:r>
                    <w:rPr>
                      <w:rFonts w:hint="eastAsia" w:ascii="Times New Roman" w:hAnsi="Times New Roman"/>
                      <w:snapToGrid w:val="0"/>
                      <w:color w:val="auto"/>
                      <w:sz w:val="21"/>
                      <w:szCs w:val="21"/>
                    </w:rPr>
                    <w:t>产生量（t/a）</w:t>
                  </w:r>
                </w:p>
              </w:tc>
              <w:tc>
                <w:tcPr>
                  <w:tcW w:w="831" w:type="dxa"/>
                  <w:vAlign w:val="center"/>
                </w:tcPr>
                <w:p w14:paraId="2A4A28C6">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二期</w:t>
                  </w:r>
                  <w:r>
                    <w:rPr>
                      <w:rFonts w:hint="eastAsia" w:ascii="Times New Roman" w:hAnsi="Times New Roman"/>
                      <w:snapToGrid w:val="0"/>
                      <w:color w:val="auto"/>
                      <w:sz w:val="21"/>
                      <w:szCs w:val="21"/>
                    </w:rPr>
                    <w:t>产生量（t/a）</w:t>
                  </w:r>
                </w:p>
              </w:tc>
              <w:tc>
                <w:tcPr>
                  <w:tcW w:w="842" w:type="dxa"/>
                  <w:vAlign w:val="center"/>
                </w:tcPr>
                <w:p w14:paraId="5F479CA5">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总产生量</w:t>
                  </w:r>
                </w:p>
                <w:p w14:paraId="3226ED0C">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rPr>
                    <w:t>（t/a）</w:t>
                  </w:r>
                </w:p>
              </w:tc>
              <w:tc>
                <w:tcPr>
                  <w:tcW w:w="417" w:type="dxa"/>
                  <w:vAlign w:val="center"/>
                </w:tcPr>
                <w:p w14:paraId="6A69C5D2">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形态</w:t>
                  </w:r>
                </w:p>
              </w:tc>
              <w:tc>
                <w:tcPr>
                  <w:tcW w:w="789" w:type="dxa"/>
                  <w:vAlign w:val="center"/>
                </w:tcPr>
                <w:p w14:paraId="77CE2213">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暂存位置</w:t>
                  </w:r>
                </w:p>
              </w:tc>
              <w:tc>
                <w:tcPr>
                  <w:tcW w:w="1149" w:type="dxa"/>
                  <w:vAlign w:val="center"/>
                </w:tcPr>
                <w:p w14:paraId="36722964">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处置方式</w:t>
                  </w:r>
                </w:p>
              </w:tc>
            </w:tr>
            <w:tr w14:paraId="0098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377" w:type="dxa"/>
                  <w:vAlign w:val="center"/>
                </w:tcPr>
                <w:p w14:paraId="28EA94AF">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1</w:t>
                  </w:r>
                </w:p>
              </w:tc>
              <w:tc>
                <w:tcPr>
                  <w:tcW w:w="935" w:type="dxa"/>
                  <w:shd w:val="clear" w:color="auto" w:fill="auto"/>
                  <w:vAlign w:val="center"/>
                </w:tcPr>
                <w:p w14:paraId="461F75F0">
                  <w:pPr>
                    <w:snapToGrid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管道切割</w:t>
                  </w:r>
                </w:p>
              </w:tc>
              <w:tc>
                <w:tcPr>
                  <w:tcW w:w="861" w:type="dxa"/>
                  <w:shd w:val="clear" w:color="auto" w:fill="auto"/>
                  <w:vAlign w:val="center"/>
                </w:tcPr>
                <w:p w14:paraId="4C5D9EF5">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 w:val="21"/>
                      <w:szCs w:val="21"/>
                      <w:lang w:val="en-US" w:eastAsia="zh-CN"/>
                    </w:rPr>
                    <w:t>切割粉尘</w:t>
                  </w:r>
                  <w:r>
                    <w:rPr>
                      <w:rFonts w:hint="eastAsia" w:ascii="Times New Roman" w:hAnsi="Times New Roman" w:eastAsia="宋体" w:cs="Times New Roman"/>
                      <w:bCs/>
                      <w:color w:val="auto"/>
                      <w:sz w:val="21"/>
                      <w:szCs w:val="21"/>
                      <w:lang w:val="en-US" w:eastAsia="zh-CN"/>
                    </w:rPr>
                    <w:t>（S</w:t>
                  </w:r>
                  <w:r>
                    <w:rPr>
                      <w:rFonts w:hint="eastAsia" w:cs="Times New Roman"/>
                      <w:bCs/>
                      <w:color w:val="auto"/>
                      <w:sz w:val="21"/>
                      <w:szCs w:val="21"/>
                      <w:lang w:val="en-US" w:eastAsia="zh-CN"/>
                    </w:rPr>
                    <w:t>4</w:t>
                  </w:r>
                  <w:r>
                    <w:rPr>
                      <w:rFonts w:hint="eastAsia" w:ascii="Times New Roman" w:hAnsi="Times New Roman" w:eastAsia="宋体" w:cs="Times New Roman"/>
                      <w:bCs/>
                      <w:color w:val="auto"/>
                      <w:sz w:val="21"/>
                      <w:szCs w:val="21"/>
                      <w:lang w:val="en-US" w:eastAsia="zh-CN"/>
                    </w:rPr>
                    <w:t>）</w:t>
                  </w:r>
                </w:p>
              </w:tc>
              <w:tc>
                <w:tcPr>
                  <w:tcW w:w="338" w:type="dxa"/>
                  <w:vMerge w:val="restart"/>
                  <w:vAlign w:val="center"/>
                </w:tcPr>
                <w:p w14:paraId="6302C57F">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snapToGrid w:val="0"/>
                      <w:color w:val="auto"/>
                      <w:sz w:val="21"/>
                      <w:szCs w:val="21"/>
                    </w:rPr>
                    <w:t>一般固废</w:t>
                  </w:r>
                </w:p>
              </w:tc>
              <w:tc>
                <w:tcPr>
                  <w:tcW w:w="943" w:type="dxa"/>
                  <w:vMerge w:val="restart"/>
                  <w:vAlign w:val="center"/>
                </w:tcPr>
                <w:p w14:paraId="6CA8A37B">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snapToGrid w:val="0"/>
                      <w:color w:val="auto"/>
                      <w:sz w:val="21"/>
                      <w:szCs w:val="21"/>
                      <w:lang w:val="en-US" w:eastAsia="zh-CN"/>
                    </w:rPr>
                    <w:t>SW17（</w:t>
                  </w:r>
                  <w:r>
                    <w:rPr>
                      <w:rFonts w:hint="eastAsia" w:ascii="Times New Roman" w:hAnsi="Times New Roman"/>
                      <w:snapToGrid w:val="0"/>
                      <w:color w:val="auto"/>
                      <w:sz w:val="21"/>
                      <w:szCs w:val="21"/>
                    </w:rPr>
                    <w:t>900-011-S17</w:t>
                  </w:r>
                  <w:r>
                    <w:rPr>
                      <w:rFonts w:hint="eastAsia" w:ascii="Times New Roman" w:hAnsi="Times New Roman"/>
                      <w:snapToGrid w:val="0"/>
                      <w:color w:val="auto"/>
                      <w:sz w:val="21"/>
                      <w:szCs w:val="21"/>
                      <w:lang w:val="en-US" w:eastAsia="zh-CN"/>
                    </w:rPr>
                    <w:t>）</w:t>
                  </w:r>
                </w:p>
              </w:tc>
              <w:tc>
                <w:tcPr>
                  <w:tcW w:w="881" w:type="dxa"/>
                  <w:vAlign w:val="center"/>
                </w:tcPr>
                <w:p w14:paraId="4D9BFB42">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39.564</w:t>
                  </w:r>
                </w:p>
              </w:tc>
              <w:tc>
                <w:tcPr>
                  <w:tcW w:w="831" w:type="dxa"/>
                  <w:vAlign w:val="center"/>
                </w:tcPr>
                <w:p w14:paraId="553B76F2">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39.564</w:t>
                  </w:r>
                </w:p>
              </w:tc>
              <w:tc>
                <w:tcPr>
                  <w:tcW w:w="842" w:type="dxa"/>
                  <w:vAlign w:val="center"/>
                </w:tcPr>
                <w:p w14:paraId="31C744D2">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79.128</w:t>
                  </w:r>
                </w:p>
              </w:tc>
              <w:tc>
                <w:tcPr>
                  <w:tcW w:w="417" w:type="dxa"/>
                  <w:vAlign w:val="center"/>
                </w:tcPr>
                <w:p w14:paraId="5F74CBFD">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c>
                <w:tcPr>
                  <w:tcW w:w="789" w:type="dxa"/>
                  <w:vMerge w:val="restart"/>
                  <w:vAlign w:val="center"/>
                </w:tcPr>
                <w:p w14:paraId="6BE42917">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eastAsia="宋体" w:cs="Times New Roman"/>
                      <w:snapToGrid w:val="0"/>
                      <w:color w:val="auto"/>
                      <w:sz w:val="21"/>
                      <w:szCs w:val="21"/>
                    </w:rPr>
                    <w:t>一般固体废物暂存间</w:t>
                  </w:r>
                </w:p>
              </w:tc>
              <w:tc>
                <w:tcPr>
                  <w:tcW w:w="1149" w:type="dxa"/>
                  <w:vMerge w:val="restart"/>
                  <w:vAlign w:val="center"/>
                </w:tcPr>
                <w:p w14:paraId="7A27CAFA">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eastAsia="宋体" w:cs="Times New Roman"/>
                      <w:snapToGrid w:val="0"/>
                      <w:color w:val="auto"/>
                      <w:sz w:val="21"/>
                      <w:szCs w:val="21"/>
                      <w:lang w:val="en-US" w:eastAsia="zh-CN"/>
                    </w:rPr>
                    <w:t>收集后</w:t>
                  </w:r>
                  <w:r>
                    <w:rPr>
                      <w:rFonts w:hint="eastAsia" w:ascii="Times New Roman" w:hAnsi="Times New Roman" w:eastAsia="宋体" w:cs="Times New Roman"/>
                      <w:snapToGrid w:val="0"/>
                      <w:color w:val="auto"/>
                      <w:sz w:val="21"/>
                      <w:szCs w:val="21"/>
                    </w:rPr>
                    <w:t>暂存一般固体废物暂存间，交由一般固废处置单位处置。</w:t>
                  </w:r>
                </w:p>
              </w:tc>
            </w:tr>
            <w:tr w14:paraId="3C6A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377" w:type="dxa"/>
                  <w:vAlign w:val="center"/>
                </w:tcPr>
                <w:p w14:paraId="79D54A0F">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2</w:t>
                  </w:r>
                </w:p>
              </w:tc>
              <w:tc>
                <w:tcPr>
                  <w:tcW w:w="935" w:type="dxa"/>
                  <w:shd w:val="clear" w:color="auto" w:fill="auto"/>
                  <w:vAlign w:val="center"/>
                </w:tcPr>
                <w:p w14:paraId="3DEF1D5B">
                  <w:pPr>
                    <w:snapToGrid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管道打磨</w:t>
                  </w:r>
                </w:p>
              </w:tc>
              <w:tc>
                <w:tcPr>
                  <w:tcW w:w="861" w:type="dxa"/>
                  <w:shd w:val="clear" w:color="auto" w:fill="auto"/>
                  <w:vAlign w:val="center"/>
                </w:tcPr>
                <w:p w14:paraId="6DFEDE2D">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 w:val="21"/>
                      <w:szCs w:val="21"/>
                      <w:lang w:val="en-US" w:eastAsia="zh-CN"/>
                    </w:rPr>
                    <w:t>打磨粉尘</w:t>
                  </w:r>
                  <w:r>
                    <w:rPr>
                      <w:rFonts w:hint="eastAsia" w:ascii="Times New Roman" w:hAnsi="Times New Roman" w:eastAsia="宋体" w:cs="Times New Roman"/>
                      <w:bCs/>
                      <w:color w:val="auto"/>
                      <w:sz w:val="21"/>
                      <w:szCs w:val="21"/>
                      <w:lang w:val="en-US" w:eastAsia="zh-CN"/>
                    </w:rPr>
                    <w:t>（S</w:t>
                  </w:r>
                  <w:r>
                    <w:rPr>
                      <w:rFonts w:hint="eastAsia" w:cs="Times New Roman"/>
                      <w:bCs/>
                      <w:color w:val="auto"/>
                      <w:sz w:val="21"/>
                      <w:szCs w:val="21"/>
                      <w:lang w:val="en-US" w:eastAsia="zh-CN"/>
                    </w:rPr>
                    <w:t>5</w:t>
                  </w:r>
                  <w:r>
                    <w:rPr>
                      <w:rFonts w:hint="eastAsia" w:ascii="Times New Roman" w:hAnsi="Times New Roman" w:eastAsia="宋体" w:cs="Times New Roman"/>
                      <w:bCs/>
                      <w:color w:val="auto"/>
                      <w:sz w:val="21"/>
                      <w:szCs w:val="21"/>
                      <w:lang w:val="en-US" w:eastAsia="zh-CN"/>
                    </w:rPr>
                    <w:t>）</w:t>
                  </w:r>
                </w:p>
              </w:tc>
              <w:tc>
                <w:tcPr>
                  <w:tcW w:w="338" w:type="dxa"/>
                  <w:vMerge w:val="continue"/>
                  <w:vAlign w:val="center"/>
                </w:tcPr>
                <w:p w14:paraId="42060C42">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43" w:type="dxa"/>
                  <w:vMerge w:val="continue"/>
                  <w:vAlign w:val="center"/>
                </w:tcPr>
                <w:p w14:paraId="3DF14D4A">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881" w:type="dxa"/>
                  <w:vAlign w:val="center"/>
                </w:tcPr>
                <w:p w14:paraId="50AA958F">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45.216</w:t>
                  </w:r>
                </w:p>
              </w:tc>
              <w:tc>
                <w:tcPr>
                  <w:tcW w:w="831" w:type="dxa"/>
                  <w:vAlign w:val="center"/>
                </w:tcPr>
                <w:p w14:paraId="17D075A9">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45.216</w:t>
                  </w:r>
                </w:p>
              </w:tc>
              <w:tc>
                <w:tcPr>
                  <w:tcW w:w="842" w:type="dxa"/>
                  <w:vAlign w:val="center"/>
                </w:tcPr>
                <w:p w14:paraId="190B5EE6">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eastAsia="宋体" w:cs="Times New Roman"/>
                      <w:snapToGrid w:val="0"/>
                      <w:color w:val="auto"/>
                      <w:sz w:val="21"/>
                      <w:szCs w:val="21"/>
                      <w:lang w:val="en-US" w:eastAsia="zh-CN"/>
                    </w:rPr>
                    <w:t>90.432</w:t>
                  </w:r>
                </w:p>
              </w:tc>
              <w:tc>
                <w:tcPr>
                  <w:tcW w:w="417" w:type="dxa"/>
                  <w:vAlign w:val="center"/>
                </w:tcPr>
                <w:p w14:paraId="193916CB">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c>
                <w:tcPr>
                  <w:tcW w:w="789" w:type="dxa"/>
                  <w:vMerge w:val="continue"/>
                  <w:vAlign w:val="center"/>
                </w:tcPr>
                <w:p w14:paraId="6F9DD439">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1149" w:type="dxa"/>
                  <w:vMerge w:val="continue"/>
                  <w:vAlign w:val="center"/>
                </w:tcPr>
                <w:p w14:paraId="55EE5142">
                  <w:pPr>
                    <w:pStyle w:val="19"/>
                    <w:spacing w:before="0" w:beforeAutospacing="0" w:after="0" w:afterAutospacing="0"/>
                    <w:jc w:val="center"/>
                    <w:outlineLvl w:val="0"/>
                    <w:rPr>
                      <w:rFonts w:hint="eastAsia" w:ascii="Times New Roman" w:hAnsi="Times New Roman"/>
                      <w:snapToGrid w:val="0"/>
                      <w:color w:val="auto"/>
                      <w:sz w:val="21"/>
                      <w:szCs w:val="21"/>
                    </w:rPr>
                  </w:pPr>
                </w:p>
              </w:tc>
            </w:tr>
            <w:tr w14:paraId="7A04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377" w:type="dxa"/>
                  <w:shd w:val="clear" w:color="auto" w:fill="auto"/>
                  <w:vAlign w:val="center"/>
                </w:tcPr>
                <w:p w14:paraId="77F3EFAA">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3</w:t>
                  </w:r>
                </w:p>
              </w:tc>
              <w:tc>
                <w:tcPr>
                  <w:tcW w:w="935" w:type="dxa"/>
                  <w:shd w:val="clear" w:color="auto" w:fill="auto"/>
                  <w:vAlign w:val="center"/>
                </w:tcPr>
                <w:p w14:paraId="5822DAFA">
                  <w:pPr>
                    <w:pStyle w:val="47"/>
                    <w:widowControl/>
                    <w:jc w:val="center"/>
                    <w:rPr>
                      <w:rFonts w:hint="eastAsia" w:ascii="Times New Roman" w:hAnsi="Times New Roman" w:eastAsia="宋体" w:cs="Times New Roman"/>
                      <w:color w:val="auto"/>
                      <w:spacing w:val="2"/>
                      <w:kern w:val="2"/>
                      <w:sz w:val="21"/>
                      <w:szCs w:val="21"/>
                      <w:lang w:val="en-US" w:eastAsia="zh-CN" w:bidi="ar-SA"/>
                    </w:rPr>
                  </w:pPr>
                  <w:r>
                    <w:rPr>
                      <w:rFonts w:hint="eastAsia" w:ascii="Times New Roman" w:hAnsi="Times New Roman" w:eastAsia="宋体" w:cs="Times New Roman"/>
                      <w:bCs/>
                      <w:color w:val="auto"/>
                      <w:sz w:val="21"/>
                      <w:szCs w:val="21"/>
                      <w:lang w:val="en-US" w:eastAsia="zh-CN"/>
                    </w:rPr>
                    <w:t>检验</w:t>
                  </w:r>
                </w:p>
              </w:tc>
              <w:tc>
                <w:tcPr>
                  <w:tcW w:w="861" w:type="dxa"/>
                  <w:shd w:val="clear" w:color="auto" w:fill="auto"/>
                  <w:vAlign w:val="center"/>
                </w:tcPr>
                <w:p w14:paraId="5913292E">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不合格产品（S</w:t>
                  </w:r>
                  <w:r>
                    <w:rPr>
                      <w:rFonts w:hint="eastAsia" w:cs="Times New Roman"/>
                      <w:bCs/>
                      <w:color w:val="auto"/>
                      <w:sz w:val="21"/>
                      <w:szCs w:val="21"/>
                      <w:lang w:val="en-US" w:eastAsia="zh-CN"/>
                    </w:rPr>
                    <w:t>7</w:t>
                  </w:r>
                  <w:r>
                    <w:rPr>
                      <w:rFonts w:hint="eastAsia" w:ascii="Times New Roman" w:hAnsi="Times New Roman" w:eastAsia="宋体" w:cs="Times New Roman"/>
                      <w:bCs/>
                      <w:color w:val="auto"/>
                      <w:sz w:val="21"/>
                      <w:szCs w:val="21"/>
                      <w:lang w:val="en-US" w:eastAsia="zh-CN"/>
                    </w:rPr>
                    <w:t>）</w:t>
                  </w:r>
                </w:p>
              </w:tc>
              <w:tc>
                <w:tcPr>
                  <w:tcW w:w="338" w:type="dxa"/>
                  <w:vMerge w:val="continue"/>
                  <w:shd w:val="clear" w:color="auto" w:fill="auto"/>
                  <w:vAlign w:val="center"/>
                </w:tcPr>
                <w:p w14:paraId="7773D1FA">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p>
              </w:tc>
              <w:tc>
                <w:tcPr>
                  <w:tcW w:w="943" w:type="dxa"/>
                  <w:vMerge w:val="continue"/>
                  <w:shd w:val="clear" w:color="auto" w:fill="auto"/>
                  <w:vAlign w:val="center"/>
                </w:tcPr>
                <w:p w14:paraId="3747952F">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p>
              </w:tc>
              <w:tc>
                <w:tcPr>
                  <w:tcW w:w="881" w:type="dxa"/>
                  <w:shd w:val="clear" w:color="auto" w:fill="auto"/>
                  <w:vAlign w:val="center"/>
                </w:tcPr>
                <w:p w14:paraId="668D58A4">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sz w:val="21"/>
                      <w:szCs w:val="21"/>
                      <w:lang w:val="en-US" w:eastAsia="zh-CN"/>
                    </w:rPr>
                    <w:t>1.1304</w:t>
                  </w:r>
                </w:p>
              </w:tc>
              <w:tc>
                <w:tcPr>
                  <w:tcW w:w="831" w:type="dxa"/>
                  <w:shd w:val="clear" w:color="auto" w:fill="auto"/>
                  <w:vAlign w:val="center"/>
                </w:tcPr>
                <w:p w14:paraId="2891EC70">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sz w:val="21"/>
                      <w:szCs w:val="21"/>
                      <w:lang w:val="en-US" w:eastAsia="zh-CN"/>
                    </w:rPr>
                    <w:t>1.1304</w:t>
                  </w:r>
                </w:p>
              </w:tc>
              <w:tc>
                <w:tcPr>
                  <w:tcW w:w="842" w:type="dxa"/>
                  <w:shd w:val="clear" w:color="auto" w:fill="auto"/>
                  <w:vAlign w:val="center"/>
                </w:tcPr>
                <w:p w14:paraId="05E1329D">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eastAsia="宋体" w:cs="Times New Roman"/>
                      <w:snapToGrid w:val="0"/>
                      <w:color w:val="auto"/>
                      <w:sz w:val="21"/>
                      <w:szCs w:val="21"/>
                      <w:lang w:val="en-US" w:eastAsia="zh-CN"/>
                    </w:rPr>
                    <w:t>2.2608</w:t>
                  </w:r>
                </w:p>
              </w:tc>
              <w:tc>
                <w:tcPr>
                  <w:tcW w:w="417" w:type="dxa"/>
                  <w:shd w:val="clear" w:color="auto" w:fill="auto"/>
                  <w:vAlign w:val="center"/>
                </w:tcPr>
                <w:p w14:paraId="1271A0D4">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固</w:t>
                  </w:r>
                </w:p>
              </w:tc>
              <w:tc>
                <w:tcPr>
                  <w:tcW w:w="789" w:type="dxa"/>
                  <w:vMerge w:val="continue"/>
                  <w:vAlign w:val="center"/>
                </w:tcPr>
                <w:p w14:paraId="15CCB4DC">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1149" w:type="dxa"/>
                  <w:vMerge w:val="continue"/>
                  <w:vAlign w:val="center"/>
                </w:tcPr>
                <w:p w14:paraId="511DBD8E">
                  <w:pPr>
                    <w:pStyle w:val="19"/>
                    <w:spacing w:before="0" w:beforeAutospacing="0" w:after="0" w:afterAutospacing="0"/>
                    <w:jc w:val="center"/>
                    <w:outlineLvl w:val="0"/>
                    <w:rPr>
                      <w:rFonts w:hint="eastAsia" w:ascii="Times New Roman" w:hAnsi="Times New Roman"/>
                      <w:snapToGrid w:val="0"/>
                      <w:color w:val="auto"/>
                      <w:sz w:val="21"/>
                      <w:szCs w:val="21"/>
                    </w:rPr>
                  </w:pPr>
                </w:p>
              </w:tc>
            </w:tr>
            <w:tr w14:paraId="686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377" w:type="dxa"/>
                  <w:shd w:val="clear" w:color="auto" w:fill="auto"/>
                  <w:vAlign w:val="center"/>
                </w:tcPr>
                <w:p w14:paraId="281F369D">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4</w:t>
                  </w:r>
                </w:p>
              </w:tc>
              <w:tc>
                <w:tcPr>
                  <w:tcW w:w="935" w:type="dxa"/>
                  <w:shd w:val="clear" w:color="auto" w:fill="auto"/>
                  <w:vAlign w:val="center"/>
                </w:tcPr>
                <w:p w14:paraId="3CB9C6DF">
                  <w:pPr>
                    <w:snapToGrid w:val="0"/>
                    <w:jc w:val="center"/>
                    <w:rPr>
                      <w:rFonts w:hint="default"/>
                      <w:bCs/>
                      <w:color w:val="auto"/>
                      <w:sz w:val="21"/>
                      <w:szCs w:val="21"/>
                      <w:lang w:val="en-US" w:eastAsia="zh-CN"/>
                    </w:rPr>
                  </w:pPr>
                  <w:r>
                    <w:rPr>
                      <w:rFonts w:hint="eastAsia"/>
                      <w:bCs/>
                      <w:color w:val="auto"/>
                      <w:szCs w:val="21"/>
                      <w:lang w:val="en-US" w:eastAsia="zh-CN"/>
                    </w:rPr>
                    <w:t>静电喷涂喷涂工序</w:t>
                  </w:r>
                </w:p>
              </w:tc>
              <w:tc>
                <w:tcPr>
                  <w:tcW w:w="861" w:type="dxa"/>
                  <w:shd w:val="clear" w:color="auto" w:fill="auto"/>
                  <w:vAlign w:val="center"/>
                </w:tcPr>
                <w:p w14:paraId="7761A591">
                  <w:pPr>
                    <w:snapToGrid w:val="0"/>
                    <w:jc w:val="center"/>
                    <w:rPr>
                      <w:rFonts w:hint="eastAsia" w:cs="Times New Roman"/>
                      <w:bCs/>
                      <w:color w:val="auto"/>
                      <w:sz w:val="21"/>
                      <w:szCs w:val="21"/>
                      <w:lang w:val="en-US" w:eastAsia="zh-CN"/>
                    </w:rPr>
                  </w:pPr>
                  <w:r>
                    <w:rPr>
                      <w:rFonts w:hint="eastAsia" w:cs="Times New Roman"/>
                      <w:bCs/>
                      <w:color w:val="auto"/>
                      <w:szCs w:val="21"/>
                      <w:lang w:val="en-US" w:eastAsia="zh-CN"/>
                    </w:rPr>
                    <w:t>静电喷涂粉尘（S6）</w:t>
                  </w:r>
                </w:p>
              </w:tc>
              <w:tc>
                <w:tcPr>
                  <w:tcW w:w="338" w:type="dxa"/>
                  <w:vMerge w:val="continue"/>
                  <w:vAlign w:val="center"/>
                </w:tcPr>
                <w:p w14:paraId="3ABBB210">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43" w:type="dxa"/>
                  <w:vMerge w:val="continue"/>
                  <w:vAlign w:val="center"/>
                </w:tcPr>
                <w:p w14:paraId="275B00B7">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881" w:type="dxa"/>
                  <w:vAlign w:val="center"/>
                </w:tcPr>
                <w:p w14:paraId="4AFA2B2B">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0.0756</w:t>
                  </w:r>
                </w:p>
              </w:tc>
              <w:tc>
                <w:tcPr>
                  <w:tcW w:w="831" w:type="dxa"/>
                  <w:vAlign w:val="center"/>
                </w:tcPr>
                <w:p w14:paraId="048570F0">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0.0756</w:t>
                  </w:r>
                </w:p>
              </w:tc>
              <w:tc>
                <w:tcPr>
                  <w:tcW w:w="842" w:type="dxa"/>
                  <w:shd w:val="clear" w:color="auto" w:fill="auto"/>
                  <w:vAlign w:val="center"/>
                </w:tcPr>
                <w:p w14:paraId="7458DA18">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0.1512</w:t>
                  </w:r>
                </w:p>
              </w:tc>
              <w:tc>
                <w:tcPr>
                  <w:tcW w:w="417" w:type="dxa"/>
                  <w:vAlign w:val="center"/>
                </w:tcPr>
                <w:p w14:paraId="6B778EFA">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固</w:t>
                  </w:r>
                </w:p>
              </w:tc>
              <w:tc>
                <w:tcPr>
                  <w:tcW w:w="789" w:type="dxa"/>
                  <w:vAlign w:val="center"/>
                </w:tcPr>
                <w:p w14:paraId="1B700DC2">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w:t>
                  </w:r>
                </w:p>
              </w:tc>
              <w:tc>
                <w:tcPr>
                  <w:tcW w:w="1149" w:type="dxa"/>
                  <w:vAlign w:val="center"/>
                </w:tcPr>
                <w:p w14:paraId="5CA781F8">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lang w:eastAsia="zh-CN"/>
                    </w:rPr>
                  </w:pPr>
                  <w:r>
                    <w:rPr>
                      <w:rFonts w:hint="eastAsia" w:ascii="Times New Roman" w:hAnsi="Times New Roman" w:eastAsia="宋体" w:cs="Times New Roman"/>
                      <w:snapToGrid w:val="0"/>
                      <w:color w:val="auto"/>
                      <w:sz w:val="21"/>
                      <w:szCs w:val="21"/>
                      <w:lang w:val="en-US" w:eastAsia="zh-CN"/>
                    </w:rPr>
                    <w:t>清理后的粉尘回收利用。</w:t>
                  </w:r>
                </w:p>
              </w:tc>
            </w:tr>
            <w:tr w14:paraId="1197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377" w:type="dxa"/>
                  <w:shd w:val="clear" w:color="auto" w:fill="auto"/>
                  <w:vAlign w:val="center"/>
                </w:tcPr>
                <w:p w14:paraId="24FB2C73">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5</w:t>
                  </w:r>
                </w:p>
              </w:tc>
              <w:tc>
                <w:tcPr>
                  <w:tcW w:w="935" w:type="dxa"/>
                  <w:vAlign w:val="center"/>
                </w:tcPr>
                <w:p w14:paraId="0DC29A2F">
                  <w:pPr>
                    <w:pStyle w:val="47"/>
                    <w:widowControl/>
                    <w:jc w:val="center"/>
                    <w:rPr>
                      <w:rFonts w:hint="eastAsia" w:ascii="Times New Roman" w:hAnsi="Times New Roman" w:eastAsia="宋体" w:cs="Times New Roman"/>
                      <w:color w:val="auto"/>
                      <w:spacing w:val="2"/>
                      <w:sz w:val="21"/>
                      <w:szCs w:val="21"/>
                      <w:lang w:val="en-US" w:eastAsia="zh-CN"/>
                    </w:rPr>
                  </w:pPr>
                  <w:r>
                    <w:rPr>
                      <w:rFonts w:hint="eastAsia" w:ascii="Times New Roman" w:hAnsi="Times New Roman" w:eastAsia="宋体" w:cs="Times New Roman"/>
                      <w:bCs/>
                      <w:color w:val="auto"/>
                      <w:sz w:val="21"/>
                      <w:szCs w:val="21"/>
                      <w:lang w:val="en-US" w:eastAsia="zh-CN"/>
                    </w:rPr>
                    <w:t>人员办公</w:t>
                  </w:r>
                </w:p>
              </w:tc>
              <w:tc>
                <w:tcPr>
                  <w:tcW w:w="861" w:type="dxa"/>
                  <w:shd w:val="clear" w:color="auto" w:fill="auto"/>
                  <w:vAlign w:val="center"/>
                </w:tcPr>
                <w:p w14:paraId="14E7836D">
                  <w:pPr>
                    <w:widowControl/>
                    <w:jc w:val="center"/>
                    <w:textAlignment w:val="center"/>
                    <w:rPr>
                      <w:rFonts w:hint="eastAsia"/>
                      <w:color w:val="auto"/>
                      <w:kern w:val="0"/>
                      <w:sz w:val="21"/>
                      <w:szCs w:val="21"/>
                      <w:lang w:bidi="ar"/>
                    </w:rPr>
                  </w:pPr>
                  <w:r>
                    <w:rPr>
                      <w:rFonts w:hint="eastAsia"/>
                      <w:color w:val="auto"/>
                      <w:kern w:val="0"/>
                      <w:sz w:val="21"/>
                      <w:szCs w:val="21"/>
                      <w:lang w:bidi="ar"/>
                    </w:rPr>
                    <w:t>生活</w:t>
                  </w:r>
                </w:p>
                <w:p w14:paraId="23B1D778">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bidi="ar"/>
                    </w:rPr>
                    <w:t>垃圾</w:t>
                  </w:r>
                  <w:r>
                    <w:rPr>
                      <w:rFonts w:hint="eastAsia"/>
                      <w:color w:val="auto"/>
                      <w:kern w:val="0"/>
                      <w:sz w:val="21"/>
                      <w:szCs w:val="21"/>
                      <w:lang w:eastAsia="zh-CN" w:bidi="ar"/>
                    </w:rPr>
                    <w:t>（</w:t>
                  </w:r>
                  <w:r>
                    <w:rPr>
                      <w:rFonts w:hint="eastAsia"/>
                      <w:color w:val="auto"/>
                      <w:kern w:val="0"/>
                      <w:sz w:val="21"/>
                      <w:szCs w:val="21"/>
                      <w:lang w:val="en-US" w:eastAsia="zh-CN" w:bidi="ar"/>
                    </w:rPr>
                    <w:t>S9</w:t>
                  </w:r>
                  <w:r>
                    <w:rPr>
                      <w:rFonts w:hint="eastAsia"/>
                      <w:color w:val="auto"/>
                      <w:kern w:val="0"/>
                      <w:sz w:val="21"/>
                      <w:szCs w:val="21"/>
                      <w:lang w:eastAsia="zh-CN" w:bidi="ar"/>
                    </w:rPr>
                    <w:t>）</w:t>
                  </w:r>
                </w:p>
              </w:tc>
              <w:tc>
                <w:tcPr>
                  <w:tcW w:w="338" w:type="dxa"/>
                  <w:vMerge w:val="continue"/>
                  <w:vAlign w:val="center"/>
                </w:tcPr>
                <w:p w14:paraId="4C076E62">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43" w:type="dxa"/>
                  <w:vAlign w:val="center"/>
                </w:tcPr>
                <w:p w14:paraId="062AF36C">
                  <w:pPr>
                    <w:pStyle w:val="19"/>
                    <w:spacing w:before="0" w:beforeAutospacing="0" w:after="0" w:afterAutospacing="0"/>
                    <w:jc w:val="center"/>
                    <w:outlineLvl w:val="0"/>
                    <w:rPr>
                      <w:rFonts w:hint="eastAsia" w:ascii="Times New Roman" w:hAnsi="Times New Roman" w:eastAsia="宋体"/>
                      <w:snapToGrid w:val="0"/>
                      <w:color w:val="auto"/>
                      <w:sz w:val="21"/>
                      <w:szCs w:val="21"/>
                      <w:lang w:eastAsia="zh-CN"/>
                    </w:rPr>
                  </w:pPr>
                  <w:r>
                    <w:rPr>
                      <w:rFonts w:hint="eastAsia" w:ascii="Times New Roman" w:hAnsi="Times New Roman"/>
                      <w:snapToGrid w:val="0"/>
                      <w:color w:val="auto"/>
                      <w:sz w:val="21"/>
                      <w:szCs w:val="21"/>
                      <w:lang w:val="en-US" w:eastAsia="zh-CN"/>
                    </w:rPr>
                    <w:t>S</w:t>
                  </w:r>
                  <w:r>
                    <w:rPr>
                      <w:rFonts w:hint="eastAsia" w:ascii="Times New Roman" w:hAnsi="Times New Roman" w:eastAsia="宋体" w:cs="Times New Roman"/>
                      <w:snapToGrid w:val="0"/>
                      <w:color w:val="auto"/>
                      <w:sz w:val="21"/>
                      <w:szCs w:val="21"/>
                      <w:lang w:val="en-US" w:eastAsia="zh-CN"/>
                    </w:rPr>
                    <w:t>W64（</w:t>
                  </w:r>
                  <w:r>
                    <w:rPr>
                      <w:rFonts w:hint="default" w:ascii="Times New Roman" w:hAnsi="Times New Roman" w:eastAsia="宋体" w:cs="Times New Roman"/>
                      <w:snapToGrid w:val="0"/>
                      <w:color w:val="auto"/>
                      <w:sz w:val="21"/>
                      <w:szCs w:val="21"/>
                      <w:lang w:val="en-US" w:eastAsia="zh-CN"/>
                    </w:rPr>
                    <w:t>900-099-S64</w:t>
                  </w:r>
                  <w:r>
                    <w:rPr>
                      <w:rFonts w:hint="eastAsia" w:ascii="Times New Roman" w:hAnsi="Times New Roman" w:eastAsia="宋体" w:cs="Times New Roman"/>
                      <w:snapToGrid w:val="0"/>
                      <w:color w:val="auto"/>
                      <w:sz w:val="21"/>
                      <w:szCs w:val="21"/>
                      <w:lang w:val="en-US" w:eastAsia="zh-CN"/>
                    </w:rPr>
                    <w:t>）</w:t>
                  </w:r>
                </w:p>
              </w:tc>
              <w:tc>
                <w:tcPr>
                  <w:tcW w:w="881" w:type="dxa"/>
                  <w:shd w:val="clear" w:color="auto" w:fill="auto"/>
                  <w:vAlign w:val="center"/>
                </w:tcPr>
                <w:p w14:paraId="72DD85B5">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cs="Times New Roman"/>
                      <w:snapToGrid w:val="0"/>
                      <w:color w:val="auto"/>
                      <w:sz w:val="21"/>
                      <w:szCs w:val="21"/>
                      <w:lang w:val="en-US" w:eastAsia="zh-CN"/>
                    </w:rPr>
                    <w:t>6.105</w:t>
                  </w:r>
                </w:p>
              </w:tc>
              <w:tc>
                <w:tcPr>
                  <w:tcW w:w="831" w:type="dxa"/>
                  <w:shd w:val="clear" w:color="auto" w:fill="auto"/>
                  <w:vAlign w:val="center"/>
                </w:tcPr>
                <w:p w14:paraId="694393B8">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cs="Times New Roman"/>
                      <w:snapToGrid w:val="0"/>
                      <w:color w:val="auto"/>
                      <w:sz w:val="21"/>
                      <w:szCs w:val="21"/>
                      <w:lang w:val="en-US" w:eastAsia="zh-CN"/>
                    </w:rPr>
                    <w:t>4.455</w:t>
                  </w:r>
                </w:p>
              </w:tc>
              <w:tc>
                <w:tcPr>
                  <w:tcW w:w="842" w:type="dxa"/>
                  <w:shd w:val="clear" w:color="auto" w:fill="auto"/>
                  <w:vAlign w:val="center"/>
                </w:tcPr>
                <w:p w14:paraId="5EC31BE3">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cs="Times New Roman"/>
                      <w:snapToGrid w:val="0"/>
                      <w:color w:val="auto"/>
                      <w:sz w:val="21"/>
                      <w:szCs w:val="21"/>
                      <w:lang w:val="en-US" w:eastAsia="zh-CN"/>
                    </w:rPr>
                    <w:t>10.56</w:t>
                  </w:r>
                </w:p>
              </w:tc>
              <w:tc>
                <w:tcPr>
                  <w:tcW w:w="417" w:type="dxa"/>
                  <w:vAlign w:val="center"/>
                </w:tcPr>
                <w:p w14:paraId="4FF5DADC">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固</w:t>
                  </w:r>
                </w:p>
              </w:tc>
              <w:tc>
                <w:tcPr>
                  <w:tcW w:w="789" w:type="dxa"/>
                  <w:vAlign w:val="center"/>
                </w:tcPr>
                <w:p w14:paraId="1F1E3570">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snapToGrid w:val="0"/>
                      <w:color w:val="auto"/>
                      <w:sz w:val="21"/>
                      <w:szCs w:val="21"/>
                    </w:rPr>
                    <w:t>垃圾桶</w:t>
                  </w:r>
                </w:p>
              </w:tc>
              <w:tc>
                <w:tcPr>
                  <w:tcW w:w="1149" w:type="dxa"/>
                  <w:vAlign w:val="center"/>
                </w:tcPr>
                <w:p w14:paraId="6A688D73">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rPr>
                  </w:pPr>
                  <w:r>
                    <w:rPr>
                      <w:rFonts w:hint="eastAsia" w:ascii="Times New Roman" w:hAnsi="Times New Roman" w:eastAsia="宋体" w:cs="Times New Roman"/>
                      <w:snapToGrid w:val="0"/>
                      <w:color w:val="auto"/>
                      <w:sz w:val="21"/>
                      <w:szCs w:val="21"/>
                    </w:rPr>
                    <w:t>办公区收集设施集中收集，生活垃圾由园区环卫部门统一处理。</w:t>
                  </w:r>
                </w:p>
              </w:tc>
            </w:tr>
            <w:tr w14:paraId="74FD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377" w:type="dxa"/>
                  <w:shd w:val="clear" w:color="auto" w:fill="auto"/>
                  <w:vAlign w:val="center"/>
                </w:tcPr>
                <w:p w14:paraId="02E54F04">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6</w:t>
                  </w:r>
                </w:p>
              </w:tc>
              <w:tc>
                <w:tcPr>
                  <w:tcW w:w="935" w:type="dxa"/>
                  <w:vAlign w:val="center"/>
                </w:tcPr>
                <w:p w14:paraId="30EC7D01">
                  <w:pPr>
                    <w:pStyle w:val="47"/>
                    <w:widowControl/>
                    <w:jc w:val="center"/>
                    <w:rPr>
                      <w:rFonts w:hint="default" w:ascii="Times New Roman" w:hAnsi="Times New Roman" w:cs="Times New Roman"/>
                      <w:color w:val="auto"/>
                      <w:spacing w:val="2"/>
                      <w:sz w:val="21"/>
                      <w:szCs w:val="21"/>
                      <w:lang w:val="en-US"/>
                    </w:rPr>
                  </w:pPr>
                  <w:r>
                    <w:rPr>
                      <w:rFonts w:hint="eastAsia"/>
                      <w:bCs/>
                      <w:color w:val="auto"/>
                      <w:sz w:val="21"/>
                      <w:szCs w:val="21"/>
                      <w:lang w:val="en-US" w:eastAsia="zh-CN"/>
                    </w:rPr>
                    <w:t>原料配比、搅拌工序、静电喷涂工序</w:t>
                  </w:r>
                </w:p>
              </w:tc>
              <w:tc>
                <w:tcPr>
                  <w:tcW w:w="861" w:type="dxa"/>
                  <w:shd w:val="clear" w:color="auto" w:fill="auto"/>
                  <w:vAlign w:val="center"/>
                </w:tcPr>
                <w:p w14:paraId="63FACC4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废包装桶（S1）</w:t>
                  </w:r>
                </w:p>
              </w:tc>
              <w:tc>
                <w:tcPr>
                  <w:tcW w:w="338" w:type="dxa"/>
                  <w:vMerge w:val="restart"/>
                  <w:vAlign w:val="center"/>
                </w:tcPr>
                <w:p w14:paraId="739F8A6C">
                  <w:pPr>
                    <w:pStyle w:val="19"/>
                    <w:spacing w:before="0" w:beforeAutospacing="0" w:after="0" w:afterAutospacing="0"/>
                    <w:jc w:val="center"/>
                    <w:outlineLvl w:val="0"/>
                    <w:rPr>
                      <w:rFonts w:hint="default"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危险废物</w:t>
                  </w:r>
                </w:p>
              </w:tc>
              <w:tc>
                <w:tcPr>
                  <w:tcW w:w="943" w:type="dxa"/>
                  <w:vAlign w:val="center"/>
                </w:tcPr>
                <w:p w14:paraId="4FDDFE84">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900-041-49</w:t>
                  </w:r>
                  <w:r>
                    <w:rPr>
                      <w:rFonts w:hint="eastAsia" w:ascii="Times New Roman" w:hAnsi="Times New Roman"/>
                      <w:snapToGrid w:val="0"/>
                      <w:color w:val="auto"/>
                      <w:sz w:val="21"/>
                      <w:szCs w:val="21"/>
                      <w:lang w:eastAsia="zh-CN"/>
                    </w:rPr>
                    <w:t>）</w:t>
                  </w:r>
                </w:p>
              </w:tc>
              <w:tc>
                <w:tcPr>
                  <w:tcW w:w="881" w:type="dxa"/>
                  <w:vAlign w:val="center"/>
                </w:tcPr>
                <w:p w14:paraId="6392C2BC">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107.36</w:t>
                  </w:r>
                </w:p>
              </w:tc>
              <w:tc>
                <w:tcPr>
                  <w:tcW w:w="831" w:type="dxa"/>
                  <w:vAlign w:val="center"/>
                </w:tcPr>
                <w:p w14:paraId="512CFC49">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107.36</w:t>
                  </w:r>
                </w:p>
              </w:tc>
              <w:tc>
                <w:tcPr>
                  <w:tcW w:w="842" w:type="dxa"/>
                  <w:vAlign w:val="center"/>
                </w:tcPr>
                <w:p w14:paraId="1986EA63">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214.72</w:t>
                  </w:r>
                </w:p>
              </w:tc>
              <w:tc>
                <w:tcPr>
                  <w:tcW w:w="417" w:type="dxa"/>
                  <w:vAlign w:val="center"/>
                </w:tcPr>
                <w:p w14:paraId="41D9D4DA">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固</w:t>
                  </w:r>
                </w:p>
              </w:tc>
              <w:tc>
                <w:tcPr>
                  <w:tcW w:w="789" w:type="dxa"/>
                  <w:vMerge w:val="restart"/>
                  <w:vAlign w:val="center"/>
                </w:tcPr>
                <w:p w14:paraId="0B5DF114">
                  <w:pPr>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snapToGrid w:val="0"/>
                      <w:color w:val="auto"/>
                      <w:sz w:val="21"/>
                      <w:szCs w:val="21"/>
                    </w:rPr>
                    <w:t>危废暂存间</w:t>
                  </w:r>
                </w:p>
              </w:tc>
              <w:tc>
                <w:tcPr>
                  <w:tcW w:w="1149" w:type="dxa"/>
                  <w:vMerge w:val="restart"/>
                  <w:vAlign w:val="center"/>
                </w:tcPr>
                <w:p w14:paraId="02E005AA">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rPr>
                  </w:pPr>
                  <w:r>
                    <w:rPr>
                      <w:rFonts w:hint="eastAsia" w:ascii="Times New Roman" w:hAnsi="Times New Roman" w:eastAsia="宋体" w:cs="Times New Roman"/>
                      <w:snapToGrid w:val="0"/>
                      <w:color w:val="auto"/>
                      <w:kern w:val="2"/>
                      <w:sz w:val="21"/>
                      <w:szCs w:val="21"/>
                      <w:lang w:val="en-US" w:eastAsia="zh-CN" w:bidi="ar-SA"/>
                    </w:rPr>
                    <w:t>暂存危废暂存间，定期委托有资质单位处理。</w:t>
                  </w:r>
                </w:p>
              </w:tc>
            </w:tr>
            <w:tr w14:paraId="5C0A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377" w:type="dxa"/>
                  <w:shd w:val="clear" w:color="auto" w:fill="auto"/>
                  <w:vAlign w:val="center"/>
                </w:tcPr>
                <w:p w14:paraId="3BF8C5AC">
                  <w:pPr>
                    <w:pStyle w:val="19"/>
                    <w:spacing w:before="0" w:beforeAutospacing="0" w:after="0" w:afterAutospacing="0"/>
                    <w:jc w:val="center"/>
                    <w:outlineLvl w:val="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7</w:t>
                  </w:r>
                </w:p>
              </w:tc>
              <w:tc>
                <w:tcPr>
                  <w:tcW w:w="935" w:type="dxa"/>
                  <w:vAlign w:val="center"/>
                </w:tcPr>
                <w:p w14:paraId="30DB19D1">
                  <w:pPr>
                    <w:pStyle w:val="47"/>
                    <w:widowControl/>
                    <w:jc w:val="center"/>
                    <w:rPr>
                      <w:rFonts w:ascii="Times New Roman" w:hAnsi="Times New Roman" w:cs="Times New Roman"/>
                      <w:color w:val="auto"/>
                      <w:spacing w:val="2"/>
                      <w:sz w:val="21"/>
                      <w:szCs w:val="21"/>
                    </w:rPr>
                  </w:pPr>
                  <w:r>
                    <w:rPr>
                      <w:rFonts w:hint="eastAsia"/>
                      <w:bCs/>
                      <w:color w:val="auto"/>
                      <w:sz w:val="21"/>
                      <w:szCs w:val="21"/>
                      <w:lang w:val="en-US" w:eastAsia="zh-CN"/>
                    </w:rPr>
                    <w:t>玻璃纤维缠绕，成型后管道固化</w:t>
                  </w:r>
                </w:p>
              </w:tc>
              <w:tc>
                <w:tcPr>
                  <w:tcW w:w="861" w:type="dxa"/>
                  <w:shd w:val="clear" w:color="auto" w:fill="auto"/>
                  <w:vAlign w:val="center"/>
                </w:tcPr>
                <w:p w14:paraId="0FDC53EC">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废活性炭（S</w:t>
                  </w:r>
                  <w:r>
                    <w:rPr>
                      <w:rFonts w:hint="eastAsia" w:cs="Times New Roman"/>
                      <w:bCs/>
                      <w:color w:val="auto"/>
                      <w:sz w:val="21"/>
                      <w:szCs w:val="21"/>
                      <w:lang w:val="en-US" w:eastAsia="zh-CN"/>
                    </w:rPr>
                    <w:t>2</w:t>
                  </w:r>
                  <w:r>
                    <w:rPr>
                      <w:rFonts w:hint="eastAsia" w:ascii="Times New Roman" w:hAnsi="Times New Roman" w:eastAsia="宋体" w:cs="Times New Roman"/>
                      <w:bCs/>
                      <w:color w:val="auto"/>
                      <w:sz w:val="21"/>
                      <w:szCs w:val="21"/>
                      <w:lang w:val="en-US" w:eastAsia="zh-CN"/>
                    </w:rPr>
                    <w:t>）</w:t>
                  </w:r>
                </w:p>
              </w:tc>
              <w:tc>
                <w:tcPr>
                  <w:tcW w:w="338" w:type="dxa"/>
                  <w:vMerge w:val="continue"/>
                  <w:vAlign w:val="center"/>
                </w:tcPr>
                <w:p w14:paraId="65D634EC">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43" w:type="dxa"/>
                  <w:vAlign w:val="center"/>
                </w:tcPr>
                <w:p w14:paraId="5792D802">
                  <w:pPr>
                    <w:pStyle w:val="19"/>
                    <w:spacing w:before="0" w:beforeAutospacing="0" w:after="0" w:afterAutospacing="0"/>
                    <w:jc w:val="center"/>
                    <w:outlineLvl w:val="0"/>
                    <w:rPr>
                      <w:rFonts w:hint="eastAsia" w:ascii="Times New Roman" w:hAnsi="Times New Roman"/>
                      <w:snapToGrid w:val="0"/>
                      <w:color w:val="auto"/>
                      <w:sz w:val="21"/>
                      <w:szCs w:val="21"/>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w:t>
                  </w:r>
                  <w:r>
                    <w:rPr>
                      <w:rFonts w:hint="eastAsia" w:ascii="Times New Roman" w:hAnsi="Times New Roman"/>
                      <w:snapToGrid w:val="0"/>
                      <w:color w:val="auto"/>
                      <w:sz w:val="21"/>
                      <w:szCs w:val="21"/>
                      <w:lang w:val="en-US" w:eastAsia="zh-CN"/>
                    </w:rPr>
                    <w:t>39</w:t>
                  </w:r>
                  <w:r>
                    <w:rPr>
                      <w:rFonts w:hint="eastAsia" w:ascii="Times New Roman" w:hAnsi="Times New Roman"/>
                      <w:snapToGrid w:val="0"/>
                      <w:color w:val="auto"/>
                      <w:sz w:val="21"/>
                      <w:szCs w:val="21"/>
                    </w:rPr>
                    <w:t>-49</w:t>
                  </w:r>
                  <w:r>
                    <w:rPr>
                      <w:rFonts w:hint="eastAsia" w:ascii="Times New Roman" w:hAnsi="Times New Roman"/>
                      <w:snapToGrid w:val="0"/>
                      <w:color w:val="auto"/>
                      <w:sz w:val="21"/>
                      <w:szCs w:val="21"/>
                      <w:lang w:eastAsia="zh-CN"/>
                    </w:rPr>
                    <w:t>）</w:t>
                  </w:r>
                </w:p>
              </w:tc>
              <w:tc>
                <w:tcPr>
                  <w:tcW w:w="881" w:type="dxa"/>
                  <w:vAlign w:val="center"/>
                </w:tcPr>
                <w:p w14:paraId="791AC004">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w:t>
                  </w:r>
                  <w:r>
                    <w:rPr>
                      <w:rFonts w:hint="eastAsia" w:ascii="Times New Roman" w:hAnsi="Times New Roman" w:eastAsia="宋体" w:cs="Times New Roman"/>
                      <w:snapToGrid w:val="0"/>
                      <w:color w:val="auto"/>
                      <w:sz w:val="21"/>
                      <w:szCs w:val="21"/>
                      <w:highlight w:val="none"/>
                      <w:lang w:val="en-US" w:eastAsia="zh-CN"/>
                    </w:rPr>
                    <w:t>6.2544</w:t>
                  </w:r>
                </w:p>
              </w:tc>
              <w:tc>
                <w:tcPr>
                  <w:tcW w:w="831" w:type="dxa"/>
                  <w:vAlign w:val="center"/>
                </w:tcPr>
                <w:p w14:paraId="793AAF84">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w:t>
                  </w:r>
                  <w:r>
                    <w:rPr>
                      <w:rFonts w:hint="eastAsia" w:ascii="Times New Roman" w:hAnsi="Times New Roman" w:eastAsia="宋体" w:cs="Times New Roman"/>
                      <w:snapToGrid w:val="0"/>
                      <w:color w:val="auto"/>
                      <w:sz w:val="21"/>
                      <w:szCs w:val="21"/>
                      <w:highlight w:val="none"/>
                      <w:lang w:val="en-US" w:eastAsia="zh-CN"/>
                    </w:rPr>
                    <w:t>6.2544</w:t>
                  </w:r>
                </w:p>
              </w:tc>
              <w:tc>
                <w:tcPr>
                  <w:tcW w:w="842" w:type="dxa"/>
                  <w:vAlign w:val="center"/>
                </w:tcPr>
                <w:p w14:paraId="4F571173">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32.5088</w:t>
                  </w:r>
                </w:p>
              </w:tc>
              <w:tc>
                <w:tcPr>
                  <w:tcW w:w="417" w:type="dxa"/>
                  <w:vAlign w:val="center"/>
                </w:tcPr>
                <w:p w14:paraId="665F9917">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c>
                <w:tcPr>
                  <w:tcW w:w="789" w:type="dxa"/>
                  <w:vMerge w:val="continue"/>
                  <w:vAlign w:val="center"/>
                </w:tcPr>
                <w:p w14:paraId="1726F841">
                  <w:pPr>
                    <w:spacing w:before="0" w:beforeAutospacing="0" w:after="0" w:afterAutospacing="0"/>
                    <w:jc w:val="center"/>
                    <w:outlineLvl w:val="0"/>
                    <w:rPr>
                      <w:rFonts w:hint="eastAsia" w:ascii="Times New Roman" w:hAnsi="Times New Roman"/>
                      <w:snapToGrid w:val="0"/>
                      <w:color w:val="auto"/>
                      <w:sz w:val="21"/>
                      <w:szCs w:val="21"/>
                    </w:rPr>
                  </w:pPr>
                </w:p>
              </w:tc>
              <w:tc>
                <w:tcPr>
                  <w:tcW w:w="1149" w:type="dxa"/>
                  <w:vMerge w:val="continue"/>
                  <w:vAlign w:val="center"/>
                </w:tcPr>
                <w:p w14:paraId="71585652">
                  <w:pPr>
                    <w:pStyle w:val="19"/>
                    <w:spacing w:before="0" w:beforeAutospacing="0" w:after="0" w:afterAutospacing="0"/>
                    <w:jc w:val="center"/>
                    <w:outlineLvl w:val="0"/>
                    <w:rPr>
                      <w:rFonts w:hint="eastAsia" w:ascii="Times New Roman" w:hAnsi="Times New Roman"/>
                      <w:snapToGrid w:val="0"/>
                      <w:color w:val="auto"/>
                      <w:sz w:val="21"/>
                      <w:szCs w:val="21"/>
                    </w:rPr>
                  </w:pPr>
                </w:p>
              </w:tc>
            </w:tr>
            <w:tr w14:paraId="3AE4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377" w:type="dxa"/>
                  <w:shd w:val="clear" w:color="auto" w:fill="auto"/>
                  <w:vAlign w:val="center"/>
                </w:tcPr>
                <w:p w14:paraId="0241D8DB">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8</w:t>
                  </w:r>
                </w:p>
              </w:tc>
              <w:tc>
                <w:tcPr>
                  <w:tcW w:w="935" w:type="dxa"/>
                  <w:shd w:val="clear" w:color="auto" w:fill="auto"/>
                  <w:vAlign w:val="center"/>
                </w:tcPr>
                <w:p w14:paraId="6C436CE0">
                  <w:pPr>
                    <w:snapToGrid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缠绕编织</w:t>
                  </w:r>
                </w:p>
              </w:tc>
              <w:tc>
                <w:tcPr>
                  <w:tcW w:w="861" w:type="dxa"/>
                  <w:shd w:val="clear" w:color="auto" w:fill="auto"/>
                  <w:vAlign w:val="center"/>
                </w:tcPr>
                <w:p w14:paraId="6541A9CD">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沾染树脂的手套及玻璃纤维（S</w:t>
                  </w:r>
                  <w:r>
                    <w:rPr>
                      <w:rFonts w:hint="eastAsia" w:cs="Times New Roman"/>
                      <w:bCs/>
                      <w:color w:val="auto"/>
                      <w:sz w:val="21"/>
                      <w:szCs w:val="21"/>
                      <w:lang w:val="en-US" w:eastAsia="zh-CN"/>
                    </w:rPr>
                    <w:t>3</w:t>
                  </w:r>
                  <w:r>
                    <w:rPr>
                      <w:rFonts w:hint="eastAsia" w:ascii="Times New Roman" w:hAnsi="Times New Roman" w:eastAsia="宋体" w:cs="Times New Roman"/>
                      <w:bCs/>
                      <w:color w:val="auto"/>
                      <w:sz w:val="21"/>
                      <w:szCs w:val="21"/>
                      <w:lang w:val="en-US" w:eastAsia="zh-CN"/>
                    </w:rPr>
                    <w:t>）</w:t>
                  </w:r>
                </w:p>
              </w:tc>
              <w:tc>
                <w:tcPr>
                  <w:tcW w:w="338" w:type="dxa"/>
                  <w:vMerge w:val="continue"/>
                  <w:shd w:val="clear" w:color="auto" w:fill="auto"/>
                  <w:vAlign w:val="center"/>
                </w:tcPr>
                <w:p w14:paraId="20D194C2">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p>
              </w:tc>
              <w:tc>
                <w:tcPr>
                  <w:tcW w:w="943" w:type="dxa"/>
                  <w:shd w:val="clear" w:color="auto" w:fill="auto"/>
                  <w:vAlign w:val="center"/>
                </w:tcPr>
                <w:p w14:paraId="5CA1A976">
                  <w:pPr>
                    <w:pStyle w:val="19"/>
                    <w:spacing w:before="0" w:beforeAutospacing="0" w:after="0" w:afterAutospacing="0"/>
                    <w:jc w:val="center"/>
                    <w:outlineLvl w:val="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900-041-49</w:t>
                  </w:r>
                  <w:r>
                    <w:rPr>
                      <w:rFonts w:hint="eastAsia" w:ascii="Times New Roman" w:hAnsi="Times New Roman"/>
                      <w:snapToGrid w:val="0"/>
                      <w:color w:val="auto"/>
                      <w:sz w:val="21"/>
                      <w:szCs w:val="21"/>
                      <w:lang w:eastAsia="zh-CN"/>
                    </w:rPr>
                    <w:t>）</w:t>
                  </w:r>
                </w:p>
              </w:tc>
              <w:tc>
                <w:tcPr>
                  <w:tcW w:w="881" w:type="dxa"/>
                  <w:shd w:val="clear" w:color="auto" w:fill="auto"/>
                  <w:vAlign w:val="center"/>
                </w:tcPr>
                <w:p w14:paraId="228DCE5D">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0.11304</w:t>
                  </w:r>
                </w:p>
              </w:tc>
              <w:tc>
                <w:tcPr>
                  <w:tcW w:w="831" w:type="dxa"/>
                  <w:shd w:val="clear" w:color="auto" w:fill="auto"/>
                  <w:vAlign w:val="center"/>
                </w:tcPr>
                <w:p w14:paraId="56DA9727">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0.11304</w:t>
                  </w:r>
                </w:p>
              </w:tc>
              <w:tc>
                <w:tcPr>
                  <w:tcW w:w="842" w:type="dxa"/>
                  <w:shd w:val="clear" w:color="auto" w:fill="auto"/>
                  <w:vAlign w:val="center"/>
                </w:tcPr>
                <w:p w14:paraId="489F6A26">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0.22608</w:t>
                  </w:r>
                </w:p>
              </w:tc>
              <w:tc>
                <w:tcPr>
                  <w:tcW w:w="417" w:type="dxa"/>
                  <w:shd w:val="clear" w:color="auto" w:fill="auto"/>
                  <w:vAlign w:val="center"/>
                </w:tcPr>
                <w:p w14:paraId="1FD7E42A">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固</w:t>
                  </w:r>
                </w:p>
              </w:tc>
              <w:tc>
                <w:tcPr>
                  <w:tcW w:w="789" w:type="dxa"/>
                  <w:vMerge w:val="continue"/>
                  <w:vAlign w:val="center"/>
                </w:tcPr>
                <w:p w14:paraId="04B08370">
                  <w:pPr>
                    <w:spacing w:before="0" w:beforeAutospacing="0" w:after="0" w:afterAutospacing="0"/>
                    <w:jc w:val="center"/>
                    <w:outlineLvl w:val="0"/>
                    <w:rPr>
                      <w:rFonts w:hint="eastAsia" w:ascii="Times New Roman" w:hAnsi="Times New Roman"/>
                      <w:snapToGrid w:val="0"/>
                      <w:color w:val="auto"/>
                      <w:sz w:val="21"/>
                      <w:szCs w:val="21"/>
                    </w:rPr>
                  </w:pPr>
                </w:p>
              </w:tc>
              <w:tc>
                <w:tcPr>
                  <w:tcW w:w="1149" w:type="dxa"/>
                  <w:vMerge w:val="continue"/>
                  <w:vAlign w:val="center"/>
                </w:tcPr>
                <w:p w14:paraId="49C52E06">
                  <w:pPr>
                    <w:pStyle w:val="19"/>
                    <w:spacing w:before="0" w:beforeAutospacing="0" w:after="0" w:afterAutospacing="0"/>
                    <w:jc w:val="center"/>
                    <w:outlineLvl w:val="0"/>
                    <w:rPr>
                      <w:rFonts w:hint="eastAsia" w:ascii="Times New Roman" w:hAnsi="Times New Roman"/>
                      <w:snapToGrid w:val="0"/>
                      <w:color w:val="auto"/>
                      <w:sz w:val="21"/>
                      <w:szCs w:val="21"/>
                    </w:rPr>
                  </w:pPr>
                </w:p>
              </w:tc>
            </w:tr>
            <w:tr w14:paraId="71E0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dxa"/>
                  <w:shd w:val="clear" w:color="auto" w:fill="auto"/>
                  <w:vAlign w:val="center"/>
                </w:tcPr>
                <w:p w14:paraId="514A2D51">
                  <w:pPr>
                    <w:pStyle w:val="19"/>
                    <w:spacing w:before="0" w:beforeAutospacing="0" w:after="0" w:afterAutospacing="0"/>
                    <w:jc w:val="center"/>
                    <w:outlineLvl w:val="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9</w:t>
                  </w:r>
                </w:p>
              </w:tc>
              <w:tc>
                <w:tcPr>
                  <w:tcW w:w="935" w:type="dxa"/>
                  <w:shd w:val="clear" w:color="auto" w:fill="auto"/>
                  <w:vAlign w:val="center"/>
                </w:tcPr>
                <w:p w14:paraId="25C8ABC1">
                  <w:pPr>
                    <w:pStyle w:val="47"/>
                    <w:widowControl/>
                    <w:jc w:val="center"/>
                    <w:rPr>
                      <w:rFonts w:hint="default" w:ascii="Times New Roman" w:hAnsi="Times New Roman" w:eastAsia="宋体" w:cs="Times New Roman"/>
                      <w:color w:val="auto"/>
                      <w:spacing w:val="2"/>
                      <w:kern w:val="2"/>
                      <w:sz w:val="21"/>
                      <w:szCs w:val="21"/>
                      <w:lang w:val="en-US" w:eastAsia="zh-CN" w:bidi="ar-SA"/>
                    </w:rPr>
                  </w:pPr>
                  <w:r>
                    <w:rPr>
                      <w:rFonts w:hint="eastAsia"/>
                      <w:bCs/>
                      <w:color w:val="auto"/>
                      <w:sz w:val="21"/>
                      <w:szCs w:val="21"/>
                      <w:lang w:val="en-US" w:eastAsia="zh-CN"/>
                    </w:rPr>
                    <w:t>静电喷涂</w:t>
                  </w:r>
                </w:p>
              </w:tc>
              <w:tc>
                <w:tcPr>
                  <w:tcW w:w="861" w:type="dxa"/>
                  <w:shd w:val="clear" w:color="auto" w:fill="auto"/>
                  <w:vAlign w:val="center"/>
                </w:tcPr>
                <w:p w14:paraId="2C06803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 w:val="21"/>
                      <w:szCs w:val="21"/>
                      <w:lang w:val="en-US" w:eastAsia="zh-CN"/>
                    </w:rPr>
                    <w:t>废活性炭（S</w:t>
                  </w:r>
                  <w:r>
                    <w:rPr>
                      <w:rFonts w:hint="eastAsia" w:cs="Times New Roman"/>
                      <w:bCs/>
                      <w:color w:val="auto"/>
                      <w:sz w:val="21"/>
                      <w:szCs w:val="21"/>
                      <w:lang w:val="en-US" w:eastAsia="zh-CN"/>
                    </w:rPr>
                    <w:t>6</w:t>
                  </w:r>
                  <w:r>
                    <w:rPr>
                      <w:rFonts w:hint="eastAsia" w:ascii="Times New Roman" w:hAnsi="Times New Roman" w:eastAsia="宋体" w:cs="Times New Roman"/>
                      <w:bCs/>
                      <w:color w:val="auto"/>
                      <w:sz w:val="21"/>
                      <w:szCs w:val="21"/>
                      <w:lang w:val="en-US" w:eastAsia="zh-CN"/>
                    </w:rPr>
                    <w:t>）</w:t>
                  </w:r>
                </w:p>
              </w:tc>
              <w:tc>
                <w:tcPr>
                  <w:tcW w:w="338" w:type="dxa"/>
                  <w:vMerge w:val="continue"/>
                  <w:shd w:val="clear" w:color="auto" w:fill="auto"/>
                  <w:vAlign w:val="center"/>
                </w:tcPr>
                <w:p w14:paraId="5AFCAF43">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p>
              </w:tc>
              <w:tc>
                <w:tcPr>
                  <w:tcW w:w="943" w:type="dxa"/>
                  <w:shd w:val="clear" w:color="auto" w:fill="auto"/>
                  <w:vAlign w:val="center"/>
                </w:tcPr>
                <w:p w14:paraId="01319CA3">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w:t>
                  </w:r>
                  <w:r>
                    <w:rPr>
                      <w:rFonts w:hint="eastAsia" w:ascii="Times New Roman" w:hAnsi="Times New Roman"/>
                      <w:snapToGrid w:val="0"/>
                      <w:color w:val="auto"/>
                      <w:sz w:val="21"/>
                      <w:szCs w:val="21"/>
                      <w:lang w:val="en-US" w:eastAsia="zh-CN"/>
                    </w:rPr>
                    <w:t>39</w:t>
                  </w:r>
                  <w:r>
                    <w:rPr>
                      <w:rFonts w:hint="eastAsia" w:ascii="Times New Roman" w:hAnsi="Times New Roman"/>
                      <w:snapToGrid w:val="0"/>
                      <w:color w:val="auto"/>
                      <w:sz w:val="21"/>
                      <w:szCs w:val="21"/>
                    </w:rPr>
                    <w:t>-49</w:t>
                  </w:r>
                  <w:r>
                    <w:rPr>
                      <w:rFonts w:hint="eastAsia" w:ascii="Times New Roman" w:hAnsi="Times New Roman"/>
                      <w:snapToGrid w:val="0"/>
                      <w:color w:val="auto"/>
                      <w:sz w:val="21"/>
                      <w:szCs w:val="21"/>
                      <w:lang w:eastAsia="zh-CN"/>
                    </w:rPr>
                    <w:t>）</w:t>
                  </w:r>
                </w:p>
              </w:tc>
              <w:tc>
                <w:tcPr>
                  <w:tcW w:w="881" w:type="dxa"/>
                  <w:shd w:val="clear" w:color="auto" w:fill="auto"/>
                  <w:vAlign w:val="center"/>
                </w:tcPr>
                <w:p w14:paraId="452551AC">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1.41</w:t>
                  </w:r>
                </w:p>
              </w:tc>
              <w:tc>
                <w:tcPr>
                  <w:tcW w:w="831" w:type="dxa"/>
                  <w:shd w:val="clear" w:color="auto" w:fill="auto"/>
                  <w:vAlign w:val="center"/>
                </w:tcPr>
                <w:p w14:paraId="43FDDD69">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1.41</w:t>
                  </w:r>
                </w:p>
              </w:tc>
              <w:tc>
                <w:tcPr>
                  <w:tcW w:w="842" w:type="dxa"/>
                  <w:shd w:val="clear" w:color="auto" w:fill="auto"/>
                  <w:vAlign w:val="center"/>
                </w:tcPr>
                <w:p w14:paraId="7EBCF5E8">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w:t>
                  </w:r>
                  <w:r>
                    <w:rPr>
                      <w:rFonts w:hint="eastAsia" w:ascii="Times New Roman" w:hAnsi="Times New Roman" w:eastAsia="宋体" w:cs="Times New Roman"/>
                      <w:snapToGrid w:val="0"/>
                      <w:color w:val="auto"/>
                      <w:sz w:val="21"/>
                      <w:szCs w:val="21"/>
                      <w:highlight w:val="none"/>
                      <w:lang w:val="en-US" w:eastAsia="zh-CN"/>
                    </w:rPr>
                    <w:t>.82</w:t>
                  </w:r>
                </w:p>
              </w:tc>
              <w:tc>
                <w:tcPr>
                  <w:tcW w:w="417" w:type="dxa"/>
                  <w:shd w:val="clear" w:color="auto" w:fill="auto"/>
                  <w:vAlign w:val="center"/>
                </w:tcPr>
                <w:p w14:paraId="6383361B">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w:t>
                  </w:r>
                </w:p>
              </w:tc>
              <w:tc>
                <w:tcPr>
                  <w:tcW w:w="789" w:type="dxa"/>
                  <w:vMerge w:val="continue"/>
                  <w:vAlign w:val="center"/>
                </w:tcPr>
                <w:p w14:paraId="7B31A53B">
                  <w:pPr>
                    <w:spacing w:before="0" w:beforeAutospacing="0" w:after="0" w:afterAutospacing="0"/>
                    <w:jc w:val="center"/>
                    <w:outlineLvl w:val="0"/>
                    <w:rPr>
                      <w:rFonts w:hint="eastAsia" w:ascii="Times New Roman" w:hAnsi="Times New Roman"/>
                      <w:snapToGrid w:val="0"/>
                      <w:color w:val="auto"/>
                      <w:sz w:val="21"/>
                      <w:szCs w:val="21"/>
                    </w:rPr>
                  </w:pPr>
                </w:p>
              </w:tc>
              <w:tc>
                <w:tcPr>
                  <w:tcW w:w="1149" w:type="dxa"/>
                  <w:vMerge w:val="continue"/>
                  <w:vAlign w:val="center"/>
                </w:tcPr>
                <w:p w14:paraId="50910248">
                  <w:pPr>
                    <w:pStyle w:val="19"/>
                    <w:spacing w:before="0" w:beforeAutospacing="0" w:after="0" w:afterAutospacing="0"/>
                    <w:jc w:val="center"/>
                    <w:outlineLvl w:val="0"/>
                    <w:rPr>
                      <w:rFonts w:hint="eastAsia" w:ascii="Times New Roman" w:hAnsi="Times New Roman"/>
                      <w:snapToGrid w:val="0"/>
                      <w:color w:val="auto"/>
                      <w:sz w:val="21"/>
                      <w:szCs w:val="21"/>
                    </w:rPr>
                  </w:pPr>
                </w:p>
              </w:tc>
            </w:tr>
            <w:tr w14:paraId="0BA9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377" w:type="dxa"/>
                  <w:shd w:val="clear" w:color="auto" w:fill="auto"/>
                  <w:vAlign w:val="center"/>
                </w:tcPr>
                <w:p w14:paraId="7DFB4FB5">
                  <w:pPr>
                    <w:pStyle w:val="19"/>
                    <w:spacing w:before="0" w:beforeAutospacing="0" w:after="0" w:afterAutospacing="0"/>
                    <w:jc w:val="center"/>
                    <w:outlineLvl w:val="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10</w:t>
                  </w:r>
                </w:p>
              </w:tc>
              <w:tc>
                <w:tcPr>
                  <w:tcW w:w="935" w:type="dxa"/>
                  <w:shd w:val="clear" w:color="auto" w:fill="auto"/>
                  <w:vAlign w:val="center"/>
                </w:tcPr>
                <w:p w14:paraId="4A1FC569">
                  <w:pPr>
                    <w:pStyle w:val="47"/>
                    <w:widowControl/>
                    <w:jc w:val="center"/>
                    <w:rPr>
                      <w:rFonts w:ascii="Times New Roman" w:hAnsi="Times New Roman" w:eastAsia="宋体" w:cs="Times New Roman"/>
                      <w:color w:val="auto"/>
                      <w:spacing w:val="2"/>
                      <w:kern w:val="2"/>
                      <w:sz w:val="21"/>
                      <w:szCs w:val="21"/>
                      <w:lang w:val="en-US" w:eastAsia="en-US" w:bidi="ar-SA"/>
                    </w:rPr>
                  </w:pPr>
                  <w:r>
                    <w:rPr>
                      <w:rFonts w:hint="eastAsia" w:ascii="Times New Roman" w:hAnsi="Times New Roman"/>
                      <w:snapToGrid w:val="0"/>
                      <w:color w:val="auto"/>
                      <w:sz w:val="21"/>
                      <w:szCs w:val="21"/>
                    </w:rPr>
                    <w:t>机器</w:t>
                  </w:r>
                  <w:r>
                    <w:rPr>
                      <w:rFonts w:ascii="Times New Roman" w:hAnsi="Times New Roman"/>
                      <w:snapToGrid w:val="0"/>
                      <w:color w:val="auto"/>
                      <w:sz w:val="21"/>
                      <w:szCs w:val="21"/>
                    </w:rPr>
                    <w:t>检修过程产生</w:t>
                  </w:r>
                </w:p>
              </w:tc>
              <w:tc>
                <w:tcPr>
                  <w:tcW w:w="861" w:type="dxa"/>
                  <w:shd w:val="clear" w:color="auto" w:fill="auto"/>
                  <w:vAlign w:val="center"/>
                </w:tcPr>
                <w:p w14:paraId="5F4DB61C">
                  <w:pPr>
                    <w:widowControl/>
                    <w:jc w:val="center"/>
                    <w:textAlignment w:val="center"/>
                    <w:rPr>
                      <w:rFonts w:hint="eastAsia"/>
                      <w:color w:val="auto"/>
                      <w:kern w:val="0"/>
                      <w:sz w:val="21"/>
                      <w:szCs w:val="21"/>
                      <w:lang w:bidi="ar"/>
                    </w:rPr>
                  </w:pPr>
                  <w:r>
                    <w:rPr>
                      <w:rFonts w:hint="eastAsia"/>
                      <w:color w:val="auto"/>
                      <w:kern w:val="0"/>
                      <w:sz w:val="21"/>
                      <w:szCs w:val="21"/>
                      <w:lang w:bidi="ar"/>
                    </w:rPr>
                    <w:t>废润</w:t>
                  </w:r>
                </w:p>
                <w:p w14:paraId="5ED89282">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bidi="ar"/>
                    </w:rPr>
                    <w:t>滑油</w:t>
                  </w:r>
                  <w:r>
                    <w:rPr>
                      <w:rFonts w:hint="eastAsia"/>
                      <w:color w:val="auto"/>
                      <w:kern w:val="0"/>
                      <w:sz w:val="21"/>
                      <w:szCs w:val="21"/>
                      <w:lang w:eastAsia="zh-CN" w:bidi="ar"/>
                    </w:rPr>
                    <w:t>（</w:t>
                  </w:r>
                  <w:r>
                    <w:rPr>
                      <w:rFonts w:hint="eastAsia"/>
                      <w:color w:val="auto"/>
                      <w:kern w:val="0"/>
                      <w:sz w:val="21"/>
                      <w:szCs w:val="21"/>
                      <w:lang w:val="en-US" w:eastAsia="zh-CN" w:bidi="ar"/>
                    </w:rPr>
                    <w:t>S8</w:t>
                  </w:r>
                  <w:r>
                    <w:rPr>
                      <w:rFonts w:hint="eastAsia"/>
                      <w:color w:val="auto"/>
                      <w:kern w:val="0"/>
                      <w:sz w:val="21"/>
                      <w:szCs w:val="21"/>
                      <w:lang w:eastAsia="zh-CN" w:bidi="ar"/>
                    </w:rPr>
                    <w:t>）</w:t>
                  </w:r>
                </w:p>
              </w:tc>
              <w:tc>
                <w:tcPr>
                  <w:tcW w:w="338" w:type="dxa"/>
                  <w:vMerge w:val="continue"/>
                  <w:shd w:val="clear" w:color="auto" w:fill="auto"/>
                  <w:vAlign w:val="center"/>
                </w:tcPr>
                <w:p w14:paraId="249DD28D">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p>
              </w:tc>
              <w:tc>
                <w:tcPr>
                  <w:tcW w:w="943" w:type="dxa"/>
                  <w:shd w:val="clear" w:color="auto" w:fill="auto"/>
                  <w:vAlign w:val="center"/>
                </w:tcPr>
                <w:p w14:paraId="171E40A3">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ascii="Times New Roman" w:hAnsi="Times New Roman"/>
                      <w:snapToGrid w:val="0"/>
                      <w:color w:val="auto"/>
                      <w:sz w:val="21"/>
                      <w:szCs w:val="21"/>
                    </w:rPr>
                    <w:t>HW08</w:t>
                  </w:r>
                  <w:r>
                    <w:rPr>
                      <w:rFonts w:hint="eastAsia" w:ascii="Times New Roman" w:hAnsi="Times New Roman"/>
                      <w:snapToGrid w:val="0"/>
                      <w:color w:val="auto"/>
                      <w:sz w:val="21"/>
                      <w:szCs w:val="21"/>
                    </w:rPr>
                    <w:t>（</w:t>
                  </w:r>
                  <w:r>
                    <w:rPr>
                      <w:rFonts w:ascii="Times New Roman" w:hAnsi="Times New Roman"/>
                      <w:snapToGrid w:val="0"/>
                      <w:color w:val="auto"/>
                      <w:sz w:val="21"/>
                      <w:szCs w:val="21"/>
                    </w:rPr>
                    <w:t>900-21</w:t>
                  </w:r>
                  <w:r>
                    <w:rPr>
                      <w:rFonts w:hint="eastAsia" w:ascii="Times New Roman" w:hAnsi="Times New Roman"/>
                      <w:snapToGrid w:val="0"/>
                      <w:color w:val="auto"/>
                      <w:sz w:val="21"/>
                      <w:szCs w:val="21"/>
                      <w:lang w:val="en-US" w:eastAsia="zh-CN"/>
                    </w:rPr>
                    <w:t>7</w:t>
                  </w:r>
                  <w:r>
                    <w:rPr>
                      <w:rFonts w:ascii="Times New Roman" w:hAnsi="Times New Roman"/>
                      <w:snapToGrid w:val="0"/>
                      <w:color w:val="auto"/>
                      <w:sz w:val="21"/>
                      <w:szCs w:val="21"/>
                    </w:rPr>
                    <w:t>-08</w:t>
                  </w:r>
                  <w:r>
                    <w:rPr>
                      <w:rFonts w:hint="eastAsia" w:ascii="Times New Roman" w:hAnsi="Times New Roman"/>
                      <w:snapToGrid w:val="0"/>
                      <w:color w:val="auto"/>
                      <w:sz w:val="21"/>
                      <w:szCs w:val="21"/>
                    </w:rPr>
                    <w:t>）</w:t>
                  </w:r>
                </w:p>
              </w:tc>
              <w:tc>
                <w:tcPr>
                  <w:tcW w:w="881" w:type="dxa"/>
                  <w:shd w:val="clear" w:color="auto" w:fill="auto"/>
                  <w:vAlign w:val="center"/>
                </w:tcPr>
                <w:p w14:paraId="55A75B5B">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0.5</w:t>
                  </w:r>
                </w:p>
              </w:tc>
              <w:tc>
                <w:tcPr>
                  <w:tcW w:w="831" w:type="dxa"/>
                  <w:shd w:val="clear" w:color="auto" w:fill="auto"/>
                  <w:vAlign w:val="center"/>
                </w:tcPr>
                <w:p w14:paraId="11C8A2B8">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0.2</w:t>
                  </w:r>
                </w:p>
              </w:tc>
              <w:tc>
                <w:tcPr>
                  <w:tcW w:w="842" w:type="dxa"/>
                  <w:shd w:val="clear" w:color="auto" w:fill="auto"/>
                  <w:vAlign w:val="center"/>
                </w:tcPr>
                <w:p w14:paraId="71029C7A">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0.7</w:t>
                  </w:r>
                </w:p>
              </w:tc>
              <w:tc>
                <w:tcPr>
                  <w:tcW w:w="417" w:type="dxa"/>
                  <w:shd w:val="clear" w:color="auto" w:fill="auto"/>
                  <w:vAlign w:val="center"/>
                </w:tcPr>
                <w:p w14:paraId="592D99EE">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液</w:t>
                  </w:r>
                </w:p>
              </w:tc>
              <w:tc>
                <w:tcPr>
                  <w:tcW w:w="789" w:type="dxa"/>
                  <w:vMerge w:val="continue"/>
                  <w:vAlign w:val="center"/>
                </w:tcPr>
                <w:p w14:paraId="092B6FBC">
                  <w:pPr>
                    <w:spacing w:before="0" w:beforeAutospacing="0" w:after="0" w:afterAutospacing="0"/>
                    <w:jc w:val="center"/>
                    <w:outlineLvl w:val="0"/>
                    <w:rPr>
                      <w:rFonts w:hint="eastAsia" w:ascii="Times New Roman" w:hAnsi="Times New Roman"/>
                      <w:snapToGrid w:val="0"/>
                      <w:color w:val="auto"/>
                      <w:sz w:val="21"/>
                      <w:szCs w:val="21"/>
                    </w:rPr>
                  </w:pPr>
                </w:p>
              </w:tc>
              <w:tc>
                <w:tcPr>
                  <w:tcW w:w="1149" w:type="dxa"/>
                  <w:vMerge w:val="continue"/>
                  <w:vAlign w:val="center"/>
                </w:tcPr>
                <w:p w14:paraId="462E86E6">
                  <w:pPr>
                    <w:pStyle w:val="19"/>
                    <w:spacing w:before="0" w:beforeAutospacing="0" w:after="0" w:afterAutospacing="0"/>
                    <w:jc w:val="center"/>
                    <w:outlineLvl w:val="0"/>
                    <w:rPr>
                      <w:rFonts w:hint="eastAsia" w:ascii="Times New Roman" w:hAnsi="Times New Roman"/>
                      <w:snapToGrid w:val="0"/>
                      <w:color w:val="auto"/>
                      <w:sz w:val="21"/>
                      <w:szCs w:val="21"/>
                    </w:rPr>
                  </w:pPr>
                </w:p>
              </w:tc>
            </w:tr>
          </w:tbl>
          <w:p w14:paraId="58DD4FC0">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ascii="Times New Roman" w:hAnsi="Times New Roman"/>
                <w:b/>
                <w:bCs/>
                <w:snapToGrid w:val="0"/>
                <w:color w:val="auto"/>
                <w:szCs w:val="24"/>
                <w:highlight w:val="none"/>
              </w:rPr>
            </w:pPr>
            <w:r>
              <w:rPr>
                <w:rFonts w:hint="eastAsia" w:ascii="Times New Roman" w:hAnsi="Times New Roman"/>
                <w:b/>
                <w:bCs/>
                <w:snapToGrid w:val="0"/>
                <w:color w:val="auto"/>
                <w:szCs w:val="24"/>
                <w:highlight w:val="none"/>
                <w:lang w:val="en-US" w:eastAsia="zh-CN"/>
              </w:rPr>
              <w:t>五、</w:t>
            </w:r>
            <w:r>
              <w:rPr>
                <w:rFonts w:hint="eastAsia" w:ascii="Times New Roman" w:hAnsi="Times New Roman"/>
                <w:b/>
                <w:bCs/>
                <w:snapToGrid w:val="0"/>
                <w:color w:val="auto"/>
                <w:szCs w:val="24"/>
                <w:highlight w:val="none"/>
              </w:rPr>
              <w:t>生态环境影响分析</w:t>
            </w:r>
          </w:p>
          <w:p w14:paraId="3D5A2C48">
            <w:pPr>
              <w:widowControl/>
              <w:spacing w:line="360" w:lineRule="auto"/>
              <w:ind w:firstLine="480" w:firstLineChars="200"/>
              <w:jc w:val="left"/>
              <w:rPr>
                <w:color w:val="auto"/>
                <w:kern w:val="0"/>
                <w:sz w:val="24"/>
                <w:highlight w:val="none"/>
                <w:lang w:bidi="ar"/>
              </w:rPr>
            </w:pPr>
            <w:r>
              <w:rPr>
                <w:rFonts w:hint="eastAsia"/>
                <w:color w:val="auto"/>
                <w:kern w:val="0"/>
                <w:sz w:val="24"/>
                <w:highlight w:val="none"/>
                <w:lang w:bidi="ar"/>
              </w:rPr>
              <w:t>项目位于内蒙古自治区鄂尔多斯市准格尔经济开发区大路产业园新能源基地 B3</w:t>
            </w:r>
            <w:r>
              <w:rPr>
                <w:rFonts w:hint="eastAsia"/>
                <w:color w:val="auto"/>
                <w:sz w:val="24"/>
                <w:highlight w:val="none"/>
              </w:rPr>
              <w:t>地块12号厂房</w:t>
            </w:r>
            <w:r>
              <w:rPr>
                <w:rFonts w:hint="eastAsia"/>
                <w:color w:val="auto"/>
                <w:kern w:val="0"/>
                <w:sz w:val="24"/>
                <w:highlight w:val="none"/>
                <w:lang w:bidi="ar"/>
              </w:rPr>
              <w:t>，项目区域内无生态环境保护目标。项目运营期污染物简单，排放量较小，且“三废”污染物皆可控制和处理，对周围生态环境影响较小。</w:t>
            </w:r>
          </w:p>
          <w:p w14:paraId="431E24F6">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ascii="Times New Roman" w:hAnsi="Times New Roman"/>
                <w:b/>
                <w:bCs/>
                <w:snapToGrid w:val="0"/>
                <w:color w:val="auto"/>
                <w:szCs w:val="24"/>
                <w:highlight w:val="none"/>
              </w:rPr>
            </w:pPr>
            <w:r>
              <w:rPr>
                <w:rFonts w:hint="eastAsia" w:ascii="Times New Roman" w:hAnsi="Times New Roman"/>
                <w:b/>
                <w:bCs/>
                <w:snapToGrid w:val="0"/>
                <w:color w:val="auto"/>
                <w:szCs w:val="24"/>
                <w:highlight w:val="none"/>
                <w:lang w:val="en-US" w:eastAsia="zh-CN"/>
              </w:rPr>
              <w:t>六、</w:t>
            </w:r>
            <w:r>
              <w:rPr>
                <w:rFonts w:hint="eastAsia" w:ascii="Times New Roman" w:hAnsi="Times New Roman"/>
                <w:b/>
                <w:bCs/>
                <w:snapToGrid w:val="0"/>
                <w:color w:val="auto"/>
                <w:szCs w:val="24"/>
                <w:highlight w:val="none"/>
              </w:rPr>
              <w:t>地下水、土壤污染影响分析及环境保护措施</w:t>
            </w:r>
          </w:p>
          <w:p w14:paraId="13FD4204">
            <w:pPr>
              <w:widowControl/>
              <w:spacing w:line="360" w:lineRule="auto"/>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 xml:space="preserve">① </w:t>
            </w:r>
            <w:r>
              <w:rPr>
                <w:rFonts w:hint="default" w:ascii="Times New Roman" w:hAnsi="Times New Roman" w:eastAsia="宋体" w:cs="Times New Roman"/>
                <w:color w:val="auto"/>
                <w:kern w:val="0"/>
                <w:sz w:val="24"/>
                <w:highlight w:val="none"/>
                <w:lang w:bidi="ar"/>
              </w:rPr>
              <w:t>污染途径</w:t>
            </w:r>
          </w:p>
          <w:p w14:paraId="7A66543B">
            <w:pPr>
              <w:widowControl/>
              <w:spacing w:line="360" w:lineRule="auto"/>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项目正常情况下不会污染地下水与土壤，但若发生危废泄漏、污水处理设施泄漏等事故后，可能会造成地下水与土壤的污染，泄漏的危废进入土壤或地下水，会对地下水及土壤造成污染，主要污染因子</w:t>
            </w:r>
            <w:r>
              <w:rPr>
                <w:rFonts w:hint="eastAsia" w:ascii="Times New Roman" w:hAnsi="Times New Roman" w:eastAsia="宋体" w:cs="Times New Roman"/>
                <w:color w:val="auto"/>
                <w:kern w:val="0"/>
                <w:sz w:val="24"/>
                <w:highlight w:val="none"/>
                <w:lang w:val="en-US" w:eastAsia="zh-CN" w:bidi="ar"/>
              </w:rPr>
              <w:t>SS</w:t>
            </w:r>
            <w:r>
              <w:rPr>
                <w:rFonts w:hint="default" w:ascii="Times New Roman" w:hAnsi="Times New Roman" w:eastAsia="宋体" w:cs="Times New Roman"/>
                <w:color w:val="auto"/>
                <w:kern w:val="0"/>
                <w:sz w:val="24"/>
                <w:highlight w:val="none"/>
                <w:lang w:bidi="ar"/>
              </w:rPr>
              <w:t>等。</w:t>
            </w:r>
          </w:p>
          <w:p w14:paraId="2ECD8E41">
            <w:pPr>
              <w:widowControl/>
              <w:spacing w:line="360" w:lineRule="auto"/>
              <w:ind w:firstLine="480" w:firstLineChars="200"/>
              <w:jc w:val="left"/>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 xml:space="preserve">② </w:t>
            </w:r>
            <w:r>
              <w:rPr>
                <w:rFonts w:hint="default" w:ascii="Times New Roman" w:hAnsi="Times New Roman" w:eastAsia="宋体" w:cs="Times New Roman"/>
                <w:color w:val="auto"/>
                <w:kern w:val="0"/>
                <w:sz w:val="24"/>
                <w:highlight w:val="none"/>
                <w:lang w:bidi="ar"/>
              </w:rPr>
              <w:t>防治措施</w:t>
            </w:r>
          </w:p>
          <w:p w14:paraId="155530C5">
            <w:pPr>
              <w:widowControl/>
              <w:spacing w:line="360" w:lineRule="auto"/>
              <w:ind w:firstLine="480" w:firstLineChars="200"/>
              <w:jc w:val="left"/>
              <w:rPr>
                <w:rFonts w:hint="eastAsia"/>
                <w:color w:val="auto"/>
                <w:kern w:val="0"/>
                <w:sz w:val="24"/>
                <w:highlight w:val="yellow"/>
                <w:lang w:bidi="ar"/>
              </w:rPr>
            </w:pPr>
            <w:r>
              <w:rPr>
                <w:rFonts w:hint="default" w:ascii="Times New Roman" w:hAnsi="Times New Roman" w:eastAsia="宋体" w:cs="Times New Roman"/>
                <w:color w:val="auto"/>
                <w:kern w:val="0"/>
                <w:sz w:val="24"/>
                <w:highlight w:val="none"/>
                <w:lang w:bidi="ar"/>
              </w:rPr>
              <w:t>项目厂区划分为重点防渗区、一般防渗区、简单防渗区，参照</w:t>
            </w:r>
            <w:r>
              <w:rPr>
                <w:rFonts w:hint="default" w:ascii="Times New Roman" w:hAnsi="Times New Roman" w:eastAsia="宋体" w:cs="Times New Roman"/>
                <w:color w:val="auto"/>
                <w:kern w:val="0"/>
                <w:sz w:val="24"/>
                <w:highlight w:val="none"/>
                <w:lang w:eastAsia="zh-CN" w:bidi="ar"/>
              </w:rPr>
              <w:t>《危险废物贮存污染控制标准》（GB 18597-2023）</w:t>
            </w:r>
            <w:r>
              <w:rPr>
                <w:rFonts w:hint="eastAsia"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kern w:val="0"/>
                <w:sz w:val="24"/>
                <w:highlight w:val="none"/>
                <w:lang w:bidi="ar"/>
              </w:rPr>
              <w:t>《环境影响评价技术导则 地下水环境》（HJ610-2016）进行防渗。</w:t>
            </w:r>
          </w:p>
          <w:p w14:paraId="1EA44AC2">
            <w:pPr>
              <w:pStyle w:val="19"/>
              <w:spacing w:before="0" w:beforeAutospacing="0" w:after="0" w:afterAutospacing="0"/>
              <w:jc w:val="center"/>
              <w:outlineLvl w:val="0"/>
              <w:rPr>
                <w:rFonts w:hint="eastAsia" w:ascii="Times New Roman" w:hAnsi="Times New Roman"/>
                <w:b/>
                <w:bCs/>
                <w:snapToGrid w:val="0"/>
                <w:color w:val="auto"/>
                <w:szCs w:val="24"/>
                <w:highlight w:val="none"/>
              </w:rPr>
            </w:pPr>
            <w:r>
              <w:rPr>
                <w:rFonts w:ascii="Times New Roman" w:hAnsi="Times New Roman"/>
                <w:b/>
                <w:bCs/>
                <w:snapToGrid w:val="0"/>
                <w:color w:val="auto"/>
                <w:szCs w:val="24"/>
                <w:highlight w:val="none"/>
              </w:rPr>
              <w:t>表</w:t>
            </w:r>
            <w:r>
              <w:rPr>
                <w:rFonts w:hint="eastAsia" w:ascii="Times New Roman" w:hAnsi="Times New Roman"/>
                <w:b/>
                <w:bCs/>
                <w:snapToGrid w:val="0"/>
                <w:color w:val="auto"/>
                <w:szCs w:val="24"/>
                <w:highlight w:val="none"/>
              </w:rPr>
              <w:t>4-1</w:t>
            </w:r>
            <w:r>
              <w:rPr>
                <w:rFonts w:hint="eastAsia" w:ascii="Times New Roman" w:hAnsi="Times New Roman"/>
                <w:b/>
                <w:bCs/>
                <w:snapToGrid w:val="0"/>
                <w:color w:val="auto"/>
                <w:szCs w:val="24"/>
                <w:highlight w:val="none"/>
                <w:lang w:val="en-US" w:eastAsia="zh-CN"/>
              </w:rPr>
              <w:t>4   本项目防渗措施一览表</w:t>
            </w:r>
            <w:r>
              <w:rPr>
                <w:rFonts w:hint="eastAsia" w:ascii="Times New Roman" w:hAnsi="Times New Roman"/>
                <w:b/>
                <w:bCs/>
                <w:snapToGrid w:val="0"/>
                <w:color w:val="auto"/>
                <w:szCs w:val="24"/>
                <w:highlight w:val="none"/>
              </w:rPr>
              <w:t xml:space="preserve">   </w:t>
            </w:r>
          </w:p>
          <w:tbl>
            <w:tblPr>
              <w:tblStyle w:val="23"/>
              <w:tblW w:w="84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2145"/>
              <w:gridCol w:w="4565"/>
            </w:tblGrid>
            <w:tr w14:paraId="6F6B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698" w:type="dxa"/>
                  <w:shd w:val="clear" w:color="auto" w:fill="auto"/>
                  <w:vAlign w:val="center"/>
                </w:tcPr>
                <w:p w14:paraId="34493DFE">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分区</w:t>
                  </w:r>
                </w:p>
              </w:tc>
              <w:tc>
                <w:tcPr>
                  <w:tcW w:w="2145" w:type="dxa"/>
                  <w:shd w:val="clear" w:color="auto" w:fill="auto"/>
                  <w:vAlign w:val="center"/>
                </w:tcPr>
                <w:p w14:paraId="3EBF11D6">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厂内分区</w:t>
                  </w:r>
                </w:p>
              </w:tc>
              <w:tc>
                <w:tcPr>
                  <w:tcW w:w="4565" w:type="dxa"/>
                  <w:shd w:val="clear" w:color="auto" w:fill="auto"/>
                  <w:vAlign w:val="center"/>
                </w:tcPr>
                <w:p w14:paraId="726B7886">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防渗等级</w:t>
                  </w:r>
                </w:p>
              </w:tc>
            </w:tr>
            <w:tr w14:paraId="706A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698" w:type="dxa"/>
                  <w:shd w:val="clear" w:color="auto" w:fill="auto"/>
                  <w:vAlign w:val="center"/>
                </w:tcPr>
                <w:p w14:paraId="213723FB">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重点防渗区</w:t>
                  </w:r>
                </w:p>
              </w:tc>
              <w:tc>
                <w:tcPr>
                  <w:tcW w:w="2145" w:type="dxa"/>
                  <w:vAlign w:val="center"/>
                </w:tcPr>
                <w:p w14:paraId="24511B90">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危废暂存间</w:t>
                  </w:r>
                </w:p>
              </w:tc>
              <w:tc>
                <w:tcPr>
                  <w:tcW w:w="4565" w:type="dxa"/>
                  <w:vAlign w:val="center"/>
                </w:tcPr>
                <w:p w14:paraId="1871B11E">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cs="Times New Roman"/>
                      <w:color w:val="auto"/>
                      <w:spacing w:val="6"/>
                      <w:sz w:val="21"/>
                      <w:szCs w:val="21"/>
                      <w:lang w:eastAsia="zh-CN"/>
                    </w:rPr>
                    <w:t>至少2mm厚高密度聚乙烯膜等人工防渗材料（</w:t>
                  </w:r>
                  <w:r>
                    <w:rPr>
                      <w:rFonts w:hint="default" w:ascii="Times New Roman" w:hAnsi="Times New Roman" w:cs="Times New Roman"/>
                      <w:color w:val="auto"/>
                      <w:sz w:val="21"/>
                      <w:szCs w:val="21"/>
                    </w:rPr>
                    <w:t>渗透系数≤1</w:t>
                  </w: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vertAlign w:val="superscript"/>
                    </w:rPr>
                    <w:t>-</w:t>
                  </w:r>
                  <w:r>
                    <w:rPr>
                      <w:rFonts w:hint="default" w:ascii="Times New Roman" w:hAnsi="Times New Roman" w:cs="Times New Roman"/>
                      <w:color w:val="auto"/>
                      <w:sz w:val="21"/>
                      <w:szCs w:val="21"/>
                      <w:vertAlign w:val="superscript"/>
                      <w:lang w:val="en-US" w:eastAsia="zh-CN"/>
                    </w:rPr>
                    <w:t>10</w:t>
                  </w:r>
                  <w:r>
                    <w:rPr>
                      <w:rFonts w:hint="default" w:ascii="Times New Roman" w:hAnsi="Times New Roman" w:cs="Times New Roman"/>
                      <w:color w:val="auto"/>
                      <w:sz w:val="21"/>
                      <w:szCs w:val="21"/>
                    </w:rPr>
                    <w:t>cm/s</w:t>
                  </w:r>
                  <w:r>
                    <w:rPr>
                      <w:rFonts w:hint="default" w:ascii="Times New Roman" w:hAnsi="Times New Roman" w:cs="Times New Roman"/>
                      <w:color w:val="auto"/>
                      <w:spacing w:val="6"/>
                      <w:sz w:val="21"/>
                      <w:szCs w:val="21"/>
                      <w:lang w:eastAsia="zh-CN"/>
                    </w:rPr>
                    <w:t>），或其他防渗性能等效的材料</w:t>
                  </w:r>
                  <w:r>
                    <w:rPr>
                      <w:rFonts w:hint="default" w:ascii="Times New Roman" w:hAnsi="Times New Roman" w:eastAsia="宋体" w:cs="Times New Roman"/>
                      <w:color w:val="auto"/>
                      <w:kern w:val="0"/>
                      <w:sz w:val="21"/>
                      <w:szCs w:val="21"/>
                      <w:lang w:val="en-US" w:eastAsia="zh-CN" w:bidi="ar"/>
                    </w:rPr>
                    <w:t>。</w:t>
                  </w:r>
                </w:p>
              </w:tc>
            </w:tr>
            <w:tr w14:paraId="5C1A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698" w:type="dxa"/>
                  <w:shd w:val="clear" w:color="auto" w:fill="auto"/>
                  <w:vAlign w:val="center"/>
                </w:tcPr>
                <w:p w14:paraId="4207DA42">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一般防渗区</w:t>
                  </w:r>
                </w:p>
              </w:tc>
              <w:tc>
                <w:tcPr>
                  <w:tcW w:w="2145" w:type="dxa"/>
                  <w:vAlign w:val="center"/>
                </w:tcPr>
                <w:p w14:paraId="27F3F5DF">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一般固废暂存区</w:t>
                  </w:r>
                </w:p>
              </w:tc>
              <w:tc>
                <w:tcPr>
                  <w:tcW w:w="4565" w:type="dxa"/>
                  <w:vAlign w:val="center"/>
                </w:tcPr>
                <w:p w14:paraId="331BBC6C">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cs="Times New Roman"/>
                      <w:color w:val="auto"/>
                      <w:sz w:val="21"/>
                      <w:szCs w:val="21"/>
                      <w:highlight w:val="none"/>
                    </w:rPr>
                    <w:t>等效黏土防渗层Mb≥1.5m，渗透系数≤1.0×10</w:t>
                  </w:r>
                  <w:r>
                    <w:rPr>
                      <w:rFonts w:hint="default" w:ascii="Times New Roman" w:hAnsi="Times New Roman" w:cs="Times New Roman"/>
                      <w:color w:val="auto"/>
                      <w:sz w:val="21"/>
                      <w:szCs w:val="21"/>
                      <w:highlight w:val="none"/>
                      <w:vertAlign w:val="superscript"/>
                    </w:rPr>
                    <w:t>-7</w:t>
                  </w:r>
                  <w:r>
                    <w:rPr>
                      <w:rFonts w:hint="default" w:ascii="Times New Roman" w:hAnsi="Times New Roman" w:cs="Times New Roman"/>
                      <w:color w:val="auto"/>
                      <w:sz w:val="21"/>
                      <w:szCs w:val="21"/>
                      <w:highlight w:val="none"/>
                    </w:rPr>
                    <w:t>cm/s</w:t>
                  </w:r>
                </w:p>
              </w:tc>
            </w:tr>
            <w:tr w14:paraId="21F7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698" w:type="dxa"/>
                  <w:shd w:val="clear" w:color="auto" w:fill="auto"/>
                  <w:vAlign w:val="center"/>
                </w:tcPr>
                <w:p w14:paraId="39364776">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default" w:ascii="Times New Roman" w:hAnsi="Times New Roman" w:eastAsia="宋体" w:cs="Times New Roman"/>
                      <w:snapToGrid w:val="0"/>
                      <w:color w:val="auto"/>
                      <w:sz w:val="21"/>
                      <w:szCs w:val="21"/>
                      <w:highlight w:val="none"/>
                      <w:lang w:val="en-US" w:eastAsia="zh-CN"/>
                    </w:rPr>
                    <w:t>简单防渗区</w:t>
                  </w:r>
                </w:p>
              </w:tc>
              <w:tc>
                <w:tcPr>
                  <w:tcW w:w="2145" w:type="dxa"/>
                  <w:vAlign w:val="center"/>
                </w:tcPr>
                <w:p w14:paraId="16B348FD">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其他区域</w:t>
                  </w:r>
                </w:p>
              </w:tc>
              <w:tc>
                <w:tcPr>
                  <w:tcW w:w="4565" w:type="dxa"/>
                  <w:vAlign w:val="center"/>
                </w:tcPr>
                <w:p w14:paraId="6D8018D1">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eastAsia" w:ascii="Times New Roman" w:hAnsi="Times New Roman"/>
                      <w:snapToGrid w:val="0"/>
                      <w:color w:val="auto"/>
                      <w:sz w:val="21"/>
                      <w:szCs w:val="21"/>
                      <w:highlight w:val="none"/>
                      <w:lang w:val="en-US" w:eastAsia="zh-CN"/>
                    </w:rPr>
                    <w:t>一般地面硬化</w:t>
                  </w:r>
                </w:p>
              </w:tc>
            </w:tr>
          </w:tbl>
          <w:p w14:paraId="0D244AAB">
            <w:pPr>
              <w:widowControl/>
              <w:spacing w:line="360" w:lineRule="auto"/>
              <w:ind w:firstLine="480" w:firstLineChars="200"/>
              <w:jc w:val="left"/>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val="en-US" w:eastAsia="zh-CN" w:bidi="ar"/>
              </w:rPr>
              <w:t>③ 环境影响评价结论</w:t>
            </w:r>
          </w:p>
          <w:p w14:paraId="156A3D61">
            <w:pPr>
              <w:widowControl/>
              <w:spacing w:line="360" w:lineRule="auto"/>
              <w:ind w:firstLine="480" w:firstLineChars="200"/>
              <w:jc w:val="left"/>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val="en-US" w:eastAsia="zh-CN" w:bidi="ar"/>
              </w:rPr>
              <w:t>项目采取完善的地下水、土壤污染防治措施后，能够有效防止地下水、土壤环境的污染，对地下水、土壤环境影响较小。</w:t>
            </w:r>
          </w:p>
          <w:p w14:paraId="0353E3EA">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2" w:firstLineChars="200"/>
              <w:textAlignment w:val="auto"/>
              <w:outlineLvl w:val="0"/>
              <w:rPr>
                <w:rFonts w:hint="eastAsia"/>
                <w:b/>
                <w:bCs/>
                <w:color w:val="auto"/>
                <w:kern w:val="0"/>
                <w:sz w:val="24"/>
                <w:lang w:val="en-US" w:eastAsia="zh-CN" w:bidi="ar"/>
              </w:rPr>
            </w:pPr>
            <w:r>
              <w:rPr>
                <w:rFonts w:hint="eastAsia" w:ascii="Times New Roman" w:hAnsi="Times New Roman"/>
                <w:b/>
                <w:bCs/>
                <w:snapToGrid w:val="0"/>
                <w:color w:val="auto"/>
                <w:szCs w:val="24"/>
                <w:lang w:val="en-US" w:eastAsia="zh-CN"/>
              </w:rPr>
              <w:t>七、</w:t>
            </w:r>
            <w:r>
              <w:rPr>
                <w:rFonts w:hint="eastAsia" w:ascii="Times New Roman" w:hAnsi="Times New Roman"/>
                <w:b/>
                <w:bCs/>
                <w:snapToGrid w:val="0"/>
                <w:color w:val="auto"/>
                <w:szCs w:val="24"/>
              </w:rPr>
              <w:t>环境影响风险分析与评价</w:t>
            </w:r>
          </w:p>
          <w:p w14:paraId="56CE4A4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7.1、环境风险识别与分布</w:t>
            </w:r>
          </w:p>
          <w:p w14:paraId="328D13B8">
            <w:pPr>
              <w:pStyle w:val="1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outlineLvl w:val="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根据《建设项目环境风险评价技术导则》（HJ169-2018）要求，对于涉及有毒有害和易燃易爆物质的生产、使用、储存等新建、改建和技术改造项目应进行环境风险评价。</w:t>
            </w:r>
          </w:p>
          <w:p w14:paraId="3EA023BD">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1</w:t>
            </w:r>
            <w:r>
              <w:rPr>
                <w:rFonts w:hint="eastAsia" w:ascii="Times New Roman" w:hAnsi="Times New Roman" w:cs="Times New Roman"/>
                <w:color w:val="auto"/>
                <w:sz w:val="24"/>
                <w:szCs w:val="24"/>
                <w:lang w:eastAsia="zh-CN"/>
              </w:rPr>
              <w:t>）风险源识别</w:t>
            </w:r>
          </w:p>
          <w:p w14:paraId="18F6B005">
            <w:pPr>
              <w:adjustRightInd w:val="0"/>
              <w:snapToGrid w:val="0"/>
              <w:spacing w:line="360" w:lineRule="auto"/>
              <w:ind w:firstLine="480" w:firstLineChars="200"/>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lang w:eastAsia="zh-CN"/>
              </w:rPr>
              <w:t>本项目主要进行</w:t>
            </w:r>
            <w:r>
              <w:rPr>
                <w:rFonts w:hint="eastAsia"/>
                <w:color w:val="auto"/>
                <w:sz w:val="24"/>
              </w:rPr>
              <w:t>环氧玻璃纤维高压管道</w:t>
            </w:r>
            <w:r>
              <w:rPr>
                <w:rFonts w:hint="eastAsia" w:ascii="Times New Roman" w:hAnsi="Times New Roman" w:eastAsia="宋体" w:cs="Times New Roman"/>
                <w:b w:val="0"/>
                <w:bCs w:val="0"/>
                <w:color w:val="auto"/>
                <w:sz w:val="24"/>
                <w:szCs w:val="24"/>
                <w:lang w:val="en-US" w:eastAsia="zh-CN"/>
              </w:rPr>
              <w:t>生产，</w:t>
            </w:r>
            <w:r>
              <w:rPr>
                <w:rFonts w:hint="eastAsia" w:ascii="Times New Roman" w:hAnsi="Times New Roman" w:cs="Times New Roman"/>
                <w:color w:val="auto"/>
                <w:sz w:val="24"/>
                <w:szCs w:val="24"/>
                <w:lang w:eastAsia="zh-CN"/>
              </w:rPr>
              <w:t>主要风险源</w:t>
            </w:r>
            <w:r>
              <w:rPr>
                <w:rFonts w:hint="eastAsia" w:cs="Times New Roman"/>
                <w:color w:val="auto"/>
                <w:sz w:val="24"/>
                <w:szCs w:val="24"/>
                <w:lang w:val="en-US" w:eastAsia="zh-CN"/>
              </w:rPr>
              <w:t>为</w:t>
            </w:r>
            <w:r>
              <w:rPr>
                <w:rFonts w:hint="eastAsia" w:ascii="Times New Roman" w:hAnsi="Times New Roman" w:cs="Times New Roman"/>
                <w:color w:val="auto"/>
                <w:sz w:val="24"/>
                <w:szCs w:val="24"/>
                <w:lang w:val="en-US" w:eastAsia="zh-CN"/>
              </w:rPr>
              <w:t>危废暂存间</w:t>
            </w:r>
            <w:r>
              <w:rPr>
                <w:rFonts w:hint="eastAsia" w:ascii="Times New Roman" w:hAnsi="Times New Roman" w:cs="Times New Roman"/>
                <w:color w:val="auto"/>
                <w:sz w:val="24"/>
                <w:szCs w:val="24"/>
                <w:lang w:eastAsia="zh-CN"/>
              </w:rPr>
              <w:t>。</w:t>
            </w:r>
          </w:p>
          <w:p w14:paraId="6B6C6DD7">
            <w:pPr>
              <w:adjustRightInd w:val="0"/>
              <w:snapToGrid w:val="0"/>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（2）风险物质识别</w:t>
            </w:r>
          </w:p>
          <w:p w14:paraId="7BE75944">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0"/>
              <w:rPr>
                <w:rFonts w:hint="eastAsia"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物质风险识别范围：主要原材料及辅助材料、燃料、中间产品、最终产品以及生产过程排放的“三废”污染物等。</w:t>
            </w:r>
          </w:p>
          <w:p w14:paraId="6E146F8D">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0"/>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由于本项目危废暂存间设置较小，因此本项目危险废物暂存最长周期为3个月</w:t>
            </w:r>
            <w:r>
              <w:rPr>
                <w:rFonts w:hint="eastAsia" w:ascii="Times New Roman" w:hAnsi="Times New Roman" w:cs="Times New Roman"/>
                <w:color w:val="auto"/>
                <w:kern w:val="0"/>
                <w:sz w:val="24"/>
                <w:szCs w:val="24"/>
                <w:lang w:val="en-US" w:eastAsia="zh-CN" w:bidi="ar"/>
              </w:rPr>
              <w:t>；废包装产生量较多，当月进行委托处理</w:t>
            </w:r>
            <w:r>
              <w:rPr>
                <w:rFonts w:hint="eastAsia" w:ascii="Times New Roman" w:hAnsi="Times New Roman" w:eastAsia="宋体" w:cs="Times New Roman"/>
                <w:color w:val="auto"/>
                <w:kern w:val="0"/>
                <w:sz w:val="24"/>
                <w:szCs w:val="24"/>
                <w:lang w:val="en-US" w:eastAsia="zh-CN" w:bidi="ar"/>
              </w:rPr>
              <w:t>。</w:t>
            </w:r>
          </w:p>
          <w:p w14:paraId="55B0C7F5">
            <w:pPr>
              <w:pStyle w:val="19"/>
              <w:spacing w:before="0" w:beforeAutospacing="0" w:after="0" w:afterAutospacing="0"/>
              <w:jc w:val="center"/>
              <w:outlineLvl w:val="0"/>
              <w:rPr>
                <w:color w:val="auto"/>
                <w:kern w:val="0"/>
                <w:sz w:val="24"/>
                <w:lang w:bidi="ar"/>
              </w:rPr>
            </w:pPr>
            <w:r>
              <w:rPr>
                <w:rFonts w:ascii="Times New Roman" w:hAnsi="Times New Roman" w:eastAsia="宋体" w:cs="Times New Roman"/>
                <w:b/>
                <w:bCs/>
                <w:snapToGrid w:val="0"/>
                <w:color w:val="auto"/>
                <w:szCs w:val="24"/>
                <w:highlight w:val="none"/>
              </w:rPr>
              <w:t>表4-1</w:t>
            </w:r>
            <w:r>
              <w:rPr>
                <w:rFonts w:hint="eastAsia" w:ascii="Times New Roman" w:hAnsi="Times New Roman" w:cs="Times New Roman"/>
                <w:b/>
                <w:bCs/>
                <w:snapToGrid w:val="0"/>
                <w:color w:val="auto"/>
                <w:szCs w:val="24"/>
                <w:highlight w:val="none"/>
                <w:lang w:val="en-US" w:eastAsia="zh-CN"/>
              </w:rPr>
              <w:t>5</w:t>
            </w:r>
            <w:r>
              <w:rPr>
                <w:rFonts w:ascii="Times New Roman" w:hAnsi="Times New Roman" w:eastAsia="宋体" w:cs="Times New Roman"/>
                <w:b/>
                <w:bCs/>
                <w:snapToGrid w:val="0"/>
                <w:color w:val="auto"/>
                <w:szCs w:val="24"/>
                <w:highlight w:val="none"/>
              </w:rPr>
              <w:t xml:space="preserve">      危险物质信息一览表</w:t>
            </w:r>
          </w:p>
          <w:tbl>
            <w:tblPr>
              <w:tblStyle w:val="46"/>
              <w:tblW w:w="8176"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4"/>
              <w:gridCol w:w="1188"/>
              <w:gridCol w:w="1277"/>
              <w:gridCol w:w="1277"/>
              <w:gridCol w:w="1277"/>
              <w:gridCol w:w="1067"/>
              <w:gridCol w:w="796"/>
              <w:gridCol w:w="850"/>
            </w:tblGrid>
            <w:tr w14:paraId="2650B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444" w:type="dxa"/>
                  <w:vAlign w:val="center"/>
                </w:tcPr>
                <w:p w14:paraId="50EF9EBB">
                  <w:pPr>
                    <w:pStyle w:val="49"/>
                    <w:spacing w:beforeLines="0" w:afterLines="0" w:line="320" w:lineRule="exact"/>
                    <w:jc w:val="center"/>
                    <w:rPr>
                      <w:rFonts w:hint="eastAsia" w:ascii="Times New Roman" w:hAnsi="Times New Roman" w:eastAsia="宋体" w:cs="Times New Roman"/>
                      <w:b w:val="0"/>
                      <w:color w:val="auto"/>
                      <w:szCs w:val="21"/>
                    </w:rPr>
                  </w:pPr>
                  <w:r>
                    <w:rPr>
                      <w:rFonts w:hint="eastAsia" w:ascii="Times New Roman" w:hAnsi="Times New Roman" w:eastAsia="宋体" w:cs="Times New Roman"/>
                      <w:b w:val="0"/>
                      <w:color w:val="auto"/>
                      <w:szCs w:val="21"/>
                    </w:rPr>
                    <w:t>序号</w:t>
                  </w:r>
                </w:p>
              </w:tc>
              <w:tc>
                <w:tcPr>
                  <w:tcW w:w="1188" w:type="dxa"/>
                  <w:vAlign w:val="center"/>
                </w:tcPr>
                <w:p w14:paraId="663BAB86">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危险物质</w:t>
                  </w:r>
                </w:p>
              </w:tc>
              <w:tc>
                <w:tcPr>
                  <w:tcW w:w="1277" w:type="dxa"/>
                  <w:vAlign w:val="center"/>
                </w:tcPr>
                <w:p w14:paraId="4F9115A2">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危险物质产生工序</w:t>
                  </w:r>
                </w:p>
              </w:tc>
              <w:tc>
                <w:tcPr>
                  <w:tcW w:w="1277" w:type="dxa"/>
                  <w:vAlign w:val="center"/>
                </w:tcPr>
                <w:p w14:paraId="2E4967AF">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rPr>
                    <w:t>危险废物类别、代码</w:t>
                  </w:r>
                </w:p>
              </w:tc>
              <w:tc>
                <w:tcPr>
                  <w:tcW w:w="1277" w:type="dxa"/>
                  <w:vAlign w:val="center"/>
                </w:tcPr>
                <w:p w14:paraId="01F0381D">
                  <w:pPr>
                    <w:pStyle w:val="49"/>
                    <w:spacing w:beforeLines="0" w:afterLines="0" w:line="320" w:lineRule="exact"/>
                    <w:jc w:val="center"/>
                    <w:rPr>
                      <w:rFonts w:hint="eastAsia" w:ascii="Times New Roman" w:hAnsi="Times New Roman" w:eastAsia="宋体" w:cs="Times New Roman"/>
                      <w:b w:val="0"/>
                      <w:color w:val="auto"/>
                      <w:szCs w:val="21"/>
                    </w:rPr>
                  </w:pPr>
                  <w:r>
                    <w:rPr>
                      <w:rFonts w:hint="eastAsia" w:ascii="Times New Roman" w:hAnsi="Times New Roman" w:eastAsia="宋体" w:cs="Times New Roman"/>
                      <w:b w:val="0"/>
                      <w:color w:val="auto"/>
                      <w:szCs w:val="21"/>
                    </w:rPr>
                    <w:t>最大存在总量（t）</w:t>
                  </w:r>
                </w:p>
              </w:tc>
              <w:tc>
                <w:tcPr>
                  <w:tcW w:w="1067" w:type="dxa"/>
                  <w:vAlign w:val="center"/>
                </w:tcPr>
                <w:p w14:paraId="55CC8746">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最大存在总量（t）</w:t>
                  </w:r>
                </w:p>
              </w:tc>
              <w:tc>
                <w:tcPr>
                  <w:tcW w:w="796" w:type="dxa"/>
                  <w:vAlign w:val="center"/>
                </w:tcPr>
                <w:p w14:paraId="6D8DCFDA">
                  <w:pPr>
                    <w:pStyle w:val="49"/>
                    <w:spacing w:beforeLines="0" w:afterLines="0" w:line="320" w:lineRule="exact"/>
                    <w:jc w:val="center"/>
                    <w:rPr>
                      <w:rFonts w:hint="eastAsia" w:ascii="Times New Roman" w:hAnsi="Times New Roman" w:eastAsia="宋体" w:cs="Times New Roman"/>
                      <w:b w:val="0"/>
                      <w:color w:val="auto"/>
                      <w:szCs w:val="21"/>
                    </w:rPr>
                  </w:pPr>
                  <w:r>
                    <w:rPr>
                      <w:rFonts w:hint="eastAsia" w:ascii="Times New Roman" w:hAnsi="Times New Roman" w:eastAsia="宋体" w:cs="Times New Roman"/>
                      <w:b w:val="0"/>
                      <w:color w:val="auto"/>
                      <w:szCs w:val="21"/>
                    </w:rPr>
                    <w:t>临界量（t）</w:t>
                  </w:r>
                </w:p>
              </w:tc>
              <w:tc>
                <w:tcPr>
                  <w:tcW w:w="850" w:type="dxa"/>
                  <w:vAlign w:val="center"/>
                </w:tcPr>
                <w:p w14:paraId="1FB1FAC4">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Q</w:t>
                  </w:r>
                </w:p>
              </w:tc>
            </w:tr>
            <w:tr w14:paraId="16585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444" w:type="dxa"/>
                  <w:shd w:val="clear" w:color="auto" w:fill="auto"/>
                  <w:vAlign w:val="center"/>
                </w:tcPr>
                <w:p w14:paraId="4462C115">
                  <w:pPr>
                    <w:pStyle w:val="49"/>
                    <w:spacing w:beforeLines="0" w:afterLines="0" w:line="320" w:lineRule="exact"/>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Cs w:val="21"/>
                    </w:rPr>
                    <w:t>1</w:t>
                  </w:r>
                </w:p>
              </w:tc>
              <w:tc>
                <w:tcPr>
                  <w:tcW w:w="1188" w:type="dxa"/>
                  <w:shd w:val="clear" w:color="auto" w:fill="auto"/>
                  <w:vAlign w:val="center"/>
                </w:tcPr>
                <w:p w14:paraId="52B93479">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废包装桶（S1）</w:t>
                  </w:r>
                </w:p>
              </w:tc>
              <w:tc>
                <w:tcPr>
                  <w:tcW w:w="1277" w:type="dxa"/>
                  <w:shd w:val="clear" w:color="auto" w:fill="auto"/>
                  <w:vAlign w:val="center"/>
                </w:tcPr>
                <w:p w14:paraId="7507052C">
                  <w:pPr>
                    <w:pStyle w:val="19"/>
                    <w:spacing w:before="0" w:beforeAutospacing="0" w:after="0" w:afterAutospacing="0"/>
                    <w:jc w:val="center"/>
                    <w:outlineLvl w:val="0"/>
                    <w:rPr>
                      <w:rFonts w:hint="eastAsia" w:ascii="Times New Roman" w:hAnsi="Times New Roman" w:eastAsia="宋体" w:cs="Times New Roman"/>
                      <w:snapToGrid w:val="0"/>
                      <w:color w:val="auto"/>
                      <w:sz w:val="21"/>
                      <w:szCs w:val="21"/>
                      <w:highlight w:val="none"/>
                      <w:lang w:val="en-US" w:eastAsia="zh-CN"/>
                    </w:rPr>
                  </w:pPr>
                  <w:r>
                    <w:rPr>
                      <w:rFonts w:hint="eastAsia"/>
                      <w:bCs/>
                      <w:color w:val="auto"/>
                      <w:sz w:val="21"/>
                      <w:szCs w:val="21"/>
                      <w:lang w:val="en-US" w:eastAsia="zh-CN"/>
                    </w:rPr>
                    <w:t>原料配比、搅拌工序、静电喷涂工序</w:t>
                  </w:r>
                </w:p>
              </w:tc>
              <w:tc>
                <w:tcPr>
                  <w:tcW w:w="1277" w:type="dxa"/>
                  <w:shd w:val="clear" w:color="auto" w:fill="auto"/>
                  <w:vAlign w:val="center"/>
                </w:tcPr>
                <w:p w14:paraId="70E4D6BA">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900-041-49</w:t>
                  </w:r>
                  <w:r>
                    <w:rPr>
                      <w:rFonts w:hint="eastAsia" w:ascii="Times New Roman" w:hAnsi="Times New Roman"/>
                      <w:snapToGrid w:val="0"/>
                      <w:color w:val="auto"/>
                      <w:sz w:val="21"/>
                      <w:szCs w:val="21"/>
                      <w:lang w:eastAsia="zh-CN"/>
                    </w:rPr>
                    <w:t>）</w:t>
                  </w:r>
                </w:p>
              </w:tc>
              <w:tc>
                <w:tcPr>
                  <w:tcW w:w="1277" w:type="dxa"/>
                  <w:shd w:val="clear" w:color="auto" w:fill="auto"/>
                  <w:vAlign w:val="center"/>
                </w:tcPr>
                <w:p w14:paraId="5D5BE12B">
                  <w:pPr>
                    <w:pStyle w:val="19"/>
                    <w:spacing w:before="0" w:beforeAutospacing="0" w:after="0" w:afterAutospacing="0"/>
                    <w:jc w:val="center"/>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214.72</w:t>
                  </w:r>
                </w:p>
              </w:tc>
              <w:tc>
                <w:tcPr>
                  <w:tcW w:w="1067" w:type="dxa"/>
                  <w:vAlign w:val="center"/>
                </w:tcPr>
                <w:p w14:paraId="7DDCDFCE">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cs="Times New Roman"/>
                      <w:b w:val="0"/>
                      <w:color w:val="auto"/>
                      <w:szCs w:val="21"/>
                      <w:lang w:val="en-US" w:eastAsia="zh-CN"/>
                    </w:rPr>
                    <w:t>17.89</w:t>
                  </w:r>
                </w:p>
              </w:tc>
              <w:tc>
                <w:tcPr>
                  <w:tcW w:w="796" w:type="dxa"/>
                  <w:vAlign w:val="center"/>
                </w:tcPr>
                <w:p w14:paraId="74B07DE4">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50</w:t>
                  </w:r>
                </w:p>
              </w:tc>
              <w:tc>
                <w:tcPr>
                  <w:tcW w:w="850" w:type="dxa"/>
                  <w:vAlign w:val="center"/>
                </w:tcPr>
                <w:p w14:paraId="135CC8A0">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 xml:space="preserve">0.35780 </w:t>
                  </w:r>
                </w:p>
              </w:tc>
            </w:tr>
            <w:tr w14:paraId="73A74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444" w:type="dxa"/>
                  <w:shd w:val="clear" w:color="auto" w:fill="auto"/>
                  <w:vAlign w:val="center"/>
                </w:tcPr>
                <w:p w14:paraId="19735632">
                  <w:pPr>
                    <w:pStyle w:val="49"/>
                    <w:spacing w:beforeLines="0" w:afterLines="0" w:line="320" w:lineRule="exact"/>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Cs w:val="21"/>
                    </w:rPr>
                    <w:t>3</w:t>
                  </w:r>
                </w:p>
              </w:tc>
              <w:tc>
                <w:tcPr>
                  <w:tcW w:w="1188" w:type="dxa"/>
                  <w:shd w:val="clear" w:color="auto" w:fill="auto"/>
                  <w:vAlign w:val="center"/>
                </w:tcPr>
                <w:p w14:paraId="3A290FA7">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废活性炭（S</w:t>
                  </w:r>
                  <w:r>
                    <w:rPr>
                      <w:rFonts w:hint="eastAsia" w:cs="Times New Roman"/>
                      <w:b w:val="0"/>
                      <w:color w:val="auto"/>
                      <w:szCs w:val="21"/>
                      <w:lang w:val="en-US" w:eastAsia="zh-CN"/>
                    </w:rPr>
                    <w:t>2</w:t>
                  </w:r>
                  <w:r>
                    <w:rPr>
                      <w:rFonts w:hint="eastAsia" w:ascii="Times New Roman" w:hAnsi="Times New Roman" w:eastAsia="宋体" w:cs="Times New Roman"/>
                      <w:b w:val="0"/>
                      <w:color w:val="auto"/>
                      <w:szCs w:val="21"/>
                      <w:lang w:val="en-US" w:eastAsia="zh-CN"/>
                    </w:rPr>
                    <w:t>）</w:t>
                  </w:r>
                </w:p>
              </w:tc>
              <w:tc>
                <w:tcPr>
                  <w:tcW w:w="1277" w:type="dxa"/>
                  <w:shd w:val="clear" w:color="auto" w:fill="auto"/>
                  <w:vAlign w:val="center"/>
                </w:tcPr>
                <w:p w14:paraId="34688A23">
                  <w:pPr>
                    <w:pStyle w:val="47"/>
                    <w:widowControl/>
                    <w:jc w:val="center"/>
                    <w:rPr>
                      <w:rFonts w:hint="eastAsia" w:ascii="Times New Roman" w:hAnsi="Times New Roman" w:eastAsia="宋体" w:cs="Times New Roman"/>
                      <w:color w:val="auto"/>
                      <w:spacing w:val="2"/>
                      <w:kern w:val="2"/>
                      <w:sz w:val="21"/>
                      <w:szCs w:val="21"/>
                      <w:lang w:val="en-US" w:eastAsia="zh-CN" w:bidi="ar-SA"/>
                    </w:rPr>
                  </w:pPr>
                  <w:r>
                    <w:rPr>
                      <w:rFonts w:hint="eastAsia"/>
                      <w:bCs/>
                      <w:color w:val="auto"/>
                      <w:sz w:val="21"/>
                      <w:szCs w:val="21"/>
                      <w:lang w:val="en-US" w:eastAsia="zh-CN"/>
                    </w:rPr>
                    <w:t>玻璃纤维缠绕，成型后管道固化</w:t>
                  </w:r>
                </w:p>
              </w:tc>
              <w:tc>
                <w:tcPr>
                  <w:tcW w:w="1277" w:type="dxa"/>
                  <w:shd w:val="clear" w:color="auto" w:fill="auto"/>
                  <w:vAlign w:val="center"/>
                </w:tcPr>
                <w:p w14:paraId="7C07E666">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w:t>
                  </w:r>
                  <w:r>
                    <w:rPr>
                      <w:rFonts w:hint="eastAsia" w:ascii="Times New Roman" w:hAnsi="Times New Roman"/>
                      <w:snapToGrid w:val="0"/>
                      <w:color w:val="auto"/>
                      <w:sz w:val="21"/>
                      <w:szCs w:val="21"/>
                      <w:lang w:val="en-US" w:eastAsia="zh-CN"/>
                    </w:rPr>
                    <w:t>39</w:t>
                  </w:r>
                  <w:r>
                    <w:rPr>
                      <w:rFonts w:hint="eastAsia" w:ascii="Times New Roman" w:hAnsi="Times New Roman"/>
                      <w:snapToGrid w:val="0"/>
                      <w:color w:val="auto"/>
                      <w:sz w:val="21"/>
                      <w:szCs w:val="21"/>
                    </w:rPr>
                    <w:t>-49</w:t>
                  </w:r>
                  <w:r>
                    <w:rPr>
                      <w:rFonts w:hint="eastAsia" w:ascii="Times New Roman" w:hAnsi="Times New Roman"/>
                      <w:snapToGrid w:val="0"/>
                      <w:color w:val="auto"/>
                      <w:sz w:val="21"/>
                      <w:szCs w:val="21"/>
                      <w:lang w:eastAsia="zh-CN"/>
                    </w:rPr>
                    <w:t>）</w:t>
                  </w:r>
                </w:p>
              </w:tc>
              <w:tc>
                <w:tcPr>
                  <w:tcW w:w="1277" w:type="dxa"/>
                  <w:shd w:val="clear" w:color="auto" w:fill="auto"/>
                  <w:vAlign w:val="center"/>
                </w:tcPr>
                <w:p w14:paraId="019A7EE3">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35.3288</w:t>
                  </w:r>
                </w:p>
              </w:tc>
              <w:tc>
                <w:tcPr>
                  <w:tcW w:w="1067" w:type="dxa"/>
                  <w:shd w:val="clear" w:color="auto" w:fill="auto"/>
                  <w:vAlign w:val="center"/>
                </w:tcPr>
                <w:p w14:paraId="035D3F0F">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8.8322</w:t>
                  </w:r>
                </w:p>
              </w:tc>
              <w:tc>
                <w:tcPr>
                  <w:tcW w:w="796" w:type="dxa"/>
                  <w:vAlign w:val="center"/>
                </w:tcPr>
                <w:p w14:paraId="28164CAC">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50</w:t>
                  </w:r>
                </w:p>
              </w:tc>
              <w:tc>
                <w:tcPr>
                  <w:tcW w:w="850" w:type="dxa"/>
                  <w:vAlign w:val="center"/>
                </w:tcPr>
                <w:p w14:paraId="2D826301">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 xml:space="preserve">0.17664 </w:t>
                  </w:r>
                </w:p>
              </w:tc>
            </w:tr>
            <w:tr w14:paraId="51426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444" w:type="dxa"/>
                  <w:shd w:val="clear" w:color="auto" w:fill="auto"/>
                  <w:vAlign w:val="center"/>
                </w:tcPr>
                <w:p w14:paraId="6156C88D">
                  <w:pPr>
                    <w:pStyle w:val="49"/>
                    <w:spacing w:beforeLines="0" w:afterLines="0" w:line="320" w:lineRule="exact"/>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Cs w:val="21"/>
                    </w:rPr>
                    <w:t>4</w:t>
                  </w:r>
                </w:p>
              </w:tc>
              <w:tc>
                <w:tcPr>
                  <w:tcW w:w="1188" w:type="dxa"/>
                  <w:shd w:val="clear" w:color="auto" w:fill="auto"/>
                  <w:vAlign w:val="center"/>
                </w:tcPr>
                <w:p w14:paraId="6A657B84">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沾染树脂的手套及玻璃纤维（S</w:t>
                  </w:r>
                  <w:r>
                    <w:rPr>
                      <w:rFonts w:hint="eastAsia" w:cs="Times New Roman"/>
                      <w:b w:val="0"/>
                      <w:color w:val="auto"/>
                      <w:szCs w:val="21"/>
                      <w:lang w:val="en-US" w:eastAsia="zh-CN"/>
                    </w:rPr>
                    <w:t>3</w:t>
                  </w:r>
                  <w:r>
                    <w:rPr>
                      <w:rFonts w:hint="eastAsia" w:ascii="Times New Roman" w:hAnsi="Times New Roman" w:eastAsia="宋体" w:cs="Times New Roman"/>
                      <w:b w:val="0"/>
                      <w:color w:val="auto"/>
                      <w:szCs w:val="21"/>
                      <w:lang w:val="en-US" w:eastAsia="zh-CN"/>
                    </w:rPr>
                    <w:t>）</w:t>
                  </w:r>
                </w:p>
              </w:tc>
              <w:tc>
                <w:tcPr>
                  <w:tcW w:w="1277" w:type="dxa"/>
                  <w:shd w:val="clear" w:color="auto" w:fill="auto"/>
                  <w:vAlign w:val="center"/>
                </w:tcPr>
                <w:p w14:paraId="2096AF4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 w:val="21"/>
                      <w:szCs w:val="21"/>
                      <w:lang w:val="en-US" w:eastAsia="zh-CN"/>
                    </w:rPr>
                    <w:t>缠绕编织</w:t>
                  </w:r>
                </w:p>
              </w:tc>
              <w:tc>
                <w:tcPr>
                  <w:tcW w:w="1277" w:type="dxa"/>
                  <w:shd w:val="clear" w:color="auto" w:fill="auto"/>
                  <w:vAlign w:val="center"/>
                </w:tcPr>
                <w:p w14:paraId="7E07F732">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900-041-49</w:t>
                  </w:r>
                  <w:r>
                    <w:rPr>
                      <w:rFonts w:hint="eastAsia" w:ascii="Times New Roman" w:hAnsi="Times New Roman"/>
                      <w:snapToGrid w:val="0"/>
                      <w:color w:val="auto"/>
                      <w:sz w:val="21"/>
                      <w:szCs w:val="21"/>
                      <w:lang w:eastAsia="zh-CN"/>
                    </w:rPr>
                    <w:t>）</w:t>
                  </w:r>
                </w:p>
              </w:tc>
              <w:tc>
                <w:tcPr>
                  <w:tcW w:w="1277" w:type="dxa"/>
                  <w:shd w:val="clear" w:color="auto" w:fill="auto"/>
                  <w:vAlign w:val="center"/>
                </w:tcPr>
                <w:p w14:paraId="665744B9">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0.22608</w:t>
                  </w:r>
                </w:p>
              </w:tc>
              <w:tc>
                <w:tcPr>
                  <w:tcW w:w="1067" w:type="dxa"/>
                  <w:vAlign w:val="center"/>
                </w:tcPr>
                <w:p w14:paraId="3DCB7F89">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0.057</w:t>
                  </w:r>
                </w:p>
              </w:tc>
              <w:tc>
                <w:tcPr>
                  <w:tcW w:w="796" w:type="dxa"/>
                  <w:vAlign w:val="center"/>
                </w:tcPr>
                <w:p w14:paraId="622ED2C4">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50</w:t>
                  </w:r>
                </w:p>
              </w:tc>
              <w:tc>
                <w:tcPr>
                  <w:tcW w:w="850" w:type="dxa"/>
                  <w:vAlign w:val="center"/>
                </w:tcPr>
                <w:p w14:paraId="2A701319">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 xml:space="preserve">0.00114 </w:t>
                  </w:r>
                </w:p>
              </w:tc>
            </w:tr>
            <w:tr w14:paraId="2A03D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444" w:type="dxa"/>
                  <w:shd w:val="clear" w:color="auto" w:fill="auto"/>
                  <w:vAlign w:val="center"/>
                </w:tcPr>
                <w:p w14:paraId="36A66DD4">
                  <w:pPr>
                    <w:pStyle w:val="49"/>
                    <w:spacing w:beforeLines="0" w:afterLines="0" w:line="320" w:lineRule="exact"/>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Cs w:val="21"/>
                    </w:rPr>
                    <w:t>5</w:t>
                  </w:r>
                </w:p>
              </w:tc>
              <w:tc>
                <w:tcPr>
                  <w:tcW w:w="1188" w:type="dxa"/>
                  <w:shd w:val="clear" w:color="auto" w:fill="auto"/>
                  <w:vAlign w:val="center"/>
                </w:tcPr>
                <w:p w14:paraId="0A6183A8">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废活性炭（S</w:t>
                  </w:r>
                  <w:r>
                    <w:rPr>
                      <w:rFonts w:hint="eastAsia" w:cs="Times New Roman"/>
                      <w:b w:val="0"/>
                      <w:color w:val="auto"/>
                      <w:szCs w:val="21"/>
                      <w:lang w:val="en-US" w:eastAsia="zh-CN"/>
                    </w:rPr>
                    <w:t>6</w:t>
                  </w:r>
                  <w:r>
                    <w:rPr>
                      <w:rFonts w:hint="eastAsia" w:ascii="Times New Roman" w:hAnsi="Times New Roman" w:eastAsia="宋体" w:cs="Times New Roman"/>
                      <w:b w:val="0"/>
                      <w:color w:val="auto"/>
                      <w:szCs w:val="21"/>
                      <w:lang w:val="en-US" w:eastAsia="zh-CN"/>
                    </w:rPr>
                    <w:t>）</w:t>
                  </w:r>
                </w:p>
              </w:tc>
              <w:tc>
                <w:tcPr>
                  <w:tcW w:w="1277" w:type="dxa"/>
                  <w:shd w:val="clear" w:color="auto" w:fill="auto"/>
                  <w:vAlign w:val="center"/>
                </w:tcPr>
                <w:p w14:paraId="714590A5">
                  <w:pPr>
                    <w:pStyle w:val="47"/>
                    <w:widowControl/>
                    <w:jc w:val="center"/>
                    <w:rPr>
                      <w:rFonts w:hint="eastAsia" w:ascii="Times New Roman" w:hAnsi="Times New Roman" w:eastAsia="宋体" w:cs="Times New Roman"/>
                      <w:color w:val="auto"/>
                      <w:spacing w:val="2"/>
                      <w:kern w:val="2"/>
                      <w:sz w:val="21"/>
                      <w:szCs w:val="21"/>
                      <w:lang w:val="en-US" w:eastAsia="zh-CN" w:bidi="ar-SA"/>
                    </w:rPr>
                  </w:pPr>
                  <w:r>
                    <w:rPr>
                      <w:rFonts w:hint="eastAsia"/>
                      <w:bCs/>
                      <w:color w:val="auto"/>
                      <w:sz w:val="21"/>
                      <w:szCs w:val="21"/>
                      <w:lang w:val="en-US" w:eastAsia="zh-CN"/>
                    </w:rPr>
                    <w:t>静电喷涂</w:t>
                  </w:r>
                </w:p>
              </w:tc>
              <w:tc>
                <w:tcPr>
                  <w:tcW w:w="1277" w:type="dxa"/>
                  <w:shd w:val="clear" w:color="auto" w:fill="auto"/>
                  <w:vAlign w:val="center"/>
                </w:tcPr>
                <w:p w14:paraId="30A9470F">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rPr>
                    <w:t>HW49</w:t>
                  </w:r>
                  <w:r>
                    <w:rPr>
                      <w:rFonts w:hint="eastAsia" w:ascii="Times New Roman" w:hAnsi="Times New Roman"/>
                      <w:snapToGrid w:val="0"/>
                      <w:color w:val="auto"/>
                      <w:sz w:val="21"/>
                      <w:szCs w:val="21"/>
                      <w:lang w:eastAsia="zh-CN"/>
                    </w:rPr>
                    <w:t>（</w:t>
                  </w:r>
                  <w:r>
                    <w:rPr>
                      <w:rFonts w:hint="eastAsia" w:ascii="Times New Roman" w:hAnsi="Times New Roman"/>
                      <w:snapToGrid w:val="0"/>
                      <w:color w:val="auto"/>
                      <w:sz w:val="21"/>
                      <w:szCs w:val="21"/>
                    </w:rPr>
                    <w:t>900-0</w:t>
                  </w:r>
                  <w:r>
                    <w:rPr>
                      <w:rFonts w:hint="eastAsia" w:ascii="Times New Roman" w:hAnsi="Times New Roman"/>
                      <w:snapToGrid w:val="0"/>
                      <w:color w:val="auto"/>
                      <w:sz w:val="21"/>
                      <w:szCs w:val="21"/>
                      <w:lang w:val="en-US" w:eastAsia="zh-CN"/>
                    </w:rPr>
                    <w:t>39</w:t>
                  </w:r>
                  <w:r>
                    <w:rPr>
                      <w:rFonts w:hint="eastAsia" w:ascii="Times New Roman" w:hAnsi="Times New Roman"/>
                      <w:snapToGrid w:val="0"/>
                      <w:color w:val="auto"/>
                      <w:sz w:val="21"/>
                      <w:szCs w:val="21"/>
                    </w:rPr>
                    <w:t>-49</w:t>
                  </w:r>
                  <w:r>
                    <w:rPr>
                      <w:rFonts w:hint="eastAsia" w:ascii="Times New Roman" w:hAnsi="Times New Roman"/>
                      <w:snapToGrid w:val="0"/>
                      <w:color w:val="auto"/>
                      <w:sz w:val="21"/>
                      <w:szCs w:val="21"/>
                      <w:lang w:eastAsia="zh-CN"/>
                    </w:rPr>
                    <w:t>）</w:t>
                  </w:r>
                </w:p>
              </w:tc>
              <w:tc>
                <w:tcPr>
                  <w:tcW w:w="1277" w:type="dxa"/>
                  <w:shd w:val="clear" w:color="auto" w:fill="auto"/>
                  <w:vAlign w:val="center"/>
                </w:tcPr>
                <w:p w14:paraId="6F9B4D7E">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0.82</w:t>
                  </w:r>
                </w:p>
              </w:tc>
              <w:tc>
                <w:tcPr>
                  <w:tcW w:w="1067" w:type="dxa"/>
                  <w:vAlign w:val="center"/>
                </w:tcPr>
                <w:p w14:paraId="5542C687">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0.205</w:t>
                  </w:r>
                </w:p>
              </w:tc>
              <w:tc>
                <w:tcPr>
                  <w:tcW w:w="796" w:type="dxa"/>
                  <w:vAlign w:val="center"/>
                </w:tcPr>
                <w:p w14:paraId="03563E87">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50</w:t>
                  </w:r>
                </w:p>
              </w:tc>
              <w:tc>
                <w:tcPr>
                  <w:tcW w:w="850" w:type="dxa"/>
                  <w:vAlign w:val="center"/>
                </w:tcPr>
                <w:p w14:paraId="4D135BA9">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 xml:space="preserve">0.00410 </w:t>
                  </w:r>
                </w:p>
              </w:tc>
            </w:tr>
            <w:tr w14:paraId="03A19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444" w:type="dxa"/>
                  <w:shd w:val="clear" w:color="auto" w:fill="auto"/>
                  <w:vAlign w:val="center"/>
                </w:tcPr>
                <w:p w14:paraId="3B4CD58F">
                  <w:pPr>
                    <w:pStyle w:val="49"/>
                    <w:spacing w:beforeLines="0" w:afterLines="0" w:line="320" w:lineRule="exact"/>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szCs w:val="21"/>
                    </w:rPr>
                    <w:t>6</w:t>
                  </w:r>
                </w:p>
              </w:tc>
              <w:tc>
                <w:tcPr>
                  <w:tcW w:w="1188" w:type="dxa"/>
                  <w:shd w:val="clear" w:color="auto" w:fill="auto"/>
                  <w:vAlign w:val="center"/>
                </w:tcPr>
                <w:p w14:paraId="44C02836">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rPr>
                    <w:t>废润滑油</w:t>
                  </w:r>
                  <w:r>
                    <w:rPr>
                      <w:rFonts w:hint="eastAsia" w:ascii="Times New Roman" w:hAnsi="Times New Roman" w:eastAsia="宋体" w:cs="Times New Roman"/>
                      <w:b w:val="0"/>
                      <w:color w:val="auto"/>
                      <w:szCs w:val="21"/>
                      <w:lang w:eastAsia="zh-CN"/>
                    </w:rPr>
                    <w:t>（</w:t>
                  </w:r>
                  <w:r>
                    <w:rPr>
                      <w:rFonts w:hint="eastAsia" w:ascii="Times New Roman" w:hAnsi="Times New Roman" w:eastAsia="宋体" w:cs="Times New Roman"/>
                      <w:b w:val="0"/>
                      <w:color w:val="auto"/>
                      <w:szCs w:val="21"/>
                      <w:lang w:val="en-US" w:eastAsia="zh-CN"/>
                    </w:rPr>
                    <w:t>S</w:t>
                  </w:r>
                  <w:r>
                    <w:rPr>
                      <w:rFonts w:hint="eastAsia" w:cs="Times New Roman"/>
                      <w:b w:val="0"/>
                      <w:color w:val="auto"/>
                      <w:szCs w:val="21"/>
                      <w:lang w:val="en-US" w:eastAsia="zh-CN"/>
                    </w:rPr>
                    <w:t>8</w:t>
                  </w:r>
                  <w:r>
                    <w:rPr>
                      <w:rFonts w:hint="eastAsia" w:ascii="Times New Roman" w:hAnsi="Times New Roman" w:eastAsia="宋体" w:cs="Times New Roman"/>
                      <w:b w:val="0"/>
                      <w:color w:val="auto"/>
                      <w:szCs w:val="21"/>
                      <w:lang w:eastAsia="zh-CN"/>
                    </w:rPr>
                    <w:t>）</w:t>
                  </w:r>
                </w:p>
              </w:tc>
              <w:tc>
                <w:tcPr>
                  <w:tcW w:w="1277" w:type="dxa"/>
                  <w:shd w:val="clear" w:color="auto" w:fill="auto"/>
                  <w:vAlign w:val="center"/>
                </w:tcPr>
                <w:p w14:paraId="6FA7BB5E">
                  <w:pPr>
                    <w:pStyle w:val="47"/>
                    <w:widowControl/>
                    <w:jc w:val="center"/>
                    <w:rPr>
                      <w:rFonts w:hint="eastAsia" w:ascii="Times New Roman" w:hAnsi="Times New Roman" w:eastAsia="宋体" w:cs="Times New Roman"/>
                      <w:color w:val="auto"/>
                      <w:spacing w:val="2"/>
                      <w:kern w:val="2"/>
                      <w:sz w:val="21"/>
                      <w:szCs w:val="21"/>
                      <w:lang w:val="en-US" w:eastAsia="zh-CN" w:bidi="ar-SA"/>
                    </w:rPr>
                  </w:pPr>
                  <w:r>
                    <w:rPr>
                      <w:rFonts w:hint="eastAsia" w:ascii="Times New Roman" w:hAnsi="Times New Roman"/>
                      <w:snapToGrid w:val="0"/>
                      <w:color w:val="auto"/>
                      <w:sz w:val="21"/>
                      <w:szCs w:val="21"/>
                    </w:rPr>
                    <w:t>机器</w:t>
                  </w:r>
                  <w:r>
                    <w:rPr>
                      <w:rFonts w:ascii="Times New Roman" w:hAnsi="Times New Roman"/>
                      <w:snapToGrid w:val="0"/>
                      <w:color w:val="auto"/>
                      <w:sz w:val="21"/>
                      <w:szCs w:val="21"/>
                    </w:rPr>
                    <w:t>检修过程产生</w:t>
                  </w:r>
                </w:p>
              </w:tc>
              <w:tc>
                <w:tcPr>
                  <w:tcW w:w="1277" w:type="dxa"/>
                  <w:shd w:val="clear" w:color="auto" w:fill="auto"/>
                  <w:vAlign w:val="center"/>
                </w:tcPr>
                <w:p w14:paraId="5B462C6C">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ascii="Times New Roman" w:hAnsi="Times New Roman"/>
                      <w:snapToGrid w:val="0"/>
                      <w:color w:val="auto"/>
                      <w:sz w:val="21"/>
                      <w:szCs w:val="21"/>
                    </w:rPr>
                    <w:t>HW08</w:t>
                  </w:r>
                  <w:r>
                    <w:rPr>
                      <w:rFonts w:hint="eastAsia" w:ascii="Times New Roman" w:hAnsi="Times New Roman"/>
                      <w:snapToGrid w:val="0"/>
                      <w:color w:val="auto"/>
                      <w:sz w:val="21"/>
                      <w:szCs w:val="21"/>
                    </w:rPr>
                    <w:t>（</w:t>
                  </w:r>
                  <w:r>
                    <w:rPr>
                      <w:rFonts w:ascii="Times New Roman" w:hAnsi="Times New Roman"/>
                      <w:snapToGrid w:val="0"/>
                      <w:color w:val="auto"/>
                      <w:sz w:val="21"/>
                      <w:szCs w:val="21"/>
                    </w:rPr>
                    <w:t>900-21</w:t>
                  </w:r>
                  <w:r>
                    <w:rPr>
                      <w:rFonts w:hint="eastAsia" w:ascii="Times New Roman" w:hAnsi="Times New Roman"/>
                      <w:snapToGrid w:val="0"/>
                      <w:color w:val="auto"/>
                      <w:sz w:val="21"/>
                      <w:szCs w:val="21"/>
                      <w:lang w:val="en-US" w:eastAsia="zh-CN"/>
                    </w:rPr>
                    <w:t>7</w:t>
                  </w:r>
                  <w:r>
                    <w:rPr>
                      <w:rFonts w:ascii="Times New Roman" w:hAnsi="Times New Roman"/>
                      <w:snapToGrid w:val="0"/>
                      <w:color w:val="auto"/>
                      <w:sz w:val="21"/>
                      <w:szCs w:val="21"/>
                    </w:rPr>
                    <w:t>-08</w:t>
                  </w:r>
                  <w:r>
                    <w:rPr>
                      <w:rFonts w:hint="eastAsia" w:ascii="Times New Roman" w:hAnsi="Times New Roman"/>
                      <w:snapToGrid w:val="0"/>
                      <w:color w:val="auto"/>
                      <w:sz w:val="21"/>
                      <w:szCs w:val="21"/>
                    </w:rPr>
                    <w:t>）</w:t>
                  </w:r>
                </w:p>
              </w:tc>
              <w:tc>
                <w:tcPr>
                  <w:tcW w:w="1277" w:type="dxa"/>
                  <w:shd w:val="clear" w:color="auto" w:fill="auto"/>
                  <w:vAlign w:val="center"/>
                </w:tcPr>
                <w:p w14:paraId="55A3AF91">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0.7</w:t>
                  </w:r>
                </w:p>
              </w:tc>
              <w:tc>
                <w:tcPr>
                  <w:tcW w:w="1067" w:type="dxa"/>
                  <w:vAlign w:val="center"/>
                </w:tcPr>
                <w:p w14:paraId="5D08B4C6">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0.175</w:t>
                  </w:r>
                </w:p>
              </w:tc>
              <w:tc>
                <w:tcPr>
                  <w:tcW w:w="796" w:type="dxa"/>
                  <w:vAlign w:val="center"/>
                </w:tcPr>
                <w:p w14:paraId="25D454C1">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2500</w:t>
                  </w:r>
                </w:p>
              </w:tc>
              <w:tc>
                <w:tcPr>
                  <w:tcW w:w="850" w:type="dxa"/>
                  <w:vAlign w:val="center"/>
                </w:tcPr>
                <w:p w14:paraId="08BD8306">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 xml:space="preserve">0.00007 </w:t>
                  </w:r>
                </w:p>
              </w:tc>
            </w:tr>
            <w:tr w14:paraId="4EA95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326" w:type="dxa"/>
                  <w:gridSpan w:val="7"/>
                  <w:vAlign w:val="center"/>
                </w:tcPr>
                <w:p w14:paraId="5EFA50E3">
                  <w:pPr>
                    <w:pStyle w:val="49"/>
                    <w:spacing w:beforeLines="0" w:afterLines="0" w:line="320" w:lineRule="exact"/>
                    <w:jc w:val="center"/>
                    <w:rPr>
                      <w:rFonts w:hint="eastAsia"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合计：</w:t>
                  </w:r>
                </w:p>
              </w:tc>
              <w:tc>
                <w:tcPr>
                  <w:tcW w:w="850" w:type="dxa"/>
                  <w:shd w:val="clear" w:color="auto" w:fill="auto"/>
                  <w:vAlign w:val="center"/>
                </w:tcPr>
                <w:p w14:paraId="2FAFC2B0">
                  <w:pPr>
                    <w:pStyle w:val="49"/>
                    <w:spacing w:beforeLines="0" w:afterLines="0" w:line="320" w:lineRule="exact"/>
                    <w:jc w:val="center"/>
                    <w:rPr>
                      <w:rFonts w:hint="default" w:ascii="Times New Roman" w:hAnsi="Times New Roman" w:eastAsia="宋体" w:cs="Times New Roman"/>
                      <w:b w:val="0"/>
                      <w:color w:val="auto"/>
                      <w:szCs w:val="21"/>
                      <w:lang w:val="en-US" w:eastAsia="zh-CN"/>
                    </w:rPr>
                  </w:pPr>
                  <w:r>
                    <w:rPr>
                      <w:rFonts w:hint="eastAsia" w:ascii="Times New Roman" w:hAnsi="Times New Roman" w:eastAsia="宋体" w:cs="Times New Roman"/>
                      <w:b w:val="0"/>
                      <w:color w:val="auto"/>
                      <w:szCs w:val="21"/>
                      <w:lang w:val="en-US" w:eastAsia="zh-CN"/>
                    </w:rPr>
                    <w:t xml:space="preserve">0.53975 </w:t>
                  </w:r>
                </w:p>
              </w:tc>
            </w:tr>
          </w:tbl>
          <w:p w14:paraId="7F7D7EF3">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outlineLvl w:val="0"/>
              <w:rPr>
                <w:color w:val="auto"/>
                <w:kern w:val="0"/>
                <w:sz w:val="24"/>
                <w:lang w:bidi="ar"/>
              </w:rPr>
            </w:pPr>
            <w:r>
              <w:rPr>
                <w:rFonts w:hint="eastAsia" w:ascii="Times New Roman" w:hAnsi="Times New Roman" w:eastAsia="宋体" w:cs="Times New Roman"/>
                <w:color w:val="auto"/>
                <w:kern w:val="0"/>
                <w:sz w:val="24"/>
                <w:szCs w:val="24"/>
                <w:lang w:val="en-US" w:eastAsia="zh-CN" w:bidi="ar"/>
              </w:rPr>
              <w:t>本项目涉及的危险物质为运营期的危险废物，Q值为0.5</w:t>
            </w:r>
            <w:r>
              <w:rPr>
                <w:rFonts w:hint="eastAsia" w:ascii="Times New Roman" w:hAnsi="Times New Roman" w:cs="Times New Roman"/>
                <w:color w:val="auto"/>
                <w:kern w:val="0"/>
                <w:sz w:val="24"/>
                <w:szCs w:val="24"/>
                <w:lang w:val="en-US" w:eastAsia="zh-CN" w:bidi="ar"/>
              </w:rPr>
              <w:t>3975</w:t>
            </w:r>
            <w:r>
              <w:rPr>
                <w:rFonts w:hint="eastAsia" w:ascii="Times New Roman" w:hAnsi="Times New Roman" w:eastAsia="宋体" w:cs="Times New Roman"/>
                <w:color w:val="auto"/>
                <w:kern w:val="0"/>
                <w:sz w:val="24"/>
                <w:szCs w:val="24"/>
                <w:lang w:val="en-US" w:eastAsia="zh-CN" w:bidi="ar"/>
              </w:rPr>
              <w:t>，Q值＜1，因此不属于重大风险源。</w:t>
            </w:r>
          </w:p>
          <w:p w14:paraId="28F4DF98">
            <w:pPr>
              <w:spacing w:line="360" w:lineRule="auto"/>
              <w:ind w:firstLine="482" w:firstLineChars="200"/>
              <w:rPr>
                <w:rFonts w:hint="default" w:ascii="Times New Roman" w:hAnsi="Times New Roman" w:cs="Times New Roman"/>
                <w:b/>
                <w:color w:val="auto"/>
                <w:sz w:val="24"/>
                <w:szCs w:val="22"/>
                <w:lang w:val="en-US" w:eastAsia="zh-CN"/>
              </w:rPr>
            </w:pPr>
            <w:r>
              <w:rPr>
                <w:rFonts w:hint="eastAsia" w:ascii="Times New Roman" w:hAnsi="Times New Roman" w:cs="Times New Roman"/>
                <w:b/>
                <w:color w:val="auto"/>
                <w:sz w:val="24"/>
                <w:szCs w:val="22"/>
                <w:lang w:val="en-US" w:eastAsia="zh-CN"/>
              </w:rPr>
              <w:t>7.3、环境风险防范及管理措施</w:t>
            </w:r>
          </w:p>
          <w:p w14:paraId="00F90956">
            <w:pPr>
              <w:adjustRightInd w:val="0"/>
              <w:snapToGrid w:val="0"/>
              <w:spacing w:line="360" w:lineRule="auto"/>
              <w:ind w:firstLine="482" w:firstLineChars="200"/>
              <w:rPr>
                <w:rFonts w:hint="default" w:ascii="Times New Roman" w:hAnsi="Times New Roman" w:cs="Times New Roman"/>
                <w:b/>
                <w:bCs/>
                <w:color w:val="auto"/>
                <w:sz w:val="24"/>
                <w:szCs w:val="24"/>
                <w:lang w:eastAsia="zh-CN"/>
              </w:rPr>
            </w:pPr>
            <w:r>
              <w:rPr>
                <w:rFonts w:hint="eastAsia" w:ascii="Times New Roman" w:hAnsi="Times New Roman" w:cs="Times New Roman"/>
                <w:b/>
                <w:bCs/>
                <w:color w:val="auto"/>
                <w:sz w:val="24"/>
                <w:szCs w:val="24"/>
                <w:lang w:val="en-US" w:eastAsia="zh-CN"/>
              </w:rPr>
              <w:t xml:space="preserve">7.3.1 </w:t>
            </w:r>
            <w:r>
              <w:rPr>
                <w:rFonts w:hint="default" w:ascii="Times New Roman" w:hAnsi="Times New Roman" w:cs="Times New Roman"/>
                <w:b/>
                <w:bCs/>
                <w:color w:val="auto"/>
                <w:sz w:val="24"/>
                <w:szCs w:val="24"/>
                <w:lang w:eastAsia="zh-CN"/>
              </w:rPr>
              <w:t>环境风险管理措施</w:t>
            </w:r>
          </w:p>
          <w:p w14:paraId="3668FC90">
            <w:pPr>
              <w:adjustRightInd w:val="0"/>
              <w:snapToGrid w:val="0"/>
              <w:spacing w:line="360" w:lineRule="auto"/>
              <w:ind w:firstLine="480" w:firstLineChars="200"/>
              <w:rPr>
                <w:rFonts w:hint="eastAsia"/>
                <w:color w:val="auto"/>
                <w:sz w:val="24"/>
                <w:szCs w:val="24"/>
                <w:lang w:eastAsia="zh-CN"/>
              </w:rPr>
            </w:pPr>
            <w:r>
              <w:rPr>
                <w:rFonts w:hint="eastAsia"/>
                <w:color w:val="auto"/>
                <w:sz w:val="24"/>
                <w:szCs w:val="24"/>
                <w:lang w:eastAsia="zh-CN"/>
              </w:rPr>
              <w:t>为降低事故风险及事故危害后果，确保项目环境风险达到可接受水平，建设单位必须采取以下环境风险管理措施：</w:t>
            </w:r>
          </w:p>
          <w:p w14:paraId="6D054761">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w:t>
            </w:r>
            <w:r>
              <w:rPr>
                <w:rFonts w:hint="eastAsia" w:ascii="Times New Roman" w:hAnsi="Times New Roman" w:cs="Times New Roman"/>
                <w:color w:val="auto"/>
                <w:szCs w:val="24"/>
                <w:lang w:val="en-US" w:eastAsia="zh-CN"/>
              </w:rPr>
              <w:t>1</w:t>
            </w:r>
            <w:r>
              <w:rPr>
                <w:rFonts w:hint="eastAsia" w:ascii="Times New Roman" w:hAnsi="Times New Roman" w:cs="Times New Roman"/>
                <w:color w:val="auto"/>
                <w:szCs w:val="24"/>
                <w:lang w:eastAsia="zh-CN"/>
              </w:rPr>
              <w:t>）</w:t>
            </w:r>
            <w:r>
              <w:rPr>
                <w:rFonts w:hint="default" w:ascii="Times New Roman" w:hAnsi="Times New Roman" w:cs="Times New Roman"/>
                <w:color w:val="auto"/>
                <w:szCs w:val="24"/>
              </w:rPr>
              <w:t>企业应针对本项目实际情况，设立相应的安全管理机构，建立有效的安全管理条例、制度和规定，并不断改进和提高管理水平，严防操作事故发生。加强</w:t>
            </w:r>
            <w:r>
              <w:rPr>
                <w:rFonts w:hint="eastAsia" w:ascii="Times New Roman" w:hAnsi="Times New Roman" w:cs="Times New Roman"/>
                <w:color w:val="auto"/>
                <w:szCs w:val="24"/>
                <w:lang w:eastAsia="zh-CN"/>
              </w:rPr>
              <w:t>职工</w:t>
            </w:r>
            <w:r>
              <w:rPr>
                <w:rFonts w:hint="default" w:ascii="Times New Roman" w:hAnsi="Times New Roman" w:cs="Times New Roman"/>
                <w:color w:val="auto"/>
                <w:szCs w:val="24"/>
              </w:rPr>
              <w:t>风险意识和环境</w:t>
            </w:r>
            <w:r>
              <w:rPr>
                <w:rFonts w:hint="eastAsia" w:ascii="Times New Roman" w:hAnsi="Times New Roman" w:cs="Times New Roman"/>
                <w:color w:val="auto"/>
                <w:szCs w:val="24"/>
                <w:lang w:eastAsia="zh-CN"/>
              </w:rPr>
              <w:t>保护</w:t>
            </w:r>
            <w:r>
              <w:rPr>
                <w:rFonts w:hint="default" w:ascii="Times New Roman" w:hAnsi="Times New Roman" w:cs="Times New Roman"/>
                <w:color w:val="auto"/>
                <w:szCs w:val="24"/>
              </w:rPr>
              <w:t>意识教育，增强安全和环境</w:t>
            </w:r>
            <w:r>
              <w:rPr>
                <w:rFonts w:hint="eastAsia" w:ascii="Times New Roman" w:hAnsi="Times New Roman" w:cs="Times New Roman"/>
                <w:color w:val="auto"/>
                <w:szCs w:val="24"/>
                <w:lang w:eastAsia="zh-CN"/>
              </w:rPr>
              <w:t>保护</w:t>
            </w:r>
            <w:r>
              <w:rPr>
                <w:rFonts w:hint="default" w:ascii="Times New Roman" w:hAnsi="Times New Roman" w:cs="Times New Roman"/>
                <w:color w:val="auto"/>
                <w:szCs w:val="24"/>
              </w:rPr>
              <w:t>意识。</w:t>
            </w:r>
          </w:p>
          <w:p w14:paraId="1E53B912">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w:t>
            </w:r>
            <w:r>
              <w:rPr>
                <w:rFonts w:hint="eastAsia" w:ascii="Times New Roman" w:hAnsi="Times New Roman" w:cs="Times New Roman"/>
                <w:color w:val="auto"/>
                <w:szCs w:val="24"/>
                <w:lang w:val="en-US" w:eastAsia="zh-CN"/>
              </w:rPr>
              <w:t>2</w:t>
            </w:r>
            <w:r>
              <w:rPr>
                <w:rFonts w:hint="eastAsia" w:ascii="Times New Roman" w:hAnsi="Times New Roman" w:cs="Times New Roman"/>
                <w:color w:val="auto"/>
                <w:szCs w:val="24"/>
                <w:lang w:eastAsia="zh-CN"/>
              </w:rPr>
              <w:t>）</w:t>
            </w:r>
            <w:r>
              <w:rPr>
                <w:rFonts w:hint="default" w:ascii="Times New Roman" w:hAnsi="Times New Roman" w:cs="Times New Roman"/>
                <w:color w:val="auto"/>
                <w:szCs w:val="24"/>
              </w:rPr>
              <w:t>建立并强化岗位责任制，严格各项操作规程和奖惩制度，设专人具体负责本单位安全和环保问题，对易发生事故的各生产环节必须经常检查，杜绝事故隐患，发现问题及时处置，并立即向有关部门报告。</w:t>
            </w:r>
          </w:p>
          <w:p w14:paraId="1FAE4DC8">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w:t>
            </w:r>
            <w:r>
              <w:rPr>
                <w:rFonts w:hint="eastAsia" w:ascii="Times New Roman" w:hAnsi="Times New Roman" w:cs="Times New Roman"/>
                <w:color w:val="auto"/>
                <w:szCs w:val="24"/>
                <w:lang w:val="en-US" w:eastAsia="zh-CN"/>
              </w:rPr>
              <w:t>3</w:t>
            </w:r>
            <w:r>
              <w:rPr>
                <w:rFonts w:hint="eastAsia" w:ascii="Times New Roman" w:hAnsi="Times New Roman" w:cs="Times New Roman"/>
                <w:color w:val="auto"/>
                <w:szCs w:val="24"/>
                <w:lang w:eastAsia="zh-CN"/>
              </w:rPr>
              <w:t>）</w:t>
            </w:r>
            <w:r>
              <w:rPr>
                <w:rFonts w:hint="default" w:ascii="Times New Roman" w:hAnsi="Times New Roman" w:cs="Times New Roman"/>
                <w:color w:val="auto"/>
                <w:szCs w:val="24"/>
              </w:rPr>
              <w:t>加强企业相关人员的安全环境保护相关知识培训，定期、定向和定点的对企业各工作岗位和安全管理人员开展安全和环境保护防护的相关知识培训工作，使员工掌握相关安全和环境防护技能。</w:t>
            </w:r>
          </w:p>
          <w:p w14:paraId="15F2DB6A">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w:t>
            </w:r>
            <w:r>
              <w:rPr>
                <w:rFonts w:hint="eastAsia" w:ascii="Times New Roman" w:hAnsi="Times New Roman" w:cs="Times New Roman"/>
                <w:color w:val="auto"/>
                <w:szCs w:val="24"/>
                <w:lang w:val="en-US" w:eastAsia="zh-CN"/>
              </w:rPr>
              <w:t>4</w:t>
            </w:r>
            <w:r>
              <w:rPr>
                <w:rFonts w:hint="eastAsia" w:ascii="Times New Roman" w:hAnsi="Times New Roman" w:cs="Times New Roman"/>
                <w:color w:val="auto"/>
                <w:szCs w:val="24"/>
                <w:lang w:eastAsia="zh-CN"/>
              </w:rPr>
              <w:t>）</w:t>
            </w:r>
            <w:r>
              <w:rPr>
                <w:rFonts w:hint="default" w:ascii="Times New Roman" w:hAnsi="Times New Roman" w:cs="Times New Roman"/>
                <w:color w:val="auto"/>
                <w:szCs w:val="24"/>
              </w:rPr>
              <w:t>建立环境风险防控和应急措施制度，环境风险防控重点岗位的责任人或责任机构要明确，要落实定期巡检和维护责任制度。</w:t>
            </w:r>
          </w:p>
          <w:p w14:paraId="33746E48">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w:t>
            </w:r>
            <w:r>
              <w:rPr>
                <w:rFonts w:hint="eastAsia" w:ascii="Times New Roman" w:hAnsi="Times New Roman" w:cs="Times New Roman"/>
                <w:color w:val="auto"/>
                <w:szCs w:val="24"/>
                <w:lang w:val="en-US" w:eastAsia="zh-CN"/>
              </w:rPr>
              <w:t>5</w:t>
            </w:r>
            <w:r>
              <w:rPr>
                <w:rFonts w:hint="eastAsia" w:ascii="Times New Roman" w:hAnsi="Times New Roman" w:cs="Times New Roman"/>
                <w:color w:val="auto"/>
                <w:szCs w:val="24"/>
                <w:lang w:eastAsia="zh-CN"/>
              </w:rPr>
              <w:t>）经常</w:t>
            </w:r>
            <w:r>
              <w:rPr>
                <w:rFonts w:hint="default" w:ascii="Times New Roman" w:hAnsi="Times New Roman" w:cs="Times New Roman"/>
                <w:color w:val="auto"/>
                <w:szCs w:val="24"/>
              </w:rPr>
              <w:t>对职工开展环境风险和环境应急管理宣传和培训</w:t>
            </w:r>
            <w:r>
              <w:rPr>
                <w:rFonts w:hint="eastAsia" w:ascii="Times New Roman" w:hAnsi="Times New Roman" w:cs="Times New Roman"/>
                <w:color w:val="auto"/>
                <w:szCs w:val="24"/>
                <w:lang w:eastAsia="zh-CN"/>
              </w:rPr>
              <w:t>，定时进行应急演练，并加强与当地政府环境风险应急预案的衔接，进行联合演练，确保</w:t>
            </w:r>
            <w:r>
              <w:rPr>
                <w:rFonts w:hint="eastAsia" w:hAnsi="Times New Roman" w:cs="Times New Roman"/>
                <w:color w:val="auto"/>
                <w:szCs w:val="24"/>
                <w:lang w:eastAsia="zh-CN"/>
              </w:rPr>
              <w:t>一</w:t>
            </w:r>
            <w:r>
              <w:rPr>
                <w:rFonts w:hint="eastAsia" w:hAnsi="Times New Roman" w:cs="Times New Roman"/>
                <w:color w:val="auto"/>
                <w:szCs w:val="24"/>
                <w:lang w:val="en-US" w:eastAsia="zh-CN"/>
              </w:rPr>
              <w:t>旦</w:t>
            </w:r>
            <w:r>
              <w:rPr>
                <w:rFonts w:hint="eastAsia" w:ascii="Times New Roman" w:hAnsi="Times New Roman" w:cs="Times New Roman"/>
                <w:color w:val="auto"/>
                <w:szCs w:val="24"/>
                <w:lang w:eastAsia="zh-CN"/>
              </w:rPr>
              <w:t>发生事故，能够及时响应，各负其责，联合行动</w:t>
            </w:r>
            <w:r>
              <w:rPr>
                <w:rFonts w:hint="default" w:ascii="Times New Roman" w:hAnsi="Times New Roman" w:cs="Times New Roman"/>
                <w:color w:val="auto"/>
                <w:szCs w:val="24"/>
              </w:rPr>
              <w:t>。</w:t>
            </w:r>
          </w:p>
          <w:p w14:paraId="0B7EFFC0">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w:t>
            </w:r>
            <w:r>
              <w:rPr>
                <w:rFonts w:hint="eastAsia" w:ascii="Times New Roman" w:hAnsi="Times New Roman" w:cs="Times New Roman"/>
                <w:color w:val="auto"/>
                <w:szCs w:val="24"/>
                <w:lang w:val="en-US" w:eastAsia="zh-CN"/>
              </w:rPr>
              <w:t>6</w:t>
            </w:r>
            <w:r>
              <w:rPr>
                <w:rFonts w:hint="eastAsia" w:ascii="Times New Roman" w:hAnsi="Times New Roman" w:cs="Times New Roman"/>
                <w:color w:val="auto"/>
                <w:szCs w:val="24"/>
                <w:lang w:eastAsia="zh-CN"/>
              </w:rPr>
              <w:t>）</w:t>
            </w:r>
            <w:r>
              <w:rPr>
                <w:rFonts w:hint="default" w:ascii="Times New Roman" w:hAnsi="Times New Roman" w:cs="Times New Roman"/>
                <w:color w:val="auto"/>
                <w:szCs w:val="24"/>
              </w:rPr>
              <w:t>建立突发环境事件信息报告制度，并有效执行。</w:t>
            </w:r>
          </w:p>
          <w:p w14:paraId="38CB5E5E">
            <w:pPr>
              <w:adjustRightInd w:val="0"/>
              <w:snapToGrid w:val="0"/>
              <w:spacing w:line="360" w:lineRule="auto"/>
              <w:ind w:firstLine="482" w:firstLineChars="200"/>
              <w:rPr>
                <w:rFonts w:hint="eastAsia" w:ascii="Times New Roman" w:hAnsi="Times New Roman" w:cs="Times New Roman"/>
                <w:b/>
                <w:bCs/>
                <w:color w:val="auto"/>
                <w:sz w:val="24"/>
                <w:szCs w:val="24"/>
                <w:lang w:eastAsia="zh-CN"/>
              </w:rPr>
            </w:pPr>
            <w:r>
              <w:rPr>
                <w:rFonts w:hint="eastAsia" w:ascii="Times New Roman" w:hAnsi="Times New Roman" w:cs="Times New Roman"/>
                <w:b/>
                <w:bCs/>
                <w:color w:val="auto"/>
                <w:sz w:val="24"/>
                <w:szCs w:val="24"/>
                <w:lang w:val="en-US" w:eastAsia="zh-CN"/>
              </w:rPr>
              <w:t xml:space="preserve">7.3.2 </w:t>
            </w:r>
            <w:r>
              <w:rPr>
                <w:rFonts w:hint="eastAsia" w:ascii="Times New Roman" w:hAnsi="Times New Roman" w:cs="Times New Roman"/>
                <w:b/>
                <w:bCs/>
                <w:color w:val="auto"/>
                <w:sz w:val="24"/>
                <w:szCs w:val="24"/>
                <w:lang w:eastAsia="zh-CN"/>
              </w:rPr>
              <w:t>环境风险防范措施</w:t>
            </w:r>
          </w:p>
          <w:p w14:paraId="0482FBEA">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（1）总图和建筑安全防范措施</w:t>
            </w:r>
          </w:p>
          <w:p w14:paraId="07D8B580">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fldChar w:fldCharType="begin"/>
            </w:r>
            <w:r>
              <w:rPr>
                <w:rFonts w:hint="default" w:ascii="Times New Roman" w:hAnsi="Times New Roman" w:cs="Times New Roman"/>
                <w:color w:val="auto"/>
                <w:sz w:val="24"/>
                <w:szCs w:val="24"/>
                <w:lang w:eastAsia="zh-CN"/>
              </w:rPr>
              <w:instrText xml:space="preserve"> = 1 \* GB3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t>①</w:t>
            </w:r>
            <w:r>
              <w:rPr>
                <w:rFonts w:hint="default" w:ascii="Times New Roman" w:hAnsi="Times New Roman" w:cs="Times New Roman"/>
                <w:color w:val="auto"/>
                <w:sz w:val="24"/>
                <w:szCs w:val="24"/>
                <w:lang w:eastAsia="zh-CN"/>
              </w:rPr>
              <w:fldChar w:fldCharType="end"/>
            </w:r>
            <w:r>
              <w:rPr>
                <w:rFonts w:hint="default" w:ascii="Times New Roman" w:hAnsi="Times New Roman" w:cs="Times New Roman"/>
                <w:color w:val="auto"/>
                <w:sz w:val="24"/>
                <w:szCs w:val="24"/>
                <w:lang w:eastAsia="zh-CN"/>
              </w:rPr>
              <w:t>厂址及总平面布置、建筑设计应严格按照《建筑设计防火规范》、《工业企业总平面设计规范》等有关规范、规定要求进行。建、构筑物的设计应考虑与火灾类别相适应的防火措施。其耐火等级、防火分区、安全疏散等均应按照国家现行消防法规的有关规定进行设计；</w:t>
            </w:r>
          </w:p>
          <w:p w14:paraId="7A093BEF">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fldChar w:fldCharType="begin"/>
            </w:r>
            <w:r>
              <w:rPr>
                <w:rFonts w:hint="default" w:ascii="Times New Roman" w:hAnsi="Times New Roman" w:cs="Times New Roman"/>
                <w:color w:val="auto"/>
                <w:sz w:val="24"/>
                <w:szCs w:val="24"/>
                <w:lang w:eastAsia="zh-CN"/>
              </w:rPr>
              <w:instrText xml:space="preserve"> = 2 \* GB3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t>②</w:t>
            </w:r>
            <w:r>
              <w:rPr>
                <w:rFonts w:hint="default" w:ascii="Times New Roman" w:hAnsi="Times New Roman" w:cs="Times New Roman"/>
                <w:color w:val="auto"/>
                <w:sz w:val="24"/>
                <w:szCs w:val="24"/>
                <w:lang w:eastAsia="zh-CN"/>
              </w:rPr>
              <w:fldChar w:fldCharType="end"/>
            </w:r>
            <w:r>
              <w:rPr>
                <w:rFonts w:hint="eastAsia" w:ascii="Times New Roman" w:hAnsi="Times New Roman" w:cs="Times New Roman"/>
                <w:color w:val="auto"/>
                <w:sz w:val="24"/>
                <w:szCs w:val="24"/>
                <w:lang w:eastAsia="zh-CN"/>
              </w:rPr>
              <w:t>危废暂存间</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环氧树酯存放区</w:t>
            </w:r>
            <w:r>
              <w:rPr>
                <w:rFonts w:hint="default" w:ascii="Times New Roman" w:hAnsi="Times New Roman" w:eastAsia="宋体" w:cs="Times New Roman"/>
                <w:color w:val="auto"/>
                <w:sz w:val="24"/>
                <w:szCs w:val="24"/>
                <w:lang w:eastAsia="zh-CN"/>
              </w:rPr>
              <w:t>等应</w:t>
            </w:r>
            <w:r>
              <w:rPr>
                <w:rFonts w:hint="default" w:ascii="Times New Roman" w:hAnsi="Times New Roman" w:cs="Times New Roman"/>
                <w:color w:val="auto"/>
                <w:sz w:val="24"/>
                <w:szCs w:val="24"/>
                <w:lang w:eastAsia="zh-CN"/>
              </w:rPr>
              <w:t>按照相关规范要求，采取防渗措施，防渗等级满足相关法律法规及规范要求；</w:t>
            </w:r>
          </w:p>
          <w:p w14:paraId="6CEE6540">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fldChar w:fldCharType="begin"/>
            </w:r>
            <w:r>
              <w:rPr>
                <w:rFonts w:hint="default" w:ascii="Times New Roman" w:hAnsi="Times New Roman" w:cs="Times New Roman"/>
                <w:color w:val="auto"/>
                <w:sz w:val="24"/>
                <w:szCs w:val="24"/>
                <w:lang w:eastAsia="zh-CN"/>
              </w:rPr>
              <w:instrText xml:space="preserve"> = 3 \* GB3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t>③</w:t>
            </w:r>
            <w:r>
              <w:rPr>
                <w:rFonts w:hint="default" w:ascii="Times New Roman" w:hAnsi="Times New Roman" w:cs="Times New Roman"/>
                <w:color w:val="auto"/>
                <w:sz w:val="24"/>
                <w:szCs w:val="24"/>
                <w:lang w:eastAsia="zh-CN"/>
              </w:rPr>
              <w:fldChar w:fldCharType="end"/>
            </w:r>
            <w:r>
              <w:rPr>
                <w:rFonts w:hint="default" w:ascii="Times New Roman" w:hAnsi="Times New Roman" w:cs="Times New Roman"/>
                <w:color w:val="auto"/>
                <w:sz w:val="24"/>
                <w:szCs w:val="24"/>
                <w:lang w:eastAsia="zh-CN"/>
              </w:rPr>
              <w:t>道路、场地、通风、排洪要满足安全生产的要求。应设置危险废物收集专用通道和人员避险通道；</w:t>
            </w:r>
          </w:p>
          <w:p w14:paraId="2E805AA1">
            <w:pPr>
              <w:adjustRightInd w:val="0"/>
              <w:snapToGrid w:val="0"/>
              <w:spacing w:line="360" w:lineRule="auto"/>
              <w:ind w:firstLine="480" w:firstLineChars="200"/>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fldChar w:fldCharType="begin"/>
            </w:r>
            <w:r>
              <w:rPr>
                <w:rFonts w:hint="default" w:ascii="Times New Roman" w:hAnsi="Times New Roman" w:cs="Times New Roman"/>
                <w:color w:val="auto"/>
                <w:sz w:val="24"/>
                <w:szCs w:val="24"/>
                <w:lang w:eastAsia="zh-CN"/>
              </w:rPr>
              <w:instrText xml:space="preserve"> = 4 \* GB3 </w:instrText>
            </w:r>
            <w:r>
              <w:rPr>
                <w:rFonts w:hint="default" w:ascii="Times New Roman" w:hAnsi="Times New Roman" w:cs="Times New Roman"/>
                <w:color w:val="auto"/>
                <w:sz w:val="24"/>
                <w:szCs w:val="24"/>
                <w:lang w:eastAsia="zh-CN"/>
              </w:rPr>
              <w:fldChar w:fldCharType="separate"/>
            </w:r>
            <w:r>
              <w:rPr>
                <w:rFonts w:hint="default" w:ascii="Times New Roman" w:hAnsi="Times New Roman" w:cs="Times New Roman"/>
                <w:color w:val="auto"/>
                <w:sz w:val="24"/>
                <w:szCs w:val="24"/>
                <w:lang w:eastAsia="zh-CN"/>
              </w:rPr>
              <w:t>④</w:t>
            </w:r>
            <w:r>
              <w:rPr>
                <w:rFonts w:hint="default" w:ascii="Times New Roman" w:hAnsi="Times New Roman" w:cs="Times New Roman"/>
                <w:color w:val="auto"/>
                <w:sz w:val="24"/>
                <w:szCs w:val="24"/>
                <w:lang w:eastAsia="zh-CN"/>
              </w:rPr>
              <w:fldChar w:fldCharType="end"/>
            </w:r>
            <w:r>
              <w:rPr>
                <w:rFonts w:hint="default" w:ascii="Times New Roman" w:hAnsi="Times New Roman" w:cs="Times New Roman"/>
                <w:color w:val="auto"/>
                <w:sz w:val="24"/>
                <w:szCs w:val="24"/>
                <w:lang w:eastAsia="zh-CN"/>
              </w:rPr>
              <w:t>在容易发生事故或危险性较大</w:t>
            </w:r>
            <w:r>
              <w:rPr>
                <w:rFonts w:hint="eastAsia" w:ascii="Times New Roman" w:hAnsi="Times New Roman" w:cs="Times New Roman"/>
                <w:color w:val="auto"/>
                <w:sz w:val="24"/>
                <w:szCs w:val="24"/>
                <w:lang w:eastAsia="zh-CN"/>
              </w:rPr>
              <w:t>的</w:t>
            </w:r>
            <w:r>
              <w:rPr>
                <w:rFonts w:hint="default" w:ascii="Times New Roman" w:hAnsi="Times New Roman" w:cs="Times New Roman"/>
                <w:color w:val="auto"/>
                <w:sz w:val="24"/>
                <w:szCs w:val="24"/>
                <w:lang w:eastAsia="zh-CN"/>
              </w:rPr>
              <w:t>场所，及其它有必要提醒人们注意安全的场所，应按《安全标志及其使用导则》（GB2894）的要求设置安全标志。</w:t>
            </w:r>
          </w:p>
          <w:p w14:paraId="6C2ED326">
            <w:pPr>
              <w:pStyle w:val="61"/>
              <w:ind w:firstLine="480"/>
              <w:rPr>
                <w:rFonts w:hint="default" w:ascii="Times New Roman" w:hAnsi="Times New Roman" w:cs="Times New Roman"/>
                <w:b w:val="0"/>
                <w:bCs w:val="0"/>
                <w:color w:val="auto"/>
                <w:szCs w:val="24"/>
              </w:rPr>
            </w:pPr>
            <w:r>
              <w:rPr>
                <w:rFonts w:hint="default" w:ascii="Times New Roman" w:hAnsi="Times New Roman" w:cs="Times New Roman"/>
                <w:b w:val="0"/>
                <w:bCs w:val="0"/>
                <w:color w:val="auto"/>
                <w:szCs w:val="24"/>
              </w:rPr>
              <w:t>（</w:t>
            </w:r>
            <w:r>
              <w:rPr>
                <w:rFonts w:hint="eastAsia" w:ascii="Times New Roman" w:hAnsi="Times New Roman" w:cs="Times New Roman"/>
                <w:b w:val="0"/>
                <w:bCs w:val="0"/>
                <w:color w:val="auto"/>
                <w:szCs w:val="24"/>
                <w:lang w:val="en-US" w:eastAsia="zh-CN"/>
              </w:rPr>
              <w:t>2</w:t>
            </w:r>
            <w:r>
              <w:rPr>
                <w:rFonts w:hint="default" w:ascii="Times New Roman" w:hAnsi="Times New Roman" w:cs="Times New Roman"/>
                <w:b w:val="0"/>
                <w:bCs w:val="0"/>
                <w:color w:val="auto"/>
                <w:szCs w:val="24"/>
              </w:rPr>
              <w:t>）危险废物贮存过程风险防范措施</w:t>
            </w:r>
          </w:p>
          <w:p w14:paraId="0696D5D1">
            <w:pPr>
              <w:pStyle w:val="61"/>
              <w:ind w:firstLine="480"/>
              <w:rPr>
                <w:rFonts w:hint="default" w:ascii="Times New Roman" w:hAnsi="Times New Roman" w:cs="Times New Roman"/>
                <w:color w:val="auto"/>
                <w:szCs w:val="24"/>
              </w:rPr>
            </w:pPr>
            <w:r>
              <w:rPr>
                <w:rFonts w:hint="default" w:ascii="Times New Roman" w:hAnsi="Times New Roman" w:cs="Times New Roman"/>
                <w:color w:val="auto"/>
                <w:szCs w:val="24"/>
              </w:rPr>
              <w:t>本项目应针对危险废物特性、数量，按照</w:t>
            </w:r>
            <w:r>
              <w:rPr>
                <w:rFonts w:hint="default" w:ascii="Times New Roman" w:hAnsi="Times New Roman" w:eastAsia="宋体" w:cs="Times New Roman"/>
                <w:color w:val="auto"/>
                <w:kern w:val="0"/>
                <w:sz w:val="24"/>
                <w:highlight w:val="none"/>
                <w:lang w:eastAsia="zh-CN" w:bidi="ar"/>
              </w:rPr>
              <w:t>《危险废物贮存污染控制标准》（GB 18597-2023）</w:t>
            </w:r>
            <w:r>
              <w:rPr>
                <w:rFonts w:hint="default" w:ascii="Times New Roman" w:hAnsi="Times New Roman" w:cs="Times New Roman"/>
                <w:color w:val="auto"/>
                <w:szCs w:val="24"/>
              </w:rPr>
              <w:t>和《危险废物收集贮存运输技术规范》（HJ2025-2012）中要求，做好贮存风险事故防范措施。</w:t>
            </w:r>
          </w:p>
          <w:p w14:paraId="0408C647">
            <w:pPr>
              <w:pStyle w:val="61"/>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t>①危险废物贮存设施应配备通讯设备、照明设施和消防设施</w:t>
            </w:r>
            <w:r>
              <w:rPr>
                <w:rFonts w:hint="eastAsia" w:ascii="Times New Roman" w:hAnsi="Times New Roman" w:cs="Times New Roman"/>
                <w:color w:val="auto"/>
                <w:szCs w:val="24"/>
                <w:lang w:eastAsia="zh-CN"/>
              </w:rPr>
              <w:t>；</w:t>
            </w:r>
          </w:p>
          <w:p w14:paraId="2AE572C0">
            <w:pPr>
              <w:pStyle w:val="61"/>
              <w:ind w:firstLine="480"/>
              <w:rPr>
                <w:rFonts w:hint="eastAsia" w:ascii="Times New Roman" w:hAnsi="Times New Roman" w:eastAsia="宋体" w:cs="Times New Roman"/>
                <w:color w:val="auto"/>
                <w:szCs w:val="24"/>
                <w:lang w:eastAsia="zh-CN"/>
              </w:rPr>
            </w:pPr>
            <w:r>
              <w:rPr>
                <w:rFonts w:hint="eastAsia" w:ascii="Times New Roman" w:hAnsi="Times New Roman" w:cs="Times New Roman"/>
                <w:color w:val="auto"/>
                <w:szCs w:val="24"/>
                <w:lang w:eastAsia="zh-CN"/>
              </w:rPr>
              <w:t>②危废暂存间</w:t>
            </w:r>
            <w:r>
              <w:rPr>
                <w:rFonts w:hint="default" w:ascii="Times New Roman" w:hAnsi="Times New Roman" w:cs="Times New Roman"/>
                <w:color w:val="auto"/>
                <w:szCs w:val="24"/>
              </w:rPr>
              <w:t>为封闭设计，基础做防渗处理，防渗层至少2mm厚高密度聚乙烯（渗透系数</w:t>
            </w:r>
            <w:r>
              <w:rPr>
                <w:rFonts w:hint="eastAsia"/>
                <w:color w:val="auto"/>
                <w:sz w:val="21"/>
                <w:szCs w:val="21"/>
              </w:rPr>
              <w:t>≤</w:t>
            </w:r>
            <w:r>
              <w:rPr>
                <w:rFonts w:hint="default" w:ascii="Times New Roman" w:hAnsi="Times New Roman" w:cs="Times New Roman"/>
                <w:color w:val="auto"/>
                <w:szCs w:val="24"/>
              </w:rPr>
              <w:t>10</w:t>
            </w:r>
            <w:r>
              <w:rPr>
                <w:rFonts w:hint="default" w:ascii="Times New Roman" w:hAnsi="Times New Roman" w:cs="Times New Roman"/>
                <w:color w:val="auto"/>
                <w:szCs w:val="24"/>
                <w:vertAlign w:val="superscript"/>
              </w:rPr>
              <w:t>-10</w:t>
            </w:r>
            <w:r>
              <w:rPr>
                <w:rFonts w:hint="default" w:ascii="Times New Roman" w:hAnsi="Times New Roman" w:cs="Times New Roman"/>
                <w:color w:val="auto"/>
                <w:szCs w:val="24"/>
              </w:rPr>
              <w:t>cm/s），地面和群脚使用坚固、防渗材料建造，建筑材料必须与危险废物相容，仓库地面必须为耐腐蚀硬化地面，且地面无裂隙</w:t>
            </w:r>
            <w:r>
              <w:rPr>
                <w:rFonts w:hint="eastAsia" w:ascii="Times New Roman" w:hAnsi="Times New Roman" w:cs="Times New Roman"/>
                <w:color w:val="auto"/>
                <w:szCs w:val="24"/>
                <w:lang w:eastAsia="zh-CN"/>
              </w:rPr>
              <w:t>；</w:t>
            </w:r>
          </w:p>
          <w:p w14:paraId="1BFCC0A1">
            <w:pPr>
              <w:pStyle w:val="61"/>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t>③</w:t>
            </w:r>
            <w:r>
              <w:rPr>
                <w:rFonts w:hint="eastAsia" w:ascii="Times New Roman" w:hAnsi="Times New Roman" w:cs="Times New Roman"/>
                <w:color w:val="auto"/>
                <w:szCs w:val="24"/>
                <w:lang w:eastAsia="zh-CN"/>
              </w:rPr>
              <w:t>危废暂存间</w:t>
            </w:r>
            <w:r>
              <w:rPr>
                <w:rFonts w:hint="default" w:ascii="Times New Roman" w:hAnsi="Times New Roman" w:cs="Times New Roman"/>
                <w:color w:val="auto"/>
                <w:szCs w:val="24"/>
              </w:rPr>
              <w:t>应严格按照《建设设计防火规范》（GB50016-2014（2018年版））进行设计，在总图布置上应留有足够的防火距离，与其他建筑物之间的距离应符合规范要求</w:t>
            </w:r>
            <w:r>
              <w:rPr>
                <w:rFonts w:hint="eastAsia" w:ascii="Times New Roman" w:hAnsi="Times New Roman" w:cs="Times New Roman"/>
                <w:color w:val="auto"/>
                <w:szCs w:val="24"/>
                <w:lang w:eastAsia="zh-CN"/>
              </w:rPr>
              <w:t>；</w:t>
            </w:r>
          </w:p>
          <w:p w14:paraId="7F96DF3F">
            <w:pPr>
              <w:pStyle w:val="61"/>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t>④</w:t>
            </w:r>
            <w:r>
              <w:rPr>
                <w:rFonts w:hint="eastAsia" w:ascii="Times New Roman" w:hAnsi="Times New Roman" w:cs="Times New Roman"/>
                <w:color w:val="auto"/>
                <w:szCs w:val="24"/>
                <w:lang w:eastAsia="zh-CN"/>
              </w:rPr>
              <w:t>危废暂存间</w:t>
            </w:r>
            <w:r>
              <w:rPr>
                <w:rFonts w:hint="default" w:ascii="Times New Roman" w:hAnsi="Times New Roman" w:cs="Times New Roman"/>
                <w:color w:val="auto"/>
                <w:szCs w:val="24"/>
              </w:rPr>
              <w:t>应阴凉、干燥、通风，避免阳光直射、暴晒，远离热源、火源。按照化学品不同类别、性质和危险程度、灭火方法等分区分类贮存，并附上明显标识，性质相抵的禁止混合贮存</w:t>
            </w:r>
            <w:r>
              <w:rPr>
                <w:rFonts w:hint="eastAsia" w:ascii="Times New Roman" w:hAnsi="Times New Roman" w:cs="Times New Roman"/>
                <w:color w:val="auto"/>
                <w:szCs w:val="24"/>
                <w:lang w:eastAsia="zh-CN"/>
              </w:rPr>
              <w:t>；</w:t>
            </w:r>
          </w:p>
          <w:p w14:paraId="6A5AE85C">
            <w:pPr>
              <w:pStyle w:val="61"/>
              <w:ind w:firstLine="480"/>
              <w:rPr>
                <w:rFonts w:hint="default" w:ascii="Times New Roman" w:hAnsi="Times New Roman" w:cs="Times New Roman"/>
                <w:color w:val="auto"/>
                <w:szCs w:val="24"/>
              </w:rPr>
            </w:pPr>
            <w:r>
              <w:rPr>
                <w:rFonts w:hint="default" w:ascii="Times New Roman" w:hAnsi="Times New Roman" w:cs="Times New Roman"/>
                <w:color w:val="auto"/>
                <w:szCs w:val="24"/>
              </w:rPr>
              <w:fldChar w:fldCharType="begin"/>
            </w:r>
            <w:r>
              <w:rPr>
                <w:rFonts w:hint="default" w:ascii="Times New Roman" w:hAnsi="Times New Roman" w:cs="Times New Roman"/>
                <w:color w:val="auto"/>
                <w:szCs w:val="24"/>
              </w:rPr>
              <w:instrText xml:space="preserve"> = 5 \* GB3 \* MERGEFORMAT </w:instrText>
            </w:r>
            <w:r>
              <w:rPr>
                <w:rFonts w:hint="default" w:ascii="Times New Roman" w:hAnsi="Times New Roman" w:cs="Times New Roman"/>
                <w:color w:val="auto"/>
                <w:szCs w:val="24"/>
              </w:rPr>
              <w:fldChar w:fldCharType="separate"/>
            </w:r>
            <w:r>
              <w:rPr>
                <w:rFonts w:hint="default" w:ascii="Times New Roman" w:hAnsi="Times New Roman" w:cs="Times New Roman"/>
                <w:color w:val="auto"/>
              </w:rPr>
              <w:t>⑤</w:t>
            </w:r>
            <w:r>
              <w:rPr>
                <w:rFonts w:hint="default" w:ascii="Times New Roman" w:hAnsi="Times New Roman" w:cs="Times New Roman"/>
                <w:color w:val="auto"/>
                <w:szCs w:val="24"/>
              </w:rPr>
              <w:fldChar w:fldCharType="end"/>
            </w:r>
            <w:r>
              <w:rPr>
                <w:rFonts w:hint="default" w:ascii="Times New Roman" w:hAnsi="Times New Roman" w:cs="Times New Roman"/>
                <w:color w:val="auto"/>
                <w:szCs w:val="24"/>
              </w:rPr>
              <w:t>贮存危险废物时，应按照危险废物种类和特性进行分区贮存，每个贮存区域之间宜设置挡墙间隔，并设置防雨、防火、防雷装置</w:t>
            </w:r>
            <w:r>
              <w:rPr>
                <w:rFonts w:hint="eastAsia" w:ascii="Times New Roman" w:hAnsi="Times New Roman" w:cs="Times New Roman"/>
                <w:color w:val="auto"/>
                <w:szCs w:val="24"/>
                <w:lang w:eastAsia="zh-CN"/>
              </w:rPr>
              <w:t>；</w:t>
            </w:r>
          </w:p>
          <w:p w14:paraId="479378A1">
            <w:pPr>
              <w:pStyle w:val="61"/>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fldChar w:fldCharType="begin"/>
            </w:r>
            <w:r>
              <w:rPr>
                <w:rFonts w:hint="default" w:ascii="Times New Roman" w:hAnsi="Times New Roman" w:cs="Times New Roman"/>
                <w:color w:val="auto"/>
                <w:szCs w:val="24"/>
              </w:rPr>
              <w:instrText xml:space="preserve"> = 6 \* GB3 \* MERGEFORMAT </w:instrText>
            </w:r>
            <w:r>
              <w:rPr>
                <w:rFonts w:hint="default" w:ascii="Times New Roman" w:hAnsi="Times New Roman" w:cs="Times New Roman"/>
                <w:color w:val="auto"/>
                <w:szCs w:val="24"/>
              </w:rPr>
              <w:fldChar w:fldCharType="separate"/>
            </w:r>
            <w:r>
              <w:rPr>
                <w:rFonts w:hint="default" w:ascii="Times New Roman" w:hAnsi="Times New Roman" w:cs="Times New Roman"/>
                <w:color w:val="auto"/>
              </w:rPr>
              <w:t>⑥</w:t>
            </w:r>
            <w:r>
              <w:rPr>
                <w:rFonts w:hint="default" w:ascii="Times New Roman" w:hAnsi="Times New Roman" w:cs="Times New Roman"/>
                <w:color w:val="auto"/>
                <w:szCs w:val="24"/>
              </w:rPr>
              <w:fldChar w:fldCharType="end"/>
            </w:r>
            <w:r>
              <w:rPr>
                <w:rFonts w:hint="default" w:ascii="Times New Roman" w:hAnsi="Times New Roman" w:cs="Times New Roman"/>
                <w:color w:val="auto"/>
                <w:szCs w:val="24"/>
              </w:rPr>
              <w:t>应建立危险废物贮存的台账制度，危险废物出入库交接记录内容应参照标准执行</w:t>
            </w:r>
            <w:r>
              <w:rPr>
                <w:rFonts w:hint="eastAsia" w:ascii="Times New Roman" w:hAnsi="Times New Roman" w:cs="Times New Roman"/>
                <w:color w:val="auto"/>
                <w:szCs w:val="24"/>
                <w:lang w:eastAsia="zh-CN"/>
              </w:rPr>
              <w:t>；</w:t>
            </w:r>
          </w:p>
          <w:p w14:paraId="690E18BE">
            <w:pPr>
              <w:pStyle w:val="61"/>
              <w:ind w:firstLine="480"/>
              <w:rPr>
                <w:rFonts w:hint="default" w:ascii="Times New Roman" w:hAnsi="Times New Roman" w:cs="Times New Roman"/>
                <w:color w:val="auto"/>
                <w:szCs w:val="24"/>
              </w:rPr>
            </w:pPr>
            <w:r>
              <w:rPr>
                <w:rFonts w:hint="default" w:ascii="Times New Roman" w:hAnsi="Times New Roman" w:cs="Times New Roman"/>
                <w:color w:val="auto"/>
                <w:szCs w:val="24"/>
              </w:rPr>
              <w:fldChar w:fldCharType="begin"/>
            </w:r>
            <w:r>
              <w:rPr>
                <w:rFonts w:hint="default" w:ascii="Times New Roman" w:hAnsi="Times New Roman" w:cs="Times New Roman"/>
                <w:color w:val="auto"/>
                <w:szCs w:val="24"/>
              </w:rPr>
              <w:instrText xml:space="preserve"> = 7 \* GB3 \* MERGEFORMAT </w:instrText>
            </w:r>
            <w:r>
              <w:rPr>
                <w:rFonts w:hint="default" w:ascii="Times New Roman" w:hAnsi="Times New Roman" w:cs="Times New Roman"/>
                <w:color w:val="auto"/>
                <w:szCs w:val="24"/>
              </w:rPr>
              <w:fldChar w:fldCharType="separate"/>
            </w:r>
            <w:r>
              <w:rPr>
                <w:rFonts w:hint="default" w:ascii="Times New Roman" w:hAnsi="Times New Roman" w:cs="Times New Roman"/>
                <w:color w:val="auto"/>
              </w:rPr>
              <w:t>⑦</w:t>
            </w:r>
            <w:r>
              <w:rPr>
                <w:rFonts w:hint="default" w:ascii="Times New Roman" w:hAnsi="Times New Roman" w:cs="Times New Roman"/>
                <w:color w:val="auto"/>
                <w:szCs w:val="24"/>
              </w:rPr>
              <w:fldChar w:fldCharType="end"/>
            </w:r>
            <w:r>
              <w:rPr>
                <w:rFonts w:hint="default" w:ascii="Times New Roman" w:hAnsi="Times New Roman" w:cs="Times New Roman"/>
                <w:color w:val="auto"/>
                <w:szCs w:val="24"/>
              </w:rPr>
              <w:t>危险废物贮存设施应根据贮存废物种类和特性，按照GB18597附录A设置标志。</w:t>
            </w:r>
          </w:p>
          <w:p w14:paraId="0EA60C34">
            <w:pPr>
              <w:pStyle w:val="61"/>
              <w:ind w:firstLine="480"/>
              <w:rPr>
                <w:rFonts w:hint="eastAsia" w:ascii="Times New Roman" w:hAnsi="Times New Roman" w:eastAsia="宋体" w:cs="Times New Roman"/>
                <w:color w:val="auto"/>
                <w:szCs w:val="24"/>
                <w:lang w:eastAsia="zh-CN"/>
              </w:rPr>
            </w:pP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lang w:val="en-US" w:eastAsia="zh-CN"/>
              </w:rPr>
              <w:t>3</w:t>
            </w:r>
            <w:r>
              <w:rPr>
                <w:rFonts w:hint="eastAsia" w:ascii="Times New Roman" w:hAnsi="Times New Roman" w:eastAsia="宋体" w:cs="Times New Roman"/>
                <w:color w:val="auto"/>
                <w:szCs w:val="24"/>
                <w:lang w:eastAsia="zh-CN"/>
              </w:rPr>
              <w:t>）原料储存及使用过程风险防范措施</w:t>
            </w:r>
          </w:p>
          <w:p w14:paraId="5EEFC54C">
            <w:pPr>
              <w:pStyle w:val="61"/>
              <w:ind w:firstLine="480"/>
              <w:rPr>
                <w:rFonts w:hint="default" w:ascii="Times New Roman" w:hAnsi="Times New Roman" w:cs="Times New Roman"/>
                <w:color w:val="auto"/>
                <w:szCs w:val="24"/>
              </w:rPr>
            </w:pPr>
            <w:r>
              <w:rPr>
                <w:rFonts w:hint="default" w:ascii="Times New Roman" w:hAnsi="Times New Roman" w:cs="Times New Roman"/>
                <w:color w:val="auto"/>
                <w:szCs w:val="24"/>
              </w:rPr>
              <w:t>针对</w:t>
            </w:r>
            <w:r>
              <w:rPr>
                <w:rFonts w:hint="eastAsia" w:ascii="Times New Roman" w:hAnsi="Times New Roman" w:cs="Times New Roman"/>
                <w:color w:val="auto"/>
                <w:szCs w:val="24"/>
                <w:lang w:eastAsia="zh-CN"/>
              </w:rPr>
              <w:t>本项目原料</w:t>
            </w:r>
            <w:r>
              <w:rPr>
                <w:rFonts w:hint="default" w:ascii="Times New Roman" w:hAnsi="Times New Roman" w:cs="Times New Roman"/>
                <w:color w:val="auto"/>
                <w:szCs w:val="24"/>
              </w:rPr>
              <w:t>可能发生的泄漏情况，应采取以下防范措施：</w:t>
            </w:r>
          </w:p>
          <w:p w14:paraId="303D60ED">
            <w:pPr>
              <w:pStyle w:val="61"/>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t>①</w:t>
            </w:r>
            <w:r>
              <w:rPr>
                <w:rFonts w:hint="eastAsia" w:ascii="Times New Roman" w:hAnsi="Times New Roman" w:cs="Times New Roman"/>
                <w:color w:val="auto"/>
                <w:szCs w:val="24"/>
                <w:lang w:eastAsia="zh-CN"/>
              </w:rPr>
              <w:t>将</w:t>
            </w:r>
            <w:r>
              <w:rPr>
                <w:rFonts w:hint="eastAsia" w:ascii="Times New Roman" w:hAnsi="Times New Roman" w:cs="Times New Roman"/>
                <w:color w:val="auto"/>
                <w:kern w:val="2"/>
                <w:sz w:val="24"/>
                <w:szCs w:val="24"/>
                <w:lang w:val="en-US" w:eastAsia="zh-CN" w:bidi="ar-SA"/>
              </w:rPr>
              <w:t>无溶剂改性环氧树脂、改性液体酸酐固化剂</w:t>
            </w:r>
            <w:r>
              <w:rPr>
                <w:rFonts w:hint="eastAsia" w:hAnsi="Times New Roman" w:cs="Times New Roman"/>
                <w:color w:val="auto"/>
                <w:szCs w:val="24"/>
                <w:lang w:eastAsia="zh-CN"/>
              </w:rPr>
              <w:t>、</w:t>
            </w:r>
            <w:r>
              <w:rPr>
                <w:rFonts w:hint="eastAsia" w:ascii="Times New Roman" w:hAnsi="Times New Roman" w:cs="Times New Roman"/>
                <w:color w:val="auto"/>
                <w:szCs w:val="24"/>
                <w:lang w:eastAsia="zh-CN"/>
              </w:rPr>
              <w:t>环氧粉末分区存放，并于其他原料有效分隔；</w:t>
            </w:r>
          </w:p>
          <w:p w14:paraId="657A84F1">
            <w:pPr>
              <w:pStyle w:val="61"/>
              <w:ind w:firstLine="480"/>
              <w:rPr>
                <w:rFonts w:hint="eastAsia" w:ascii="Times New Roman" w:hAnsi="Times New Roman" w:eastAsia="宋体" w:cs="Times New Roman"/>
                <w:color w:val="auto"/>
                <w:szCs w:val="24"/>
                <w:lang w:eastAsia="zh-CN"/>
              </w:rPr>
            </w:pPr>
            <w:r>
              <w:rPr>
                <w:rFonts w:hint="default" w:ascii="Times New Roman" w:hAnsi="Times New Roman" w:cs="Times New Roman"/>
                <w:color w:val="auto"/>
                <w:szCs w:val="24"/>
              </w:rPr>
              <w:t>②</w:t>
            </w:r>
            <w:r>
              <w:rPr>
                <w:rFonts w:hint="eastAsia" w:ascii="Times New Roman" w:hAnsi="Times New Roman" w:cs="Times New Roman"/>
                <w:color w:val="auto"/>
                <w:szCs w:val="24"/>
                <w:lang w:eastAsia="zh-CN"/>
              </w:rPr>
              <w:t>原料储存采用桶装，应设置防渗漏托盘或者围堰，防止发生泄漏事故，直接形成地面漫流，造成污染影响。</w:t>
            </w:r>
          </w:p>
          <w:p w14:paraId="7C64D919">
            <w:pPr>
              <w:pStyle w:val="61"/>
              <w:ind w:firstLine="480"/>
              <w:rPr>
                <w:rFonts w:hint="default" w:ascii="Times New Roman" w:hAnsi="Times New Roman" w:cs="Times New Roman"/>
                <w:color w:val="auto"/>
                <w:szCs w:val="24"/>
              </w:rPr>
            </w:pPr>
            <w:r>
              <w:rPr>
                <w:rFonts w:hint="eastAsia" w:ascii="Times New Roman" w:hAnsi="Times New Roman" w:cs="Times New Roman"/>
                <w:color w:val="auto"/>
                <w:szCs w:val="24"/>
                <w:lang w:eastAsia="zh-CN"/>
              </w:rPr>
              <w:t>③根据要求配置灭火器及消防沙。厂内消防及检修通道与厂区外的主要道路及消防道路相通，确保消防通道顺畅</w:t>
            </w:r>
            <w:r>
              <w:rPr>
                <w:rFonts w:hint="default" w:ascii="Times New Roman" w:hAnsi="Times New Roman" w:cs="Times New Roman"/>
                <w:color w:val="auto"/>
                <w:szCs w:val="24"/>
              </w:rPr>
              <w:t>；</w:t>
            </w:r>
          </w:p>
          <w:p w14:paraId="6AF53E3B">
            <w:pPr>
              <w:spacing w:line="360" w:lineRule="auto"/>
              <w:ind w:firstLine="482" w:firstLineChars="200"/>
              <w:rPr>
                <w:rFonts w:hint="default" w:ascii="Times New Roman" w:hAnsi="Times New Roman" w:cs="Times New Roman"/>
                <w:b/>
                <w:color w:val="auto"/>
                <w:sz w:val="24"/>
                <w:szCs w:val="22"/>
                <w:lang w:val="en-US" w:eastAsia="zh-CN"/>
              </w:rPr>
            </w:pPr>
            <w:r>
              <w:rPr>
                <w:rFonts w:hint="eastAsia" w:ascii="Times New Roman" w:hAnsi="Times New Roman" w:cs="Times New Roman"/>
                <w:b/>
                <w:color w:val="auto"/>
                <w:sz w:val="24"/>
                <w:szCs w:val="22"/>
                <w:lang w:val="en-US" w:eastAsia="zh-CN"/>
              </w:rPr>
              <w:t>7.4、结论</w:t>
            </w:r>
          </w:p>
          <w:p w14:paraId="2D3F19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 w:val="0"/>
                <w:bCs/>
                <w:color w:val="auto"/>
                <w:sz w:val="24"/>
                <w:szCs w:val="22"/>
                <w:lang w:eastAsia="zh-CN"/>
              </w:rPr>
            </w:pPr>
            <w:r>
              <w:rPr>
                <w:rFonts w:hint="eastAsia" w:ascii="Times New Roman" w:hAnsi="Times New Roman" w:cs="Times New Roman"/>
                <w:b w:val="0"/>
                <w:bCs/>
                <w:color w:val="auto"/>
                <w:sz w:val="24"/>
                <w:szCs w:val="22"/>
                <w:lang w:eastAsia="zh-CN"/>
              </w:rPr>
              <w:t>根据前述分析结果，本项目涉及的主要风险物质为危险废物，周边无地表水体，事故废水不外排，不会对地表水环境造成污染影响。建设单位严格按照相关规范要求进行设计和施工，设备选型和运行操作严格遵守国家有关规定，同时严格落实本报告中提出的各项环境风险防范和应急处置措施，加强日常管理，杜绝违规操作，完善各类安全设备、设施，建立相应的风险管理制度，严格执行和遵守各项风险管理制度和操作规程，其发生风险事故产生的环境影响是可控的。</w:t>
            </w:r>
          </w:p>
          <w:p w14:paraId="495E4DED">
            <w:pPr>
              <w:pStyle w:val="47"/>
              <w:spacing w:line="360" w:lineRule="auto"/>
              <w:ind w:firstLine="480" w:firstLineChars="200"/>
              <w:jc w:val="left"/>
              <w:rPr>
                <w:rFonts w:ascii="Times New Roman" w:hAnsi="Times New Roman" w:cs="Times New Roman"/>
                <w:color w:val="auto"/>
                <w:kern w:val="0"/>
                <w:sz w:val="24"/>
                <w:szCs w:val="24"/>
                <w:lang w:eastAsia="zh-CN" w:bidi="ar"/>
              </w:rPr>
            </w:pPr>
            <w:r>
              <w:rPr>
                <w:rFonts w:hint="eastAsia" w:ascii="Times New Roman" w:hAnsi="Times New Roman" w:cs="Times New Roman"/>
                <w:color w:val="auto"/>
                <w:kern w:val="0"/>
                <w:sz w:val="24"/>
                <w:szCs w:val="24"/>
                <w:lang w:eastAsia="zh-CN" w:bidi="ar"/>
              </w:rPr>
              <w:t>8、环保投资估算</w:t>
            </w:r>
          </w:p>
          <w:p w14:paraId="0AC794A1">
            <w:pPr>
              <w:pStyle w:val="47"/>
              <w:spacing w:line="360" w:lineRule="auto"/>
              <w:ind w:firstLine="480" w:firstLineChars="200"/>
              <w:jc w:val="left"/>
              <w:rPr>
                <w:rFonts w:hint="eastAsia"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eastAsia="zh-CN" w:bidi="ar"/>
              </w:rPr>
              <w:t>本项目总投资为</w:t>
            </w:r>
            <w:r>
              <w:rPr>
                <w:rFonts w:hint="eastAsia" w:ascii="Times New Roman" w:hAnsi="Times New Roman" w:cs="Times New Roman"/>
                <w:color w:val="auto"/>
                <w:kern w:val="0"/>
                <w:sz w:val="24"/>
                <w:szCs w:val="24"/>
                <w:lang w:val="en-US" w:eastAsia="zh-CN" w:bidi="ar"/>
              </w:rPr>
              <w:t>12000</w:t>
            </w:r>
            <w:r>
              <w:rPr>
                <w:rFonts w:hint="eastAsia" w:ascii="Times New Roman" w:hAnsi="Times New Roman" w:cs="Times New Roman"/>
                <w:color w:val="auto"/>
                <w:kern w:val="0"/>
                <w:sz w:val="24"/>
                <w:szCs w:val="24"/>
                <w:lang w:eastAsia="zh-CN" w:bidi="ar"/>
              </w:rPr>
              <w:t>万元，</w:t>
            </w:r>
            <w:r>
              <w:rPr>
                <w:rFonts w:hint="eastAsia" w:ascii="Times New Roman" w:hAnsi="Times New Roman" w:cs="Times New Roman"/>
                <w:color w:val="auto"/>
                <w:kern w:val="0"/>
                <w:sz w:val="24"/>
                <w:szCs w:val="24"/>
                <w:lang w:val="en-US" w:eastAsia="zh-CN" w:bidi="ar"/>
              </w:rPr>
              <w:t>项目分两期建设，一期投资6000万元，二期投资6000万元。</w:t>
            </w:r>
          </w:p>
          <w:p w14:paraId="33AD7EE0">
            <w:pPr>
              <w:pStyle w:val="47"/>
              <w:spacing w:line="360" w:lineRule="auto"/>
              <w:ind w:firstLine="480" w:firstLineChars="200"/>
              <w:jc w:val="left"/>
              <w:rPr>
                <w:rFonts w:hint="eastAsia" w:ascii="Times New Roman" w:hAnsi="Times New Roman" w:cs="Times New Roman"/>
                <w:color w:val="auto"/>
                <w:kern w:val="0"/>
                <w:sz w:val="24"/>
                <w:szCs w:val="24"/>
                <w:lang w:eastAsia="zh-CN" w:bidi="ar"/>
              </w:rPr>
            </w:pPr>
            <w:r>
              <w:rPr>
                <w:rFonts w:hint="eastAsia" w:ascii="Times New Roman" w:hAnsi="Times New Roman" w:cs="Times New Roman"/>
                <w:color w:val="auto"/>
                <w:kern w:val="0"/>
                <w:sz w:val="24"/>
                <w:szCs w:val="24"/>
                <w:lang w:val="en-US" w:eastAsia="zh-CN" w:bidi="ar"/>
              </w:rPr>
              <w:t>一期总投资6000万元，</w:t>
            </w:r>
            <w:r>
              <w:rPr>
                <w:rFonts w:hint="eastAsia" w:ascii="Times New Roman" w:hAnsi="Times New Roman" w:cs="Times New Roman"/>
                <w:color w:val="auto"/>
                <w:kern w:val="0"/>
                <w:sz w:val="24"/>
                <w:szCs w:val="24"/>
                <w:lang w:eastAsia="zh-CN" w:bidi="ar"/>
              </w:rPr>
              <w:t>环保投资</w:t>
            </w:r>
            <w:r>
              <w:rPr>
                <w:rFonts w:hint="eastAsia" w:ascii="Times New Roman" w:hAnsi="Times New Roman" w:cs="Times New Roman"/>
                <w:color w:val="auto"/>
                <w:kern w:val="0"/>
                <w:sz w:val="24"/>
                <w:szCs w:val="24"/>
                <w:lang w:val="en-US" w:eastAsia="zh-CN" w:bidi="ar"/>
              </w:rPr>
              <w:t>313</w:t>
            </w:r>
            <w:r>
              <w:rPr>
                <w:rFonts w:hint="eastAsia" w:ascii="Times New Roman" w:hAnsi="Times New Roman" w:cs="Times New Roman"/>
                <w:color w:val="auto"/>
                <w:kern w:val="0"/>
                <w:sz w:val="24"/>
                <w:szCs w:val="24"/>
                <w:lang w:eastAsia="zh-CN" w:bidi="ar"/>
              </w:rPr>
              <w:t>万元，占总投资的</w:t>
            </w:r>
            <w:r>
              <w:rPr>
                <w:rFonts w:hint="eastAsia" w:ascii="Times New Roman" w:hAnsi="Times New Roman" w:cs="Times New Roman"/>
                <w:color w:val="auto"/>
                <w:kern w:val="0"/>
                <w:sz w:val="24"/>
                <w:szCs w:val="24"/>
                <w:lang w:val="en-US" w:eastAsia="zh-CN" w:bidi="ar"/>
              </w:rPr>
              <w:t>5.22</w:t>
            </w:r>
            <w:r>
              <w:rPr>
                <w:rFonts w:hint="eastAsia" w:ascii="Times New Roman" w:hAnsi="Times New Roman" w:cs="Times New Roman"/>
                <w:color w:val="auto"/>
                <w:kern w:val="0"/>
                <w:sz w:val="24"/>
                <w:szCs w:val="24"/>
                <w:lang w:eastAsia="zh-CN" w:bidi="ar"/>
              </w:rPr>
              <w:t>%；</w:t>
            </w:r>
          </w:p>
          <w:p w14:paraId="4FA6FC93">
            <w:pPr>
              <w:pStyle w:val="47"/>
              <w:spacing w:line="360" w:lineRule="auto"/>
              <w:ind w:firstLine="480" w:firstLineChars="200"/>
              <w:jc w:val="left"/>
              <w:rPr>
                <w:rFonts w:hint="eastAsia" w:ascii="Times New Roman" w:hAnsi="Times New Roman" w:cs="Times New Roman"/>
                <w:color w:val="auto"/>
                <w:kern w:val="0"/>
                <w:sz w:val="24"/>
                <w:szCs w:val="24"/>
                <w:lang w:eastAsia="zh-CN" w:bidi="ar"/>
              </w:rPr>
            </w:pPr>
            <w:r>
              <w:rPr>
                <w:rFonts w:hint="eastAsia" w:ascii="Times New Roman" w:hAnsi="Times New Roman" w:cs="Times New Roman"/>
                <w:color w:val="auto"/>
                <w:kern w:val="0"/>
                <w:sz w:val="24"/>
                <w:szCs w:val="24"/>
                <w:lang w:val="en-US" w:eastAsia="zh-CN" w:bidi="ar"/>
              </w:rPr>
              <w:t>二期总投资6000万元，</w:t>
            </w:r>
            <w:r>
              <w:rPr>
                <w:rFonts w:hint="eastAsia" w:ascii="Times New Roman" w:hAnsi="Times New Roman" w:cs="Times New Roman"/>
                <w:color w:val="auto"/>
                <w:kern w:val="0"/>
                <w:sz w:val="24"/>
                <w:szCs w:val="24"/>
                <w:lang w:eastAsia="zh-CN" w:bidi="ar"/>
              </w:rPr>
              <w:t>环保投资</w:t>
            </w:r>
            <w:r>
              <w:rPr>
                <w:rFonts w:hint="eastAsia" w:ascii="Times New Roman" w:hAnsi="Times New Roman" w:cs="Times New Roman"/>
                <w:color w:val="auto"/>
                <w:kern w:val="0"/>
                <w:sz w:val="24"/>
                <w:szCs w:val="24"/>
                <w:lang w:val="en-US" w:eastAsia="zh-CN" w:bidi="ar"/>
              </w:rPr>
              <w:t>76.35</w:t>
            </w:r>
            <w:r>
              <w:rPr>
                <w:rFonts w:hint="eastAsia" w:ascii="Times New Roman" w:hAnsi="Times New Roman" w:cs="Times New Roman"/>
                <w:color w:val="auto"/>
                <w:kern w:val="0"/>
                <w:sz w:val="24"/>
                <w:szCs w:val="24"/>
                <w:lang w:eastAsia="zh-CN" w:bidi="ar"/>
              </w:rPr>
              <w:t>万元，占总投资的</w:t>
            </w:r>
            <w:r>
              <w:rPr>
                <w:rFonts w:hint="eastAsia" w:ascii="Times New Roman" w:hAnsi="Times New Roman" w:cs="Times New Roman"/>
                <w:color w:val="auto"/>
                <w:kern w:val="0"/>
                <w:sz w:val="24"/>
                <w:szCs w:val="24"/>
                <w:lang w:val="en-US" w:eastAsia="zh-CN" w:bidi="ar"/>
              </w:rPr>
              <w:t>1.27</w:t>
            </w:r>
            <w:r>
              <w:rPr>
                <w:rFonts w:hint="eastAsia" w:ascii="Times New Roman" w:hAnsi="Times New Roman" w:cs="Times New Roman"/>
                <w:color w:val="auto"/>
                <w:kern w:val="0"/>
                <w:sz w:val="24"/>
                <w:szCs w:val="24"/>
                <w:lang w:eastAsia="zh-CN" w:bidi="ar"/>
              </w:rPr>
              <w:t>%。</w:t>
            </w:r>
          </w:p>
          <w:p w14:paraId="4EF1C231">
            <w:pPr>
              <w:pStyle w:val="47"/>
              <w:spacing w:line="360" w:lineRule="auto"/>
              <w:ind w:firstLine="480" w:firstLineChars="200"/>
              <w:jc w:val="left"/>
              <w:rPr>
                <w:rFonts w:ascii="Times New Roman" w:hAnsi="Times New Roman" w:cs="Times New Roman"/>
                <w:color w:val="auto"/>
                <w:kern w:val="0"/>
                <w:sz w:val="24"/>
                <w:szCs w:val="24"/>
                <w:lang w:eastAsia="zh-CN" w:bidi="ar"/>
              </w:rPr>
            </w:pPr>
            <w:r>
              <w:rPr>
                <w:rFonts w:hint="eastAsia" w:ascii="Times New Roman" w:hAnsi="Times New Roman" w:cs="Times New Roman"/>
                <w:color w:val="auto"/>
                <w:kern w:val="0"/>
                <w:sz w:val="24"/>
                <w:szCs w:val="24"/>
                <w:lang w:val="en-US" w:eastAsia="zh-CN" w:bidi="ar"/>
              </w:rPr>
              <w:t>一期、二期</w:t>
            </w:r>
            <w:r>
              <w:rPr>
                <w:rFonts w:hint="eastAsia" w:ascii="Times New Roman" w:hAnsi="Times New Roman" w:cs="Times New Roman"/>
                <w:color w:val="auto"/>
                <w:kern w:val="0"/>
                <w:sz w:val="24"/>
                <w:szCs w:val="24"/>
                <w:lang w:eastAsia="zh-CN" w:bidi="ar"/>
              </w:rPr>
              <w:t>环保投资估算见下表。</w:t>
            </w:r>
          </w:p>
          <w:p w14:paraId="42ED08E4">
            <w:pPr>
              <w:pStyle w:val="19"/>
              <w:spacing w:before="0" w:beforeAutospacing="0" w:after="0" w:afterAutospacing="0"/>
              <w:jc w:val="center"/>
              <w:outlineLvl w:val="0"/>
              <w:rPr>
                <w:rFonts w:ascii="Times New Roman" w:hAnsi="Times New Roman"/>
                <w:b/>
                <w:bCs/>
                <w:snapToGrid w:val="0"/>
                <w:color w:val="auto"/>
                <w:szCs w:val="24"/>
              </w:rPr>
            </w:pPr>
            <w:r>
              <w:rPr>
                <w:rFonts w:hint="eastAsia" w:ascii="Times New Roman" w:hAnsi="Times New Roman"/>
                <w:b/>
                <w:bCs/>
                <w:snapToGrid w:val="0"/>
                <w:color w:val="auto"/>
                <w:szCs w:val="24"/>
              </w:rPr>
              <w:t xml:space="preserve">           </w:t>
            </w:r>
            <w:r>
              <w:rPr>
                <w:rFonts w:ascii="Times New Roman" w:hAnsi="Times New Roman"/>
                <w:b/>
                <w:bCs/>
                <w:snapToGrid w:val="0"/>
                <w:color w:val="auto"/>
                <w:szCs w:val="24"/>
              </w:rPr>
              <w:t>表</w:t>
            </w:r>
            <w:r>
              <w:rPr>
                <w:rFonts w:hint="eastAsia" w:ascii="Times New Roman" w:hAnsi="Times New Roman"/>
                <w:b/>
                <w:bCs/>
                <w:snapToGrid w:val="0"/>
                <w:color w:val="auto"/>
                <w:szCs w:val="24"/>
              </w:rPr>
              <w:t>4-1</w:t>
            </w:r>
            <w:r>
              <w:rPr>
                <w:rFonts w:hint="eastAsia" w:ascii="Times New Roman" w:hAnsi="Times New Roman"/>
                <w:b/>
                <w:bCs/>
                <w:snapToGrid w:val="0"/>
                <w:color w:val="auto"/>
                <w:szCs w:val="24"/>
                <w:lang w:val="en-US" w:eastAsia="zh-CN"/>
              </w:rPr>
              <w:t xml:space="preserve">6  </w:t>
            </w:r>
            <w:r>
              <w:rPr>
                <w:rFonts w:ascii="Times New Roman" w:hAnsi="Times New Roman"/>
                <w:b/>
                <w:bCs/>
                <w:snapToGrid w:val="0"/>
                <w:color w:val="auto"/>
                <w:szCs w:val="24"/>
              </w:rPr>
              <w:t xml:space="preserve">  环保投资一览表</w:t>
            </w:r>
            <w:r>
              <w:rPr>
                <w:rFonts w:hint="eastAsia" w:ascii="Times New Roman" w:hAnsi="Times New Roman"/>
                <w:b/>
                <w:bCs/>
                <w:snapToGrid w:val="0"/>
                <w:color w:val="auto"/>
                <w:szCs w:val="24"/>
              </w:rPr>
              <w:t xml:space="preserve">            单位：万元</w:t>
            </w:r>
          </w:p>
          <w:tbl>
            <w:tblPr>
              <w:tblStyle w:val="23"/>
              <w:tblW w:w="84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1051"/>
              <w:gridCol w:w="731"/>
              <w:gridCol w:w="979"/>
              <w:gridCol w:w="3760"/>
              <w:gridCol w:w="664"/>
              <w:gridCol w:w="759"/>
            </w:tblGrid>
            <w:tr w14:paraId="06DC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462" w:type="dxa"/>
                  <w:vAlign w:val="center"/>
                </w:tcPr>
                <w:p w14:paraId="519269EE">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序号</w:t>
                  </w:r>
                </w:p>
              </w:tc>
              <w:tc>
                <w:tcPr>
                  <w:tcW w:w="1051" w:type="dxa"/>
                  <w:vAlign w:val="center"/>
                </w:tcPr>
                <w:p w14:paraId="225E4EFF">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类别</w:t>
                  </w:r>
                </w:p>
              </w:tc>
              <w:tc>
                <w:tcPr>
                  <w:tcW w:w="1710" w:type="dxa"/>
                  <w:gridSpan w:val="2"/>
                  <w:vAlign w:val="center"/>
                </w:tcPr>
                <w:p w14:paraId="23B0FED8">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污染源</w:t>
                  </w:r>
                </w:p>
              </w:tc>
              <w:tc>
                <w:tcPr>
                  <w:tcW w:w="3760" w:type="dxa"/>
                  <w:vAlign w:val="center"/>
                </w:tcPr>
                <w:p w14:paraId="38380AAE">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治理措施</w:t>
                  </w:r>
                </w:p>
              </w:tc>
              <w:tc>
                <w:tcPr>
                  <w:tcW w:w="664" w:type="dxa"/>
                  <w:vAlign w:val="center"/>
                </w:tcPr>
                <w:p w14:paraId="285AE891">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一期</w:t>
                  </w:r>
                </w:p>
                <w:p w14:paraId="69A49DB0">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投资</w:t>
                  </w:r>
                </w:p>
              </w:tc>
              <w:tc>
                <w:tcPr>
                  <w:tcW w:w="759" w:type="dxa"/>
                  <w:vAlign w:val="center"/>
                </w:tcPr>
                <w:p w14:paraId="5B96FC3D">
                  <w:pPr>
                    <w:pStyle w:val="19"/>
                    <w:spacing w:before="0" w:beforeAutospacing="0" w:after="0" w:afterAutospacing="0"/>
                    <w:jc w:val="center"/>
                    <w:outlineLvl w:val="0"/>
                    <w:rPr>
                      <w:rFonts w:hint="eastAsia"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二期</w:t>
                  </w:r>
                </w:p>
                <w:p w14:paraId="72C5FE27">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投资</w:t>
                  </w:r>
                </w:p>
              </w:tc>
            </w:tr>
            <w:tr w14:paraId="107C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462" w:type="dxa"/>
                  <w:vMerge w:val="restart"/>
                  <w:vAlign w:val="center"/>
                </w:tcPr>
                <w:p w14:paraId="32703E54">
                  <w:pPr>
                    <w:pStyle w:val="19"/>
                    <w:spacing w:before="0" w:beforeAutospacing="0" w:after="0" w:afterAutospacing="0"/>
                    <w:jc w:val="center"/>
                    <w:outlineLvl w:val="0"/>
                    <w:rPr>
                      <w:rFonts w:ascii="Times New Roman" w:hAnsi="Times New Roman"/>
                      <w:snapToGrid w:val="0"/>
                      <w:color w:val="auto"/>
                      <w:sz w:val="21"/>
                      <w:szCs w:val="21"/>
                    </w:rPr>
                  </w:pPr>
                  <w:r>
                    <w:rPr>
                      <w:rFonts w:ascii="Times New Roman" w:hAnsi="Times New Roman"/>
                      <w:snapToGrid w:val="0"/>
                      <w:color w:val="auto"/>
                      <w:sz w:val="21"/>
                      <w:szCs w:val="21"/>
                    </w:rPr>
                    <w:t>1</w:t>
                  </w:r>
                </w:p>
              </w:tc>
              <w:tc>
                <w:tcPr>
                  <w:tcW w:w="1051" w:type="dxa"/>
                  <w:vMerge w:val="restart"/>
                  <w:vAlign w:val="center"/>
                </w:tcPr>
                <w:p w14:paraId="6E8A3F7A">
                  <w:pPr>
                    <w:widowControl/>
                    <w:jc w:val="center"/>
                    <w:rPr>
                      <w:color w:val="auto"/>
                      <w:kern w:val="0"/>
                      <w:szCs w:val="21"/>
                      <w:lang w:bidi="ar"/>
                    </w:rPr>
                  </w:pPr>
                  <w:r>
                    <w:rPr>
                      <w:color w:val="auto"/>
                      <w:kern w:val="0"/>
                      <w:szCs w:val="21"/>
                      <w:lang w:bidi="ar"/>
                    </w:rPr>
                    <w:t>废气治理措施</w:t>
                  </w:r>
                </w:p>
              </w:tc>
              <w:tc>
                <w:tcPr>
                  <w:tcW w:w="1710" w:type="dxa"/>
                  <w:gridSpan w:val="2"/>
                  <w:vAlign w:val="center"/>
                </w:tcPr>
                <w:p w14:paraId="676A5D90">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搅拌废气（G1）</w:t>
                  </w:r>
                </w:p>
              </w:tc>
              <w:tc>
                <w:tcPr>
                  <w:tcW w:w="3760" w:type="dxa"/>
                  <w:shd w:val="clear" w:color="auto" w:fill="auto"/>
                  <w:vAlign w:val="center"/>
                </w:tcPr>
                <w:p w14:paraId="71D6A27A">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搅拌设备上方设置集气罩，经集气罩收集后</w:t>
                  </w:r>
                  <w:r>
                    <w:rPr>
                      <w:bCs/>
                      <w:color w:val="auto"/>
                      <w:szCs w:val="21"/>
                    </w:rPr>
                    <w:t>经密闭抽尘管道引至</w:t>
                  </w:r>
                  <w:r>
                    <w:rPr>
                      <w:rFonts w:hint="eastAsia"/>
                      <w:bCs/>
                      <w:color w:val="auto"/>
                      <w:szCs w:val="21"/>
                      <w:lang w:eastAsia="zh-CN"/>
                    </w:rPr>
                    <w:t>“二级活性炭吸附”装置处理后经20.5m高排气筒（</w:t>
                  </w:r>
                  <w:r>
                    <w:rPr>
                      <w:rFonts w:hint="eastAsia"/>
                      <w:bCs/>
                      <w:color w:val="auto"/>
                      <w:szCs w:val="21"/>
                      <w:lang w:val="en-US" w:eastAsia="zh-CN"/>
                    </w:rPr>
                    <w:t>DA001</w:t>
                  </w:r>
                  <w:r>
                    <w:rPr>
                      <w:rFonts w:hint="eastAsia"/>
                      <w:bCs/>
                      <w:color w:val="auto"/>
                      <w:szCs w:val="21"/>
                      <w:lang w:eastAsia="zh-CN"/>
                    </w:rPr>
                    <w:t>）排放。</w:t>
                  </w:r>
                </w:p>
              </w:tc>
              <w:tc>
                <w:tcPr>
                  <w:tcW w:w="664" w:type="dxa"/>
                  <w:vMerge w:val="restart"/>
                  <w:vAlign w:val="center"/>
                </w:tcPr>
                <w:p w14:paraId="5BF2A5CD">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110</w:t>
                  </w:r>
                </w:p>
              </w:tc>
              <w:tc>
                <w:tcPr>
                  <w:tcW w:w="759" w:type="dxa"/>
                  <w:vMerge w:val="restart"/>
                  <w:vAlign w:val="center"/>
                </w:tcPr>
                <w:p w14:paraId="56106024">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30</w:t>
                  </w:r>
                </w:p>
                <w:p w14:paraId="76CD6AB3">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（仅安装集气罩）</w:t>
                  </w:r>
                </w:p>
              </w:tc>
            </w:tr>
            <w:tr w14:paraId="1A4A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462" w:type="dxa"/>
                  <w:vMerge w:val="continue"/>
                  <w:vAlign w:val="center"/>
                </w:tcPr>
                <w:p w14:paraId="37A0A05B">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09B59185">
                  <w:pPr>
                    <w:widowControl/>
                    <w:jc w:val="center"/>
                    <w:rPr>
                      <w:color w:val="auto"/>
                      <w:kern w:val="0"/>
                      <w:szCs w:val="21"/>
                      <w:lang w:bidi="ar"/>
                    </w:rPr>
                  </w:pPr>
                </w:p>
              </w:tc>
              <w:tc>
                <w:tcPr>
                  <w:tcW w:w="1710" w:type="dxa"/>
                  <w:gridSpan w:val="2"/>
                  <w:vAlign w:val="center"/>
                </w:tcPr>
                <w:p w14:paraId="263F6BC5">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缠绕、固化废气（G2）</w:t>
                  </w:r>
                </w:p>
              </w:tc>
              <w:tc>
                <w:tcPr>
                  <w:tcW w:w="3760" w:type="dxa"/>
                  <w:shd w:val="clear" w:color="auto" w:fill="auto"/>
                  <w:vAlign w:val="center"/>
                </w:tcPr>
                <w:p w14:paraId="2973FCED">
                  <w:pPr>
                    <w:widowControl/>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经集气罩收集后</w:t>
                  </w:r>
                  <w:r>
                    <w:rPr>
                      <w:bCs/>
                      <w:color w:val="auto"/>
                      <w:szCs w:val="21"/>
                    </w:rPr>
                    <w:t>经密闭抽尘管道引至</w:t>
                  </w:r>
                  <w:r>
                    <w:rPr>
                      <w:rFonts w:hint="eastAsia"/>
                      <w:bCs/>
                      <w:color w:val="auto"/>
                      <w:szCs w:val="21"/>
                      <w:lang w:eastAsia="zh-CN"/>
                    </w:rPr>
                    <w:t>“二级活性炭吸附”装置处理后经20.5m高排气筒（</w:t>
                  </w:r>
                  <w:r>
                    <w:rPr>
                      <w:rFonts w:hint="eastAsia"/>
                      <w:bCs/>
                      <w:color w:val="auto"/>
                      <w:szCs w:val="21"/>
                      <w:lang w:val="en-US" w:eastAsia="zh-CN"/>
                    </w:rPr>
                    <w:t>DA001</w:t>
                  </w:r>
                  <w:r>
                    <w:rPr>
                      <w:rFonts w:hint="eastAsia"/>
                      <w:bCs/>
                      <w:color w:val="auto"/>
                      <w:szCs w:val="21"/>
                      <w:lang w:eastAsia="zh-CN"/>
                    </w:rPr>
                    <w:t>）排放。（</w:t>
                  </w:r>
                  <w:r>
                    <w:rPr>
                      <w:rFonts w:hint="eastAsia"/>
                      <w:bCs/>
                      <w:color w:val="auto"/>
                      <w:szCs w:val="21"/>
                      <w:lang w:val="en-US" w:eastAsia="zh-CN"/>
                    </w:rPr>
                    <w:t>与搅拌废气使用同一套设备</w:t>
                  </w:r>
                  <w:r>
                    <w:rPr>
                      <w:rFonts w:hint="eastAsia"/>
                      <w:bCs/>
                      <w:color w:val="auto"/>
                      <w:szCs w:val="21"/>
                      <w:lang w:eastAsia="zh-CN"/>
                    </w:rPr>
                    <w:t>）</w:t>
                  </w:r>
                </w:p>
              </w:tc>
              <w:tc>
                <w:tcPr>
                  <w:tcW w:w="664" w:type="dxa"/>
                  <w:vMerge w:val="continue"/>
                  <w:vAlign w:val="center"/>
                </w:tcPr>
                <w:p w14:paraId="5487697E">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p>
              </w:tc>
              <w:tc>
                <w:tcPr>
                  <w:tcW w:w="759" w:type="dxa"/>
                  <w:vMerge w:val="continue"/>
                  <w:vAlign w:val="center"/>
                </w:tcPr>
                <w:p w14:paraId="38A4E9EA">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p>
              </w:tc>
            </w:tr>
            <w:tr w14:paraId="7D42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62" w:type="dxa"/>
                  <w:vMerge w:val="continue"/>
                  <w:vAlign w:val="center"/>
                </w:tcPr>
                <w:p w14:paraId="35A226EF">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3AB338B5">
                  <w:pPr>
                    <w:widowControl/>
                    <w:jc w:val="center"/>
                    <w:rPr>
                      <w:color w:val="auto"/>
                      <w:kern w:val="0"/>
                      <w:szCs w:val="21"/>
                      <w:lang w:bidi="ar"/>
                    </w:rPr>
                  </w:pPr>
                </w:p>
              </w:tc>
              <w:tc>
                <w:tcPr>
                  <w:tcW w:w="1710" w:type="dxa"/>
                  <w:gridSpan w:val="2"/>
                  <w:shd w:val="clear" w:color="auto" w:fill="auto"/>
                  <w:vAlign w:val="center"/>
                </w:tcPr>
                <w:p w14:paraId="6434062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切割废气（G3）</w:t>
                  </w:r>
                </w:p>
              </w:tc>
              <w:tc>
                <w:tcPr>
                  <w:tcW w:w="3760" w:type="dxa"/>
                  <w:vMerge w:val="restart"/>
                  <w:shd w:val="clear" w:color="auto" w:fill="auto"/>
                  <w:vAlign w:val="center"/>
                </w:tcPr>
                <w:p w14:paraId="04A615FE">
                  <w:pPr>
                    <w:widowControl/>
                    <w:jc w:val="center"/>
                    <w:textAlignment w:val="center"/>
                    <w:rPr>
                      <w:rFonts w:hint="eastAsia"/>
                      <w:bCs/>
                      <w:color w:val="auto"/>
                      <w:szCs w:val="21"/>
                      <w:lang w:val="en-US" w:eastAsia="zh-CN"/>
                    </w:rPr>
                  </w:pPr>
                  <w:r>
                    <w:rPr>
                      <w:rFonts w:hint="eastAsia" w:ascii="Times New Roman" w:hAnsi="Times New Roman" w:eastAsia="宋体" w:cs="Times New Roman"/>
                      <w:bCs/>
                      <w:color w:val="auto"/>
                      <w:sz w:val="21"/>
                      <w:szCs w:val="21"/>
                      <w:lang w:val="en-US" w:eastAsia="zh-CN"/>
                    </w:rPr>
                    <w:t>切割、打磨工序在密闭环境中完成，产生的粉末由自带的吸尘管道收集，管道链接外置吸尘器由收集容器收集，不外排。</w:t>
                  </w:r>
                </w:p>
              </w:tc>
              <w:tc>
                <w:tcPr>
                  <w:tcW w:w="664" w:type="dxa"/>
                  <w:vMerge w:val="restart"/>
                  <w:vAlign w:val="center"/>
                </w:tcPr>
                <w:p w14:paraId="6B557DDB">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20</w:t>
                  </w:r>
                </w:p>
              </w:tc>
              <w:tc>
                <w:tcPr>
                  <w:tcW w:w="759" w:type="dxa"/>
                  <w:vMerge w:val="restart"/>
                  <w:vAlign w:val="center"/>
                </w:tcPr>
                <w:p w14:paraId="19843E3E">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20</w:t>
                  </w:r>
                </w:p>
              </w:tc>
            </w:tr>
            <w:tr w14:paraId="5EFB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62" w:type="dxa"/>
                  <w:vMerge w:val="continue"/>
                  <w:vAlign w:val="center"/>
                </w:tcPr>
                <w:p w14:paraId="419CDF5C">
                  <w:pPr>
                    <w:pStyle w:val="19"/>
                    <w:spacing w:before="0" w:beforeAutospacing="0" w:after="0" w:afterAutospacing="0"/>
                    <w:jc w:val="center"/>
                    <w:outlineLvl w:val="0"/>
                    <w:rPr>
                      <w:rFonts w:hint="eastAsia" w:ascii="Times New Roman" w:hAnsi="Times New Roman" w:eastAsia="宋体"/>
                      <w:snapToGrid w:val="0"/>
                      <w:color w:val="auto"/>
                      <w:sz w:val="21"/>
                      <w:szCs w:val="21"/>
                      <w:lang w:eastAsia="zh-CN"/>
                    </w:rPr>
                  </w:pPr>
                  <w:r>
                    <w:rPr>
                      <w:rFonts w:hint="eastAsia" w:ascii="Times New Roman" w:hAnsi="Times New Roman"/>
                      <w:snapToGrid w:val="0"/>
                      <w:color w:val="auto"/>
                      <w:sz w:val="21"/>
                      <w:szCs w:val="21"/>
                      <w:lang w:eastAsia="zh-CN"/>
                    </w:rPr>
                    <w:t>（）</w:t>
                  </w:r>
                </w:p>
              </w:tc>
              <w:tc>
                <w:tcPr>
                  <w:tcW w:w="1051" w:type="dxa"/>
                  <w:vMerge w:val="continue"/>
                  <w:vAlign w:val="center"/>
                </w:tcPr>
                <w:p w14:paraId="2C3E4A47">
                  <w:pPr>
                    <w:widowControl/>
                    <w:jc w:val="center"/>
                    <w:rPr>
                      <w:color w:val="auto"/>
                      <w:kern w:val="0"/>
                      <w:szCs w:val="21"/>
                      <w:lang w:bidi="ar"/>
                    </w:rPr>
                  </w:pPr>
                </w:p>
              </w:tc>
              <w:tc>
                <w:tcPr>
                  <w:tcW w:w="1710" w:type="dxa"/>
                  <w:gridSpan w:val="2"/>
                  <w:shd w:val="clear" w:color="auto" w:fill="auto"/>
                  <w:vAlign w:val="center"/>
                </w:tcPr>
                <w:p w14:paraId="42712024">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打磨废气（G4）</w:t>
                  </w:r>
                </w:p>
              </w:tc>
              <w:tc>
                <w:tcPr>
                  <w:tcW w:w="3760" w:type="dxa"/>
                  <w:vMerge w:val="continue"/>
                  <w:shd w:val="clear" w:color="auto" w:fill="auto"/>
                  <w:vAlign w:val="center"/>
                </w:tcPr>
                <w:p w14:paraId="2D120C02">
                  <w:pPr>
                    <w:widowControl/>
                    <w:jc w:val="both"/>
                    <w:textAlignment w:val="center"/>
                    <w:rPr>
                      <w:rFonts w:hint="eastAsia"/>
                      <w:bCs/>
                      <w:color w:val="auto"/>
                      <w:szCs w:val="21"/>
                      <w:lang w:val="en-US" w:eastAsia="zh-CN"/>
                    </w:rPr>
                  </w:pPr>
                </w:p>
              </w:tc>
              <w:tc>
                <w:tcPr>
                  <w:tcW w:w="664" w:type="dxa"/>
                  <w:vMerge w:val="continue"/>
                  <w:vAlign w:val="center"/>
                </w:tcPr>
                <w:p w14:paraId="5858D07A">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p>
              </w:tc>
              <w:tc>
                <w:tcPr>
                  <w:tcW w:w="759" w:type="dxa"/>
                  <w:vMerge w:val="continue"/>
                  <w:vAlign w:val="center"/>
                </w:tcPr>
                <w:p w14:paraId="15F5F5CE">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p>
              </w:tc>
            </w:tr>
            <w:tr w14:paraId="686D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462" w:type="dxa"/>
                  <w:vMerge w:val="continue"/>
                  <w:vAlign w:val="center"/>
                </w:tcPr>
                <w:p w14:paraId="4FC4C7C5">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7BDB186C">
                  <w:pPr>
                    <w:widowControl/>
                    <w:jc w:val="center"/>
                    <w:rPr>
                      <w:color w:val="auto"/>
                      <w:kern w:val="0"/>
                      <w:szCs w:val="21"/>
                      <w:lang w:bidi="ar"/>
                    </w:rPr>
                  </w:pPr>
                </w:p>
              </w:tc>
              <w:tc>
                <w:tcPr>
                  <w:tcW w:w="1710" w:type="dxa"/>
                  <w:gridSpan w:val="2"/>
                  <w:shd w:val="clear" w:color="auto" w:fill="auto"/>
                  <w:vAlign w:val="center"/>
                </w:tcPr>
                <w:p w14:paraId="3564A40D">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静电喷涂喷涂废气（G5）</w:t>
                  </w:r>
                </w:p>
              </w:tc>
              <w:tc>
                <w:tcPr>
                  <w:tcW w:w="3760" w:type="dxa"/>
                  <w:shd w:val="clear" w:color="auto" w:fill="auto"/>
                  <w:vAlign w:val="center"/>
                </w:tcPr>
                <w:p w14:paraId="6958056A">
                  <w:pPr>
                    <w:widowControl/>
                    <w:jc w:val="center"/>
                    <w:textAlignment w:val="center"/>
                    <w:rPr>
                      <w:rFonts w:hint="eastAsia" w:ascii="Times New Roman" w:hAnsi="Times New Roman" w:eastAsia="宋体" w:cs="Times New Roman"/>
                      <w:bCs/>
                      <w:color w:val="auto"/>
                      <w:szCs w:val="21"/>
                      <w:lang w:val="en-US" w:eastAsia="zh-CN"/>
                    </w:rPr>
                  </w:pPr>
                  <w:r>
                    <w:rPr>
                      <w:rFonts w:hint="eastAsia"/>
                      <w:bCs/>
                      <w:color w:val="auto"/>
                      <w:szCs w:val="21"/>
                      <w:lang w:val="en-US" w:eastAsia="zh-CN"/>
                    </w:rPr>
                    <w:t>喷涂过程产生的粉末、粉尘先通过大旋风分离器粉末回收系统收集，粉末通过自动回收系统送回粉桶循环使用，粉尘进入转翼式滤芯过滤器二级回收系统处置，经20.5m高排气筒（DA001）排放。</w:t>
                  </w:r>
                </w:p>
              </w:tc>
              <w:tc>
                <w:tcPr>
                  <w:tcW w:w="664" w:type="dxa"/>
                  <w:vAlign w:val="center"/>
                </w:tcPr>
                <w:p w14:paraId="790C8410">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20</w:t>
                  </w:r>
                </w:p>
              </w:tc>
              <w:tc>
                <w:tcPr>
                  <w:tcW w:w="759" w:type="dxa"/>
                  <w:vAlign w:val="center"/>
                </w:tcPr>
                <w:p w14:paraId="5AEDA1D7">
                  <w:pPr>
                    <w:pStyle w:val="19"/>
                    <w:spacing w:before="0" w:beforeAutospacing="0" w:after="0" w:afterAutospacing="0"/>
                    <w:jc w:val="center"/>
                    <w:outlineLvl w:val="0"/>
                    <w:rPr>
                      <w:rFonts w:hint="eastAsia" w:ascii="Times New Roman" w:hAnsi="Times New Roman"/>
                      <w:snapToGrid w:val="0"/>
                      <w:color w:val="auto"/>
                      <w:sz w:val="21"/>
                      <w:szCs w:val="21"/>
                      <w:lang w:val="en-US" w:eastAsia="zh-CN"/>
                    </w:rPr>
                  </w:pPr>
                </w:p>
              </w:tc>
            </w:tr>
            <w:tr w14:paraId="78CC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462" w:type="dxa"/>
                  <w:vMerge w:val="continue"/>
                  <w:vAlign w:val="center"/>
                </w:tcPr>
                <w:p w14:paraId="24EAAB74">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3441E191">
                  <w:pPr>
                    <w:widowControl/>
                    <w:jc w:val="center"/>
                    <w:rPr>
                      <w:color w:val="auto"/>
                      <w:kern w:val="0"/>
                      <w:szCs w:val="21"/>
                      <w:lang w:bidi="ar"/>
                    </w:rPr>
                  </w:pPr>
                </w:p>
              </w:tc>
              <w:tc>
                <w:tcPr>
                  <w:tcW w:w="1710" w:type="dxa"/>
                  <w:gridSpan w:val="2"/>
                  <w:shd w:val="clear" w:color="auto" w:fill="auto"/>
                  <w:vAlign w:val="center"/>
                </w:tcPr>
                <w:p w14:paraId="2DB205E4">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 w:val="21"/>
                      <w:szCs w:val="21"/>
                      <w:lang w:val="en-US" w:eastAsia="zh-CN" w:bidi="ar"/>
                    </w:rPr>
                    <w:t>静电喷涂固化烘干废气（G6）</w:t>
                  </w:r>
                </w:p>
              </w:tc>
              <w:tc>
                <w:tcPr>
                  <w:tcW w:w="3760" w:type="dxa"/>
                  <w:shd w:val="clear" w:color="auto" w:fill="auto"/>
                  <w:vAlign w:val="center"/>
                </w:tcPr>
                <w:p w14:paraId="0133F776">
                  <w:pPr>
                    <w:widowControl/>
                    <w:jc w:val="center"/>
                    <w:textAlignment w:val="center"/>
                    <w:rPr>
                      <w:rFonts w:hint="eastAsia" w:ascii="Times New Roman" w:hAnsi="Times New Roman" w:eastAsia="宋体" w:cs="Times New Roman"/>
                      <w:bCs/>
                      <w:color w:val="auto"/>
                      <w:szCs w:val="21"/>
                      <w:lang w:val="en-US" w:eastAsia="zh-CN"/>
                    </w:rPr>
                  </w:pPr>
                  <w:r>
                    <w:rPr>
                      <w:rFonts w:hint="eastAsia"/>
                      <w:color w:val="auto"/>
                      <w:kern w:val="0"/>
                      <w:sz w:val="21"/>
                      <w:szCs w:val="21"/>
                      <w:lang w:val="en-US" w:eastAsia="zh-CN" w:bidi="ar"/>
                    </w:rPr>
                    <w:t>静电喷涂装置自带负压吸收装置和</w:t>
                  </w:r>
                  <w:r>
                    <w:rPr>
                      <w:rFonts w:hint="eastAsia"/>
                      <w:color w:val="auto"/>
                      <w:spacing w:val="7"/>
                      <w:sz w:val="21"/>
                      <w:szCs w:val="21"/>
                      <w:lang w:val="en-US" w:eastAsia="zh-CN"/>
                    </w:rPr>
                    <w:t>“</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w:t>
                  </w:r>
                </w:p>
                <w:p w14:paraId="4BC5FC1D">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静电喷涂</w:t>
                  </w:r>
                  <w:r>
                    <w:rPr>
                      <w:rFonts w:hint="eastAsia" w:cs="Times New Roman"/>
                      <w:bCs/>
                      <w:color w:val="auto"/>
                      <w:szCs w:val="21"/>
                      <w:lang w:val="en-US" w:eastAsia="zh-CN"/>
                    </w:rPr>
                    <w:t>废气经</w:t>
                  </w:r>
                  <w:r>
                    <w:rPr>
                      <w:rFonts w:hint="eastAsia" w:ascii="Times New Roman" w:hAnsi="Times New Roman" w:eastAsia="宋体" w:cs="Times New Roman"/>
                      <w:bCs/>
                      <w:color w:val="auto"/>
                      <w:szCs w:val="21"/>
                      <w:lang w:val="en-US" w:eastAsia="zh-CN"/>
                    </w:rPr>
                    <w:t>“</w:t>
                  </w:r>
                  <w:r>
                    <w:rPr>
                      <w:rFonts w:ascii="Times New Roman" w:hAnsi="Times New Roman" w:eastAsia="宋体" w:cs="Times New Roman"/>
                      <w:bCs/>
                      <w:color w:val="auto"/>
                      <w:szCs w:val="21"/>
                    </w:rPr>
                    <w:t>两级活性炭</w:t>
                  </w:r>
                  <w:r>
                    <w:rPr>
                      <w:rFonts w:hint="eastAsia" w:ascii="Times New Roman" w:hAnsi="Times New Roman" w:eastAsia="宋体" w:cs="Times New Roman"/>
                      <w:bCs/>
                      <w:color w:val="auto"/>
                      <w:szCs w:val="21"/>
                      <w:lang w:val="en-US" w:eastAsia="zh-CN"/>
                    </w:rPr>
                    <w:t>吸附”装置处</w:t>
                  </w:r>
                  <w:r>
                    <w:rPr>
                      <w:rFonts w:hint="eastAsia" w:ascii="Times New Roman" w:hAnsi="Times New Roman" w:eastAsia="宋体" w:cs="Times New Roman"/>
                      <w:bCs/>
                      <w:color w:val="auto"/>
                      <w:szCs w:val="21"/>
                      <w:lang w:eastAsia="zh-CN"/>
                    </w:rPr>
                    <w:t>理后经</w:t>
                  </w:r>
                  <w:r>
                    <w:rPr>
                      <w:rFonts w:hint="eastAsia" w:cs="Times New Roman"/>
                      <w:bCs/>
                      <w:color w:val="auto"/>
                      <w:szCs w:val="21"/>
                      <w:lang w:eastAsia="zh-CN"/>
                    </w:rPr>
                    <w:t>20.5m</w:t>
                  </w:r>
                  <w:r>
                    <w:rPr>
                      <w:rFonts w:hint="eastAsia" w:ascii="Times New Roman" w:hAnsi="Times New Roman" w:eastAsia="宋体" w:cs="Times New Roman"/>
                      <w:bCs/>
                      <w:color w:val="auto"/>
                      <w:szCs w:val="21"/>
                      <w:lang w:eastAsia="zh-CN"/>
                    </w:rPr>
                    <w:t>高排气筒（</w:t>
                  </w:r>
                  <w:r>
                    <w:rPr>
                      <w:rFonts w:hint="eastAsia" w:ascii="Times New Roman" w:hAnsi="Times New Roman" w:eastAsia="宋体" w:cs="Times New Roman"/>
                      <w:bCs/>
                      <w:color w:val="auto"/>
                      <w:szCs w:val="21"/>
                      <w:lang w:val="en-US" w:eastAsia="zh-CN"/>
                    </w:rPr>
                    <w:t>DA001</w:t>
                  </w:r>
                  <w:r>
                    <w:rPr>
                      <w:rFonts w:hint="eastAsia" w:ascii="Times New Roman" w:hAnsi="Times New Roman" w:eastAsia="宋体" w:cs="Times New Roman"/>
                      <w:bCs/>
                      <w:color w:val="auto"/>
                      <w:szCs w:val="21"/>
                      <w:lang w:eastAsia="zh-CN"/>
                    </w:rPr>
                    <w:t>）排放。</w:t>
                  </w:r>
                </w:p>
              </w:tc>
              <w:tc>
                <w:tcPr>
                  <w:tcW w:w="664" w:type="dxa"/>
                  <w:vAlign w:val="center"/>
                </w:tcPr>
                <w:p w14:paraId="5F2FB743">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100</w:t>
                  </w:r>
                </w:p>
              </w:tc>
              <w:tc>
                <w:tcPr>
                  <w:tcW w:w="759" w:type="dxa"/>
                  <w:vAlign w:val="center"/>
                </w:tcPr>
                <w:p w14:paraId="6F059E9D">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r>
            <w:tr w14:paraId="447D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62" w:type="dxa"/>
                  <w:vAlign w:val="center"/>
                </w:tcPr>
                <w:p w14:paraId="198FEFA9">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2</w:t>
                  </w:r>
                </w:p>
              </w:tc>
              <w:tc>
                <w:tcPr>
                  <w:tcW w:w="1051" w:type="dxa"/>
                  <w:vAlign w:val="center"/>
                </w:tcPr>
                <w:p w14:paraId="5BCB2827">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废水治理措施</w:t>
                  </w:r>
                </w:p>
              </w:tc>
              <w:tc>
                <w:tcPr>
                  <w:tcW w:w="1710" w:type="dxa"/>
                  <w:gridSpan w:val="2"/>
                  <w:vAlign w:val="center"/>
                </w:tcPr>
                <w:p w14:paraId="385CEF98">
                  <w:pPr>
                    <w:widowControl/>
                    <w:jc w:val="center"/>
                    <w:textAlignment w:val="center"/>
                    <w:rPr>
                      <w:color w:val="auto"/>
                      <w:szCs w:val="21"/>
                    </w:rPr>
                  </w:pPr>
                  <w:r>
                    <w:rPr>
                      <w:rFonts w:hint="eastAsia"/>
                      <w:color w:val="auto"/>
                      <w:szCs w:val="21"/>
                    </w:rPr>
                    <w:t>生活</w:t>
                  </w:r>
                </w:p>
                <w:p w14:paraId="1172CCB4">
                  <w:pPr>
                    <w:pStyle w:val="19"/>
                    <w:spacing w:before="0" w:beforeAutospacing="0" w:after="0" w:afterAutospacing="0"/>
                    <w:jc w:val="center"/>
                    <w:outlineLvl w:val="0"/>
                    <w:rPr>
                      <w:rFonts w:ascii="Times New Roman" w:hAnsi="Times New Roman"/>
                      <w:snapToGrid w:val="0"/>
                      <w:color w:val="auto"/>
                      <w:sz w:val="21"/>
                      <w:szCs w:val="21"/>
                    </w:rPr>
                  </w:pPr>
                  <w:r>
                    <w:rPr>
                      <w:rFonts w:hint="eastAsia"/>
                      <w:color w:val="auto"/>
                      <w:sz w:val="21"/>
                      <w:szCs w:val="21"/>
                    </w:rPr>
                    <w:t>污水</w:t>
                  </w:r>
                </w:p>
              </w:tc>
              <w:tc>
                <w:tcPr>
                  <w:tcW w:w="3760" w:type="dxa"/>
                  <w:vAlign w:val="center"/>
                </w:tcPr>
                <w:p w14:paraId="23EA5059">
                  <w:pPr>
                    <w:pStyle w:val="19"/>
                    <w:spacing w:before="0" w:beforeAutospacing="0" w:after="0" w:afterAutospacing="0"/>
                    <w:jc w:val="center"/>
                    <w:outlineLvl w:val="0"/>
                    <w:rPr>
                      <w:rFonts w:ascii="Times New Roman" w:hAnsi="Times New Roman"/>
                      <w:snapToGrid w:val="0"/>
                      <w:color w:val="auto"/>
                      <w:sz w:val="21"/>
                      <w:szCs w:val="21"/>
                    </w:rPr>
                  </w:pPr>
                  <w:r>
                    <w:rPr>
                      <w:rFonts w:hint="eastAsia"/>
                      <w:color w:val="auto"/>
                      <w:sz w:val="21"/>
                      <w:szCs w:val="21"/>
                    </w:rPr>
                    <w:t>生活污水经</w:t>
                  </w:r>
                  <w:r>
                    <w:rPr>
                      <w:rFonts w:hint="eastAsia"/>
                      <w:color w:val="auto"/>
                      <w:sz w:val="21"/>
                      <w:szCs w:val="21"/>
                      <w:lang w:eastAsia="zh-CN"/>
                    </w:rPr>
                    <w:t>园区化粪池</w:t>
                  </w:r>
                  <w:r>
                    <w:rPr>
                      <w:rFonts w:hint="eastAsia"/>
                      <w:color w:val="auto"/>
                      <w:sz w:val="21"/>
                      <w:szCs w:val="21"/>
                    </w:rPr>
                    <w:t>处理后，接管排入</w:t>
                  </w:r>
                  <w:r>
                    <w:rPr>
                      <w:rFonts w:hint="eastAsia"/>
                      <w:color w:val="auto"/>
                      <w:sz w:val="21"/>
                      <w:szCs w:val="21"/>
                      <w:lang w:eastAsia="zh-CN"/>
                    </w:rPr>
                    <w:t>内蒙古天河水务有限公司</w:t>
                  </w:r>
                  <w:r>
                    <w:rPr>
                      <w:rFonts w:hint="eastAsia"/>
                      <w:color w:val="auto"/>
                      <w:sz w:val="21"/>
                      <w:szCs w:val="21"/>
                    </w:rPr>
                    <w:t>进一步处理。</w:t>
                  </w:r>
                </w:p>
              </w:tc>
              <w:tc>
                <w:tcPr>
                  <w:tcW w:w="664" w:type="dxa"/>
                  <w:vAlign w:val="center"/>
                </w:tcPr>
                <w:p w14:paraId="1840FF00">
                  <w:pPr>
                    <w:pStyle w:val="19"/>
                    <w:spacing w:before="0" w:beforeAutospacing="0" w:after="0" w:afterAutospacing="0"/>
                    <w:jc w:val="center"/>
                    <w:outlineLvl w:val="0"/>
                    <w:rPr>
                      <w:rFonts w:hint="eastAsia" w:ascii="Times New Roman" w:hAnsi="Times New Roman" w:eastAsia="宋体"/>
                      <w:snapToGrid w:val="0"/>
                      <w:color w:val="auto"/>
                      <w:sz w:val="21"/>
                      <w:szCs w:val="21"/>
                      <w:lang w:eastAsia="zh-CN"/>
                    </w:rPr>
                  </w:pPr>
                  <w:r>
                    <w:rPr>
                      <w:rFonts w:hint="eastAsia" w:ascii="Times New Roman" w:hAnsi="Times New Roman"/>
                      <w:snapToGrid w:val="0"/>
                      <w:color w:val="auto"/>
                      <w:sz w:val="21"/>
                      <w:szCs w:val="21"/>
                      <w:lang w:val="en-US" w:eastAsia="zh-CN"/>
                    </w:rPr>
                    <w:t>2</w:t>
                  </w:r>
                </w:p>
              </w:tc>
              <w:tc>
                <w:tcPr>
                  <w:tcW w:w="759" w:type="dxa"/>
                  <w:vAlign w:val="center"/>
                </w:tcPr>
                <w:p w14:paraId="74E74BBA">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1.5</w:t>
                  </w:r>
                </w:p>
              </w:tc>
            </w:tr>
            <w:tr w14:paraId="6232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62" w:type="dxa"/>
                  <w:vAlign w:val="center"/>
                </w:tcPr>
                <w:p w14:paraId="4C6A9F4E">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3</w:t>
                  </w:r>
                </w:p>
              </w:tc>
              <w:tc>
                <w:tcPr>
                  <w:tcW w:w="1051" w:type="dxa"/>
                  <w:vAlign w:val="center"/>
                </w:tcPr>
                <w:p w14:paraId="05985378">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噪声治理措施</w:t>
                  </w:r>
                </w:p>
              </w:tc>
              <w:tc>
                <w:tcPr>
                  <w:tcW w:w="1710" w:type="dxa"/>
                  <w:gridSpan w:val="2"/>
                  <w:vAlign w:val="center"/>
                </w:tcPr>
                <w:p w14:paraId="786935F8">
                  <w:pPr>
                    <w:widowControl/>
                    <w:jc w:val="center"/>
                    <w:rPr>
                      <w:color w:val="auto"/>
                      <w:kern w:val="0"/>
                      <w:szCs w:val="21"/>
                      <w:lang w:bidi="ar"/>
                    </w:rPr>
                  </w:pPr>
                  <w:r>
                    <w:rPr>
                      <w:rFonts w:hint="eastAsia"/>
                      <w:color w:val="auto"/>
                      <w:kern w:val="0"/>
                      <w:szCs w:val="21"/>
                      <w:lang w:bidi="ar"/>
                    </w:rPr>
                    <w:t>机械设备</w:t>
                  </w:r>
                </w:p>
              </w:tc>
              <w:tc>
                <w:tcPr>
                  <w:tcW w:w="3760" w:type="dxa"/>
                  <w:vAlign w:val="center"/>
                </w:tcPr>
                <w:p w14:paraId="1417FC52">
                  <w:pPr>
                    <w:widowControl/>
                    <w:jc w:val="center"/>
                    <w:rPr>
                      <w:color w:val="auto"/>
                      <w:kern w:val="0"/>
                      <w:szCs w:val="21"/>
                      <w:lang w:bidi="ar"/>
                    </w:rPr>
                  </w:pPr>
                  <w:r>
                    <w:rPr>
                      <w:rFonts w:hint="eastAsia"/>
                      <w:color w:val="auto"/>
                      <w:kern w:val="0"/>
                      <w:szCs w:val="21"/>
                      <w:lang w:bidi="ar"/>
                    </w:rPr>
                    <w:t>选用低噪声设备，设置减震垫，墙体隔声。</w:t>
                  </w:r>
                </w:p>
              </w:tc>
              <w:tc>
                <w:tcPr>
                  <w:tcW w:w="664" w:type="dxa"/>
                  <w:vAlign w:val="center"/>
                </w:tcPr>
                <w:p w14:paraId="105C5561">
                  <w:pPr>
                    <w:pStyle w:val="19"/>
                    <w:spacing w:before="0" w:beforeAutospacing="0" w:after="0" w:afterAutospacing="0"/>
                    <w:jc w:val="center"/>
                    <w:outlineLvl w:val="0"/>
                    <w:rPr>
                      <w:rFonts w:hint="default"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2</w:t>
                  </w:r>
                </w:p>
              </w:tc>
              <w:tc>
                <w:tcPr>
                  <w:tcW w:w="759" w:type="dxa"/>
                  <w:vAlign w:val="center"/>
                </w:tcPr>
                <w:p w14:paraId="558BD7D5">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w:t>
                  </w:r>
                </w:p>
              </w:tc>
            </w:tr>
            <w:tr w14:paraId="0136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462" w:type="dxa"/>
                  <w:vMerge w:val="restart"/>
                  <w:vAlign w:val="center"/>
                </w:tcPr>
                <w:p w14:paraId="4DB819A4">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4</w:t>
                  </w:r>
                </w:p>
              </w:tc>
              <w:tc>
                <w:tcPr>
                  <w:tcW w:w="1051" w:type="dxa"/>
                  <w:vMerge w:val="restart"/>
                  <w:vAlign w:val="center"/>
                </w:tcPr>
                <w:p w14:paraId="133E0879">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固废治理措施</w:t>
                  </w:r>
                </w:p>
              </w:tc>
              <w:tc>
                <w:tcPr>
                  <w:tcW w:w="731" w:type="dxa"/>
                  <w:vMerge w:val="restart"/>
                  <w:vAlign w:val="center"/>
                </w:tcPr>
                <w:p w14:paraId="5CE9DF2B">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一般固废</w:t>
                  </w:r>
                </w:p>
              </w:tc>
              <w:tc>
                <w:tcPr>
                  <w:tcW w:w="979" w:type="dxa"/>
                  <w:shd w:val="clear" w:color="auto" w:fill="auto"/>
                  <w:vAlign w:val="center"/>
                </w:tcPr>
                <w:p w14:paraId="6491F768">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切割粉尘</w:t>
                  </w:r>
                  <w:r>
                    <w:rPr>
                      <w:rFonts w:hint="eastAsia" w:ascii="Times New Roman" w:hAnsi="Times New Roman" w:eastAsia="宋体" w:cs="Times New Roman"/>
                      <w:bCs/>
                      <w:color w:val="auto"/>
                      <w:szCs w:val="21"/>
                      <w:lang w:val="en-US" w:eastAsia="zh-CN"/>
                    </w:rPr>
                    <w:t>（S</w:t>
                  </w:r>
                  <w:r>
                    <w:rPr>
                      <w:rFonts w:hint="eastAsia" w:cs="Times New Roman"/>
                      <w:bCs/>
                      <w:color w:val="auto"/>
                      <w:szCs w:val="21"/>
                      <w:lang w:val="en-US" w:eastAsia="zh-CN"/>
                    </w:rPr>
                    <w:t>4</w:t>
                  </w:r>
                  <w:r>
                    <w:rPr>
                      <w:rFonts w:hint="eastAsia" w:ascii="Times New Roman" w:hAnsi="Times New Roman" w:eastAsia="宋体" w:cs="Times New Roman"/>
                      <w:bCs/>
                      <w:color w:val="auto"/>
                      <w:szCs w:val="21"/>
                      <w:lang w:val="en-US" w:eastAsia="zh-CN"/>
                    </w:rPr>
                    <w:t>）</w:t>
                  </w:r>
                </w:p>
              </w:tc>
              <w:tc>
                <w:tcPr>
                  <w:tcW w:w="3760" w:type="dxa"/>
                  <w:shd w:val="clear" w:color="auto" w:fill="auto"/>
                  <w:vAlign w:val="center"/>
                </w:tcPr>
                <w:p w14:paraId="01ED13C0">
                  <w:pPr>
                    <w:widowControl/>
                    <w:jc w:val="center"/>
                    <w:textAlignment w:val="center"/>
                    <w:rPr>
                      <w:rFonts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切割工序产生的切割粉尘，收集后</w:t>
                  </w:r>
                  <w:r>
                    <w:rPr>
                      <w:rFonts w:hint="eastAsia"/>
                      <w:bCs/>
                      <w:color w:val="auto"/>
                      <w:szCs w:val="21"/>
                    </w:rPr>
                    <w:t>暂存</w:t>
                  </w:r>
                  <w:r>
                    <w:rPr>
                      <w:rFonts w:hint="eastAsia"/>
                      <w:bCs/>
                      <w:color w:val="auto"/>
                      <w:szCs w:val="21"/>
                      <w:lang w:val="en-US" w:eastAsia="zh-CN"/>
                    </w:rPr>
                    <w:t>25m</w:t>
                  </w:r>
                  <w:r>
                    <w:rPr>
                      <w:rFonts w:hint="eastAsia"/>
                      <w:bCs/>
                      <w:color w:val="auto"/>
                      <w:szCs w:val="21"/>
                      <w:vertAlign w:val="superscript"/>
                      <w:lang w:val="en-US" w:eastAsia="zh-CN"/>
                    </w:rPr>
                    <w:t>2</w:t>
                  </w:r>
                  <w:r>
                    <w:rPr>
                      <w:rFonts w:hint="eastAsia"/>
                      <w:bCs/>
                      <w:color w:val="auto"/>
                      <w:szCs w:val="21"/>
                    </w:rPr>
                    <w:t>一般固体废物暂存间，交由一般固废处置单位处置。</w:t>
                  </w:r>
                </w:p>
              </w:tc>
              <w:tc>
                <w:tcPr>
                  <w:tcW w:w="664" w:type="dxa"/>
                  <w:vAlign w:val="center"/>
                </w:tcPr>
                <w:p w14:paraId="06741D74">
                  <w:pPr>
                    <w:pStyle w:val="19"/>
                    <w:spacing w:before="0" w:beforeAutospacing="0" w:after="0" w:afterAutospacing="0"/>
                    <w:jc w:val="center"/>
                    <w:outlineLvl w:val="0"/>
                    <w:rPr>
                      <w:rFonts w:hint="default"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4</w:t>
                  </w:r>
                </w:p>
              </w:tc>
              <w:tc>
                <w:tcPr>
                  <w:tcW w:w="759" w:type="dxa"/>
                  <w:shd w:val="clear" w:color="auto" w:fill="auto"/>
                  <w:vAlign w:val="center"/>
                </w:tcPr>
                <w:p w14:paraId="7F209F04">
                  <w:pPr>
                    <w:pStyle w:val="19"/>
                    <w:spacing w:before="0" w:beforeAutospacing="0" w:after="0" w:afterAutospacing="0"/>
                    <w:jc w:val="center"/>
                    <w:outlineLvl w:val="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cs="Times New Roman"/>
                      <w:snapToGrid w:val="0"/>
                      <w:color w:val="auto"/>
                      <w:kern w:val="0"/>
                      <w:sz w:val="21"/>
                      <w:szCs w:val="21"/>
                      <w:lang w:val="en-US" w:eastAsia="zh-CN" w:bidi="ar-SA"/>
                    </w:rPr>
                    <w:t>4</w:t>
                  </w:r>
                </w:p>
              </w:tc>
            </w:tr>
            <w:tr w14:paraId="3809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62" w:type="dxa"/>
                  <w:vMerge w:val="continue"/>
                  <w:vAlign w:val="center"/>
                </w:tcPr>
                <w:p w14:paraId="76C27AA2">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1051" w:type="dxa"/>
                  <w:vMerge w:val="continue"/>
                  <w:vAlign w:val="center"/>
                </w:tcPr>
                <w:p w14:paraId="34FEF475">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731" w:type="dxa"/>
                  <w:vMerge w:val="continue"/>
                  <w:vAlign w:val="center"/>
                </w:tcPr>
                <w:p w14:paraId="5E9680B8">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32D82565">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打磨粉尘</w:t>
                  </w:r>
                  <w:r>
                    <w:rPr>
                      <w:rFonts w:hint="eastAsia" w:ascii="Times New Roman" w:hAnsi="Times New Roman" w:eastAsia="宋体" w:cs="Times New Roman"/>
                      <w:bCs/>
                      <w:color w:val="auto"/>
                      <w:szCs w:val="21"/>
                      <w:lang w:val="en-US" w:eastAsia="zh-CN"/>
                    </w:rPr>
                    <w:t>（S</w:t>
                  </w:r>
                  <w:r>
                    <w:rPr>
                      <w:rFonts w:hint="eastAsia" w:cs="Times New Roman"/>
                      <w:bCs/>
                      <w:color w:val="auto"/>
                      <w:szCs w:val="21"/>
                      <w:lang w:val="en-US" w:eastAsia="zh-CN"/>
                    </w:rPr>
                    <w:t>5</w:t>
                  </w:r>
                  <w:r>
                    <w:rPr>
                      <w:rFonts w:hint="eastAsia" w:ascii="Times New Roman" w:hAnsi="Times New Roman" w:eastAsia="宋体" w:cs="Times New Roman"/>
                      <w:bCs/>
                      <w:color w:val="auto"/>
                      <w:szCs w:val="21"/>
                      <w:lang w:val="en-US" w:eastAsia="zh-CN"/>
                    </w:rPr>
                    <w:t>）</w:t>
                  </w:r>
                </w:p>
              </w:tc>
              <w:tc>
                <w:tcPr>
                  <w:tcW w:w="3760" w:type="dxa"/>
                  <w:shd w:val="clear" w:color="auto" w:fill="auto"/>
                  <w:vAlign w:val="center"/>
                </w:tcPr>
                <w:p w14:paraId="0F10371A">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打磨工序产生的打磨粉尘，收集后</w:t>
                  </w:r>
                  <w:r>
                    <w:rPr>
                      <w:rFonts w:hint="eastAsia"/>
                      <w:bCs/>
                      <w:color w:val="auto"/>
                      <w:szCs w:val="21"/>
                    </w:rPr>
                    <w:t>暂存</w:t>
                  </w:r>
                  <w:r>
                    <w:rPr>
                      <w:rFonts w:hint="eastAsia"/>
                      <w:bCs/>
                      <w:color w:val="auto"/>
                      <w:szCs w:val="21"/>
                      <w:lang w:val="en-US" w:eastAsia="zh-CN"/>
                    </w:rPr>
                    <w:t>25m</w:t>
                  </w:r>
                  <w:r>
                    <w:rPr>
                      <w:rFonts w:hint="eastAsia"/>
                      <w:bCs/>
                      <w:color w:val="auto"/>
                      <w:szCs w:val="21"/>
                      <w:vertAlign w:val="superscript"/>
                      <w:lang w:val="en-US" w:eastAsia="zh-CN"/>
                    </w:rPr>
                    <w:t>2</w:t>
                  </w:r>
                  <w:r>
                    <w:rPr>
                      <w:rFonts w:hint="eastAsia"/>
                      <w:bCs/>
                      <w:color w:val="auto"/>
                      <w:szCs w:val="21"/>
                    </w:rPr>
                    <w:t>一般固体废物暂存间，交由一般固废处置单位处置。</w:t>
                  </w:r>
                </w:p>
              </w:tc>
              <w:tc>
                <w:tcPr>
                  <w:tcW w:w="664" w:type="dxa"/>
                  <w:vAlign w:val="center"/>
                </w:tcPr>
                <w:p w14:paraId="36D26607">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4</w:t>
                  </w:r>
                </w:p>
              </w:tc>
              <w:tc>
                <w:tcPr>
                  <w:tcW w:w="759" w:type="dxa"/>
                  <w:shd w:val="clear" w:color="auto" w:fill="auto"/>
                  <w:vAlign w:val="center"/>
                </w:tcPr>
                <w:p w14:paraId="757E9161">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5</w:t>
                  </w:r>
                </w:p>
              </w:tc>
            </w:tr>
            <w:tr w14:paraId="3CCA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62" w:type="dxa"/>
                  <w:vMerge w:val="continue"/>
                  <w:vAlign w:val="center"/>
                </w:tcPr>
                <w:p w14:paraId="126834D3">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1051" w:type="dxa"/>
                  <w:vMerge w:val="continue"/>
                  <w:vAlign w:val="center"/>
                </w:tcPr>
                <w:p w14:paraId="46152755">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731" w:type="dxa"/>
                  <w:vMerge w:val="continue"/>
                  <w:vAlign w:val="center"/>
                </w:tcPr>
                <w:p w14:paraId="152E5F13">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054DE41C">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cs="Times New Roman"/>
                      <w:bCs/>
                      <w:color w:val="auto"/>
                      <w:szCs w:val="21"/>
                      <w:lang w:val="en-US" w:eastAsia="zh-CN"/>
                    </w:rPr>
                    <w:t>静电喷涂粉末（S6）</w:t>
                  </w:r>
                </w:p>
              </w:tc>
              <w:tc>
                <w:tcPr>
                  <w:tcW w:w="3760" w:type="dxa"/>
                  <w:shd w:val="clear" w:color="auto" w:fill="auto"/>
                  <w:vAlign w:val="center"/>
                </w:tcPr>
                <w:p w14:paraId="23CA127F">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除尘器及滤芯过滤器收集的粉尘回用于生产工序。</w:t>
                  </w:r>
                </w:p>
              </w:tc>
              <w:tc>
                <w:tcPr>
                  <w:tcW w:w="664" w:type="dxa"/>
                  <w:vAlign w:val="center"/>
                </w:tcPr>
                <w:p w14:paraId="344D78C9">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c>
                <w:tcPr>
                  <w:tcW w:w="759" w:type="dxa"/>
                  <w:shd w:val="clear" w:color="auto" w:fill="auto"/>
                  <w:vAlign w:val="center"/>
                </w:tcPr>
                <w:p w14:paraId="2003C861">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r>
            <w:tr w14:paraId="1857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62" w:type="dxa"/>
                  <w:vMerge w:val="continue"/>
                  <w:vAlign w:val="center"/>
                </w:tcPr>
                <w:p w14:paraId="33E86D10">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1051" w:type="dxa"/>
                  <w:vMerge w:val="continue"/>
                  <w:vAlign w:val="center"/>
                </w:tcPr>
                <w:p w14:paraId="66EB4242">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731" w:type="dxa"/>
                  <w:vMerge w:val="continue"/>
                  <w:vAlign w:val="center"/>
                </w:tcPr>
                <w:p w14:paraId="36956E82">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3697AB9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不合格产品（S</w:t>
                  </w:r>
                  <w:r>
                    <w:rPr>
                      <w:rFonts w:hint="eastAsia" w:cs="Times New Roman"/>
                      <w:bCs/>
                      <w:color w:val="auto"/>
                      <w:szCs w:val="21"/>
                      <w:lang w:val="en-US" w:eastAsia="zh-CN"/>
                    </w:rPr>
                    <w:t>8</w:t>
                  </w:r>
                  <w:r>
                    <w:rPr>
                      <w:rFonts w:hint="eastAsia" w:ascii="Times New Roman" w:hAnsi="Times New Roman" w:eastAsia="宋体" w:cs="Times New Roman"/>
                      <w:bCs/>
                      <w:color w:val="auto"/>
                      <w:szCs w:val="21"/>
                      <w:lang w:val="en-US" w:eastAsia="zh-CN"/>
                    </w:rPr>
                    <w:t>）</w:t>
                  </w:r>
                </w:p>
              </w:tc>
              <w:tc>
                <w:tcPr>
                  <w:tcW w:w="3760" w:type="dxa"/>
                  <w:shd w:val="clear" w:color="auto" w:fill="auto"/>
                  <w:vAlign w:val="center"/>
                </w:tcPr>
                <w:p w14:paraId="45599843">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检验不合格的产品，收集后</w:t>
                  </w:r>
                  <w:r>
                    <w:rPr>
                      <w:rFonts w:hint="eastAsia"/>
                      <w:bCs/>
                      <w:color w:val="auto"/>
                      <w:szCs w:val="21"/>
                    </w:rPr>
                    <w:t>暂存</w:t>
                  </w:r>
                  <w:r>
                    <w:rPr>
                      <w:rFonts w:hint="eastAsia"/>
                      <w:bCs/>
                      <w:color w:val="auto"/>
                      <w:szCs w:val="21"/>
                      <w:lang w:val="en-US" w:eastAsia="zh-CN"/>
                    </w:rPr>
                    <w:t>25m</w:t>
                  </w:r>
                  <w:r>
                    <w:rPr>
                      <w:rFonts w:hint="eastAsia"/>
                      <w:bCs/>
                      <w:color w:val="auto"/>
                      <w:szCs w:val="21"/>
                      <w:vertAlign w:val="superscript"/>
                      <w:lang w:val="en-US" w:eastAsia="zh-CN"/>
                    </w:rPr>
                    <w:t>2</w:t>
                  </w:r>
                  <w:r>
                    <w:rPr>
                      <w:rFonts w:hint="eastAsia"/>
                      <w:bCs/>
                      <w:color w:val="auto"/>
                      <w:szCs w:val="21"/>
                    </w:rPr>
                    <w:t>一般固体废物暂存间，交由一般固废处置单位处置。</w:t>
                  </w:r>
                </w:p>
              </w:tc>
              <w:tc>
                <w:tcPr>
                  <w:tcW w:w="664" w:type="dxa"/>
                  <w:vAlign w:val="center"/>
                </w:tcPr>
                <w:p w14:paraId="74B996CB">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3</w:t>
                  </w:r>
                </w:p>
              </w:tc>
              <w:tc>
                <w:tcPr>
                  <w:tcW w:w="759" w:type="dxa"/>
                  <w:shd w:val="clear" w:color="auto" w:fill="auto"/>
                  <w:vAlign w:val="center"/>
                </w:tcPr>
                <w:p w14:paraId="64E70844">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3</w:t>
                  </w:r>
                </w:p>
              </w:tc>
            </w:tr>
            <w:tr w14:paraId="0E19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62" w:type="dxa"/>
                  <w:vMerge w:val="continue"/>
                  <w:vAlign w:val="center"/>
                </w:tcPr>
                <w:p w14:paraId="7E51EC11">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1051" w:type="dxa"/>
                  <w:vMerge w:val="continue"/>
                  <w:vAlign w:val="center"/>
                </w:tcPr>
                <w:p w14:paraId="5B68AC83">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731" w:type="dxa"/>
                  <w:vMerge w:val="continue"/>
                  <w:vAlign w:val="center"/>
                </w:tcPr>
                <w:p w14:paraId="7A512E4F">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2B44F25C">
                  <w:pPr>
                    <w:widowControl/>
                    <w:jc w:val="center"/>
                    <w:textAlignment w:val="center"/>
                    <w:rPr>
                      <w:rFonts w:hint="eastAsia"/>
                      <w:color w:val="auto"/>
                      <w:kern w:val="0"/>
                      <w:szCs w:val="21"/>
                      <w:lang w:bidi="ar"/>
                    </w:rPr>
                  </w:pPr>
                  <w:r>
                    <w:rPr>
                      <w:rFonts w:hint="eastAsia"/>
                      <w:color w:val="auto"/>
                      <w:kern w:val="0"/>
                      <w:szCs w:val="21"/>
                      <w:lang w:bidi="ar"/>
                    </w:rPr>
                    <w:t>生活</w:t>
                  </w:r>
                </w:p>
                <w:p w14:paraId="3B158945">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垃圾</w:t>
                  </w:r>
                  <w:r>
                    <w:rPr>
                      <w:rFonts w:hint="eastAsia"/>
                      <w:color w:val="auto"/>
                      <w:kern w:val="0"/>
                      <w:szCs w:val="21"/>
                      <w:lang w:eastAsia="zh-CN" w:bidi="ar"/>
                    </w:rPr>
                    <w:t>（</w:t>
                  </w:r>
                  <w:r>
                    <w:rPr>
                      <w:rFonts w:hint="eastAsia"/>
                      <w:color w:val="auto"/>
                      <w:kern w:val="0"/>
                      <w:szCs w:val="21"/>
                      <w:lang w:val="en-US" w:eastAsia="zh-CN" w:bidi="ar"/>
                    </w:rPr>
                    <w:t>S10</w:t>
                  </w:r>
                  <w:r>
                    <w:rPr>
                      <w:rFonts w:hint="eastAsia"/>
                      <w:color w:val="auto"/>
                      <w:kern w:val="0"/>
                      <w:szCs w:val="21"/>
                      <w:lang w:eastAsia="zh-CN" w:bidi="ar"/>
                    </w:rPr>
                    <w:t>）</w:t>
                  </w:r>
                </w:p>
              </w:tc>
              <w:tc>
                <w:tcPr>
                  <w:tcW w:w="3760" w:type="dxa"/>
                  <w:shd w:val="clear" w:color="auto" w:fill="auto"/>
                  <w:vAlign w:val="center"/>
                </w:tcPr>
                <w:p w14:paraId="6329F773">
                  <w:pPr>
                    <w:widowControl/>
                    <w:jc w:val="center"/>
                    <w:textAlignment w:val="center"/>
                    <w:rPr>
                      <w:rFonts w:hint="eastAsia" w:ascii="Times New Roman" w:hAnsi="Times New Roman" w:eastAsia="宋体" w:cs="Times New Roman"/>
                      <w:color w:val="auto"/>
                      <w:kern w:val="0"/>
                      <w:sz w:val="21"/>
                      <w:szCs w:val="21"/>
                      <w:lang w:val="en-US" w:eastAsia="zh-CN" w:bidi="ar"/>
                    </w:rPr>
                  </w:pPr>
                  <w:r>
                    <w:rPr>
                      <w:bCs/>
                      <w:color w:val="auto"/>
                      <w:szCs w:val="21"/>
                    </w:rPr>
                    <w:t>办公区收集设施集中收集，生活垃圾由园区环卫部门统一处理。</w:t>
                  </w:r>
                </w:p>
              </w:tc>
              <w:tc>
                <w:tcPr>
                  <w:tcW w:w="664" w:type="dxa"/>
                  <w:vAlign w:val="center"/>
                </w:tcPr>
                <w:p w14:paraId="60696CF4">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w:t>
                  </w:r>
                </w:p>
              </w:tc>
              <w:tc>
                <w:tcPr>
                  <w:tcW w:w="759" w:type="dxa"/>
                  <w:shd w:val="clear" w:color="auto" w:fill="auto"/>
                  <w:vAlign w:val="center"/>
                </w:tcPr>
                <w:p w14:paraId="2C594978">
                  <w:pPr>
                    <w:pStyle w:val="19"/>
                    <w:spacing w:before="0" w:beforeAutospacing="0" w:after="0" w:afterAutospacing="0"/>
                    <w:jc w:val="center"/>
                    <w:outlineLvl w:val="0"/>
                    <w:rPr>
                      <w:rFonts w:hint="default"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0.7</w:t>
                  </w:r>
                </w:p>
              </w:tc>
            </w:tr>
            <w:tr w14:paraId="25AE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462" w:type="dxa"/>
                  <w:vMerge w:val="continue"/>
                  <w:vAlign w:val="center"/>
                </w:tcPr>
                <w:p w14:paraId="2E067ED4">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4F746C4D">
                  <w:pPr>
                    <w:pStyle w:val="19"/>
                    <w:spacing w:before="0" w:beforeAutospacing="0" w:after="0" w:afterAutospacing="0"/>
                    <w:jc w:val="center"/>
                    <w:outlineLvl w:val="0"/>
                    <w:rPr>
                      <w:rFonts w:ascii="Times New Roman" w:hAnsi="Times New Roman"/>
                      <w:snapToGrid w:val="0"/>
                      <w:color w:val="auto"/>
                      <w:sz w:val="21"/>
                      <w:szCs w:val="21"/>
                    </w:rPr>
                  </w:pPr>
                </w:p>
              </w:tc>
              <w:tc>
                <w:tcPr>
                  <w:tcW w:w="731" w:type="dxa"/>
                  <w:vMerge w:val="restart"/>
                  <w:vAlign w:val="center"/>
                </w:tcPr>
                <w:p w14:paraId="0DDDACB2">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snapToGrid w:val="0"/>
                      <w:color w:val="auto"/>
                      <w:sz w:val="21"/>
                      <w:szCs w:val="21"/>
                    </w:rPr>
                    <w:t>危险废物</w:t>
                  </w:r>
                </w:p>
              </w:tc>
              <w:tc>
                <w:tcPr>
                  <w:tcW w:w="979" w:type="dxa"/>
                  <w:shd w:val="clear" w:color="auto" w:fill="auto"/>
                  <w:vAlign w:val="center"/>
                </w:tcPr>
                <w:p w14:paraId="7D387F6D">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废包装桶（S1）</w:t>
                  </w:r>
                </w:p>
              </w:tc>
              <w:tc>
                <w:tcPr>
                  <w:tcW w:w="3760" w:type="dxa"/>
                  <w:shd w:val="clear" w:color="auto" w:fill="auto"/>
                  <w:vAlign w:val="center"/>
                </w:tcPr>
                <w:p w14:paraId="51A28283">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无溶剂改性环氧树脂、改性液体酸酐固化剂、环氧粉末包装桶，暂存</w:t>
                  </w:r>
                  <w:r>
                    <w:rPr>
                      <w:rFonts w:hint="eastAsia"/>
                      <w:color w:val="auto"/>
                      <w:kern w:val="0"/>
                      <w:sz w:val="21"/>
                      <w:szCs w:val="21"/>
                      <w:lang w:val="en-US" w:eastAsia="zh-CN" w:bidi="ar"/>
                    </w:rPr>
                    <w:t>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bCs/>
                      <w:color w:val="auto"/>
                      <w:szCs w:val="21"/>
                      <w:lang w:val="en-US" w:eastAsia="zh-CN"/>
                    </w:rPr>
                    <w:t>危废暂存间，</w:t>
                  </w:r>
                  <w:r>
                    <w:rPr>
                      <w:rFonts w:hint="eastAsia"/>
                      <w:bCs/>
                      <w:color w:val="auto"/>
                      <w:szCs w:val="21"/>
                      <w:lang w:eastAsia="zh-CN"/>
                    </w:rPr>
                    <w:t>定期委托有资质单位处理</w:t>
                  </w:r>
                  <w:r>
                    <w:rPr>
                      <w:bCs/>
                      <w:color w:val="auto"/>
                      <w:szCs w:val="21"/>
                    </w:rPr>
                    <w:t>。</w:t>
                  </w:r>
                </w:p>
              </w:tc>
              <w:tc>
                <w:tcPr>
                  <w:tcW w:w="664" w:type="dxa"/>
                  <w:vAlign w:val="center"/>
                </w:tcPr>
                <w:p w14:paraId="5BFE1D7E">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5</w:t>
                  </w:r>
                </w:p>
              </w:tc>
              <w:tc>
                <w:tcPr>
                  <w:tcW w:w="759" w:type="dxa"/>
                  <w:shd w:val="clear" w:color="auto" w:fill="auto"/>
                  <w:vAlign w:val="center"/>
                </w:tcPr>
                <w:p w14:paraId="7869A707">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5</w:t>
                  </w:r>
                </w:p>
              </w:tc>
            </w:tr>
            <w:tr w14:paraId="50B1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62" w:type="dxa"/>
                  <w:vMerge w:val="continue"/>
                  <w:vAlign w:val="center"/>
                </w:tcPr>
                <w:p w14:paraId="0B4A8871">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2AE2A4C4">
                  <w:pPr>
                    <w:pStyle w:val="19"/>
                    <w:spacing w:before="0" w:beforeAutospacing="0" w:after="0" w:afterAutospacing="0"/>
                    <w:jc w:val="center"/>
                    <w:outlineLvl w:val="0"/>
                    <w:rPr>
                      <w:rFonts w:ascii="Times New Roman" w:hAnsi="Times New Roman"/>
                      <w:snapToGrid w:val="0"/>
                      <w:color w:val="auto"/>
                      <w:sz w:val="21"/>
                      <w:szCs w:val="21"/>
                    </w:rPr>
                  </w:pPr>
                </w:p>
              </w:tc>
              <w:tc>
                <w:tcPr>
                  <w:tcW w:w="731" w:type="dxa"/>
                  <w:vMerge w:val="continue"/>
                  <w:vAlign w:val="center"/>
                </w:tcPr>
                <w:p w14:paraId="785AD2CC">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27D1D3BB">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废活性炭（S</w:t>
                  </w:r>
                  <w:r>
                    <w:rPr>
                      <w:rFonts w:hint="eastAsia" w:cs="Times New Roman"/>
                      <w:bCs/>
                      <w:color w:val="auto"/>
                      <w:szCs w:val="21"/>
                      <w:lang w:val="en-US" w:eastAsia="zh-CN"/>
                    </w:rPr>
                    <w:t>2</w:t>
                  </w:r>
                  <w:r>
                    <w:rPr>
                      <w:rFonts w:hint="eastAsia" w:ascii="Times New Roman" w:hAnsi="Times New Roman" w:eastAsia="宋体" w:cs="Times New Roman"/>
                      <w:bCs/>
                      <w:color w:val="auto"/>
                      <w:szCs w:val="21"/>
                      <w:lang w:val="en-US" w:eastAsia="zh-CN"/>
                    </w:rPr>
                    <w:t>）</w:t>
                  </w:r>
                </w:p>
              </w:tc>
              <w:tc>
                <w:tcPr>
                  <w:tcW w:w="3760" w:type="dxa"/>
                  <w:shd w:val="clear" w:color="auto" w:fill="auto"/>
                  <w:vAlign w:val="center"/>
                </w:tcPr>
                <w:p w14:paraId="36537BB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玻璃纤维缠绕，成型后管道固化工序的活性炭，暂存</w:t>
                  </w:r>
                  <w:r>
                    <w:rPr>
                      <w:rFonts w:hint="eastAsia"/>
                      <w:color w:val="auto"/>
                      <w:kern w:val="0"/>
                      <w:sz w:val="21"/>
                      <w:szCs w:val="21"/>
                      <w:lang w:val="en-US" w:eastAsia="zh-CN" w:bidi="ar"/>
                    </w:rPr>
                    <w:t>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bCs/>
                      <w:color w:val="auto"/>
                      <w:szCs w:val="21"/>
                      <w:lang w:val="en-US" w:eastAsia="zh-CN"/>
                    </w:rPr>
                    <w:t>危废暂存间，</w:t>
                  </w:r>
                  <w:r>
                    <w:rPr>
                      <w:rFonts w:hint="eastAsia"/>
                      <w:bCs/>
                      <w:color w:val="auto"/>
                      <w:szCs w:val="21"/>
                      <w:lang w:eastAsia="zh-CN"/>
                    </w:rPr>
                    <w:t>定期委托有资质单位处理</w:t>
                  </w:r>
                  <w:r>
                    <w:rPr>
                      <w:bCs/>
                      <w:color w:val="auto"/>
                      <w:szCs w:val="21"/>
                    </w:rPr>
                    <w:t>。</w:t>
                  </w:r>
                </w:p>
              </w:tc>
              <w:tc>
                <w:tcPr>
                  <w:tcW w:w="664" w:type="dxa"/>
                  <w:vAlign w:val="center"/>
                </w:tcPr>
                <w:p w14:paraId="25A96F3E">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3</w:t>
                  </w:r>
                </w:p>
              </w:tc>
              <w:tc>
                <w:tcPr>
                  <w:tcW w:w="759" w:type="dxa"/>
                  <w:shd w:val="clear" w:color="auto" w:fill="auto"/>
                  <w:vAlign w:val="center"/>
                </w:tcPr>
                <w:p w14:paraId="6A53C8BF">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3</w:t>
                  </w:r>
                </w:p>
              </w:tc>
            </w:tr>
            <w:tr w14:paraId="2954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462" w:type="dxa"/>
                  <w:vMerge w:val="continue"/>
                  <w:vAlign w:val="center"/>
                </w:tcPr>
                <w:p w14:paraId="61004B13">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3877C4EF">
                  <w:pPr>
                    <w:pStyle w:val="19"/>
                    <w:spacing w:before="0" w:beforeAutospacing="0" w:after="0" w:afterAutospacing="0"/>
                    <w:jc w:val="center"/>
                    <w:outlineLvl w:val="0"/>
                    <w:rPr>
                      <w:rFonts w:ascii="Times New Roman" w:hAnsi="Times New Roman"/>
                      <w:snapToGrid w:val="0"/>
                      <w:color w:val="auto"/>
                      <w:sz w:val="21"/>
                      <w:szCs w:val="21"/>
                    </w:rPr>
                  </w:pPr>
                </w:p>
              </w:tc>
              <w:tc>
                <w:tcPr>
                  <w:tcW w:w="731" w:type="dxa"/>
                  <w:vMerge w:val="continue"/>
                  <w:vAlign w:val="center"/>
                </w:tcPr>
                <w:p w14:paraId="2AEB4973">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5BEC1EF9">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eastAsia="宋体" w:cs="Times New Roman"/>
                      <w:bCs/>
                      <w:color w:val="auto"/>
                      <w:szCs w:val="21"/>
                      <w:lang w:eastAsia="zh-CN"/>
                    </w:rPr>
                    <w:t>（</w:t>
                  </w:r>
                  <w:r>
                    <w:rPr>
                      <w:rFonts w:ascii="Times New Roman" w:hAnsi="Times New Roman" w:eastAsia="宋体" w:cs="Times New Roman"/>
                      <w:bCs/>
                      <w:color w:val="auto"/>
                      <w:szCs w:val="21"/>
                    </w:rPr>
                    <w:t>S</w:t>
                  </w:r>
                  <w:r>
                    <w:rPr>
                      <w:rFonts w:hint="eastAsia" w:ascii="Times New Roman" w:hAnsi="Times New Roman" w:eastAsia="宋体" w:cs="Times New Roman"/>
                      <w:bCs/>
                      <w:color w:val="auto"/>
                      <w:szCs w:val="21"/>
                      <w:lang w:val="en-US" w:eastAsia="zh-CN"/>
                    </w:rPr>
                    <w:t>3</w:t>
                  </w:r>
                  <w:r>
                    <w:rPr>
                      <w:rFonts w:hint="eastAsia" w:ascii="Times New Roman" w:hAnsi="Times New Roman" w:eastAsia="宋体" w:cs="Times New Roman"/>
                      <w:bCs/>
                      <w:color w:val="auto"/>
                      <w:szCs w:val="21"/>
                      <w:lang w:eastAsia="zh-CN"/>
                    </w:rPr>
                    <w:t>）</w:t>
                  </w:r>
                </w:p>
              </w:tc>
              <w:tc>
                <w:tcPr>
                  <w:tcW w:w="3760" w:type="dxa"/>
                  <w:shd w:val="clear" w:color="auto" w:fill="auto"/>
                  <w:vAlign w:val="center"/>
                </w:tcPr>
                <w:p w14:paraId="39702D20">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缠绕编织工序产生的</w:t>
                  </w:r>
                  <w:r>
                    <w:rPr>
                      <w:rFonts w:hint="eastAsia" w:ascii="Times New Roman" w:hAnsi="Times New Roman" w:eastAsia="宋体" w:cs="Times New Roman"/>
                      <w:bCs/>
                      <w:color w:val="auto"/>
                      <w:szCs w:val="21"/>
                      <w:lang w:val="en-US" w:eastAsia="zh-CN"/>
                    </w:rPr>
                    <w:t>沾染树脂的手套及玻璃纤维</w:t>
                  </w:r>
                  <w:r>
                    <w:rPr>
                      <w:rFonts w:hint="eastAsia" w:ascii="Times New Roman" w:hAnsi="Times New Roman" w:eastAsia="宋体" w:cs="Times New Roman"/>
                      <w:bCs/>
                      <w:color w:val="auto"/>
                      <w:szCs w:val="21"/>
                      <w:lang w:eastAsia="zh-CN"/>
                    </w:rPr>
                    <w:t>，</w:t>
                  </w:r>
                  <w:r>
                    <w:rPr>
                      <w:rFonts w:hint="eastAsia"/>
                      <w:bCs/>
                      <w:color w:val="auto"/>
                      <w:szCs w:val="21"/>
                      <w:lang w:val="en-US" w:eastAsia="zh-CN"/>
                    </w:rPr>
                    <w:t>暂存</w:t>
                  </w:r>
                  <w:r>
                    <w:rPr>
                      <w:rFonts w:hint="eastAsia"/>
                      <w:color w:val="auto"/>
                      <w:kern w:val="0"/>
                      <w:sz w:val="21"/>
                      <w:szCs w:val="21"/>
                      <w:lang w:val="en-US" w:eastAsia="zh-CN" w:bidi="ar"/>
                    </w:rPr>
                    <w:t>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bCs/>
                      <w:color w:val="auto"/>
                      <w:szCs w:val="21"/>
                      <w:lang w:val="en-US" w:eastAsia="zh-CN"/>
                    </w:rPr>
                    <w:t>危废暂存间，</w:t>
                  </w:r>
                  <w:r>
                    <w:rPr>
                      <w:rFonts w:hint="eastAsia"/>
                      <w:bCs/>
                      <w:color w:val="auto"/>
                      <w:szCs w:val="21"/>
                      <w:lang w:eastAsia="zh-CN"/>
                    </w:rPr>
                    <w:t>定期委托有资质单位处理</w:t>
                  </w:r>
                  <w:r>
                    <w:rPr>
                      <w:bCs/>
                      <w:color w:val="auto"/>
                      <w:szCs w:val="21"/>
                    </w:rPr>
                    <w:t>。</w:t>
                  </w:r>
                </w:p>
              </w:tc>
              <w:tc>
                <w:tcPr>
                  <w:tcW w:w="664" w:type="dxa"/>
                  <w:vAlign w:val="center"/>
                </w:tcPr>
                <w:p w14:paraId="338A78E3">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w:t>
                  </w:r>
                </w:p>
              </w:tc>
              <w:tc>
                <w:tcPr>
                  <w:tcW w:w="759" w:type="dxa"/>
                  <w:shd w:val="clear" w:color="auto" w:fill="auto"/>
                  <w:vAlign w:val="center"/>
                </w:tcPr>
                <w:p w14:paraId="20E8A944">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1</w:t>
                  </w:r>
                </w:p>
              </w:tc>
            </w:tr>
            <w:tr w14:paraId="74D0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462" w:type="dxa"/>
                  <w:vMerge w:val="continue"/>
                  <w:vAlign w:val="center"/>
                </w:tcPr>
                <w:p w14:paraId="193337BC">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3544A80F">
                  <w:pPr>
                    <w:pStyle w:val="19"/>
                    <w:spacing w:before="0" w:beforeAutospacing="0" w:after="0" w:afterAutospacing="0"/>
                    <w:jc w:val="center"/>
                    <w:outlineLvl w:val="0"/>
                    <w:rPr>
                      <w:rFonts w:ascii="Times New Roman" w:hAnsi="Times New Roman"/>
                      <w:snapToGrid w:val="0"/>
                      <w:color w:val="auto"/>
                      <w:sz w:val="21"/>
                      <w:szCs w:val="21"/>
                    </w:rPr>
                  </w:pPr>
                </w:p>
              </w:tc>
              <w:tc>
                <w:tcPr>
                  <w:tcW w:w="731" w:type="dxa"/>
                  <w:vMerge w:val="continue"/>
                  <w:vAlign w:val="center"/>
                </w:tcPr>
                <w:p w14:paraId="5EC6162F">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411243E2">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废活性炭（S</w:t>
                  </w:r>
                  <w:r>
                    <w:rPr>
                      <w:rFonts w:hint="eastAsia" w:cs="Times New Roman"/>
                      <w:bCs/>
                      <w:color w:val="auto"/>
                      <w:szCs w:val="21"/>
                      <w:lang w:val="en-US" w:eastAsia="zh-CN"/>
                    </w:rPr>
                    <w:t>7</w:t>
                  </w:r>
                  <w:r>
                    <w:rPr>
                      <w:rFonts w:hint="eastAsia" w:ascii="Times New Roman" w:hAnsi="Times New Roman" w:eastAsia="宋体" w:cs="Times New Roman"/>
                      <w:bCs/>
                      <w:color w:val="auto"/>
                      <w:szCs w:val="21"/>
                      <w:lang w:val="en-US" w:eastAsia="zh-CN"/>
                    </w:rPr>
                    <w:t>）</w:t>
                  </w:r>
                </w:p>
              </w:tc>
              <w:tc>
                <w:tcPr>
                  <w:tcW w:w="3760" w:type="dxa"/>
                  <w:shd w:val="clear" w:color="auto" w:fill="auto"/>
                  <w:vAlign w:val="center"/>
                </w:tcPr>
                <w:p w14:paraId="60ADDBE5">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静电喷涂设备内自带的</w:t>
                  </w:r>
                  <w:r>
                    <w:rPr>
                      <w:color w:val="auto"/>
                      <w:spacing w:val="7"/>
                      <w:sz w:val="20"/>
                      <w:szCs w:val="20"/>
                    </w:rPr>
                    <w:t>废气处理装置</w:t>
                  </w:r>
                  <w:r>
                    <w:rPr>
                      <w:rFonts w:hint="eastAsia"/>
                      <w:color w:val="auto"/>
                      <w:spacing w:val="7"/>
                      <w:sz w:val="20"/>
                      <w:szCs w:val="20"/>
                      <w:lang w:val="en-US" w:eastAsia="zh-CN"/>
                    </w:rPr>
                    <w:t>产生的</w:t>
                  </w:r>
                  <w:r>
                    <w:rPr>
                      <w:rFonts w:hint="eastAsia" w:ascii="Times New Roman" w:hAnsi="Times New Roman" w:eastAsia="宋体" w:cs="Times New Roman"/>
                      <w:bCs/>
                      <w:color w:val="auto"/>
                      <w:szCs w:val="21"/>
                      <w:lang w:val="en-US" w:eastAsia="zh-CN"/>
                    </w:rPr>
                    <w:t>废活性炭，</w:t>
                  </w:r>
                  <w:r>
                    <w:rPr>
                      <w:rFonts w:hint="eastAsia"/>
                      <w:bCs/>
                      <w:color w:val="auto"/>
                      <w:szCs w:val="21"/>
                      <w:lang w:val="en-US" w:eastAsia="zh-CN"/>
                    </w:rPr>
                    <w:t>暂存</w:t>
                  </w:r>
                  <w:r>
                    <w:rPr>
                      <w:rFonts w:hint="eastAsia"/>
                      <w:color w:val="auto"/>
                      <w:kern w:val="0"/>
                      <w:sz w:val="21"/>
                      <w:szCs w:val="21"/>
                      <w:lang w:val="en-US" w:eastAsia="zh-CN" w:bidi="ar"/>
                    </w:rPr>
                    <w:t>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bCs/>
                      <w:color w:val="auto"/>
                      <w:szCs w:val="21"/>
                      <w:lang w:val="en-US" w:eastAsia="zh-CN"/>
                    </w:rPr>
                    <w:t>危废暂存间，</w:t>
                  </w:r>
                  <w:r>
                    <w:rPr>
                      <w:rFonts w:hint="eastAsia"/>
                      <w:bCs/>
                      <w:color w:val="auto"/>
                      <w:szCs w:val="21"/>
                      <w:lang w:eastAsia="zh-CN"/>
                    </w:rPr>
                    <w:t>定期委托有资质单位处理</w:t>
                  </w:r>
                  <w:r>
                    <w:rPr>
                      <w:bCs/>
                      <w:color w:val="auto"/>
                      <w:szCs w:val="21"/>
                    </w:rPr>
                    <w:t>。</w:t>
                  </w:r>
                </w:p>
              </w:tc>
              <w:tc>
                <w:tcPr>
                  <w:tcW w:w="664" w:type="dxa"/>
                  <w:vAlign w:val="center"/>
                </w:tcPr>
                <w:p w14:paraId="4B3AEBEF">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3</w:t>
                  </w:r>
                </w:p>
              </w:tc>
              <w:tc>
                <w:tcPr>
                  <w:tcW w:w="759" w:type="dxa"/>
                  <w:shd w:val="clear" w:color="auto" w:fill="auto"/>
                  <w:vAlign w:val="center"/>
                </w:tcPr>
                <w:p w14:paraId="273DB99B">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3</w:t>
                  </w:r>
                </w:p>
              </w:tc>
            </w:tr>
            <w:tr w14:paraId="24CB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462" w:type="dxa"/>
                  <w:vMerge w:val="continue"/>
                  <w:vAlign w:val="center"/>
                </w:tcPr>
                <w:p w14:paraId="5A1C8373">
                  <w:pPr>
                    <w:pStyle w:val="19"/>
                    <w:spacing w:before="0" w:beforeAutospacing="0" w:after="0" w:afterAutospacing="0"/>
                    <w:jc w:val="center"/>
                    <w:outlineLvl w:val="0"/>
                    <w:rPr>
                      <w:rFonts w:ascii="Times New Roman" w:hAnsi="Times New Roman"/>
                      <w:snapToGrid w:val="0"/>
                      <w:color w:val="auto"/>
                      <w:sz w:val="21"/>
                      <w:szCs w:val="21"/>
                    </w:rPr>
                  </w:pPr>
                </w:p>
              </w:tc>
              <w:tc>
                <w:tcPr>
                  <w:tcW w:w="1051" w:type="dxa"/>
                  <w:vMerge w:val="continue"/>
                  <w:vAlign w:val="center"/>
                </w:tcPr>
                <w:p w14:paraId="3EB42F2E">
                  <w:pPr>
                    <w:pStyle w:val="19"/>
                    <w:spacing w:before="0" w:beforeAutospacing="0" w:after="0" w:afterAutospacing="0"/>
                    <w:jc w:val="center"/>
                    <w:outlineLvl w:val="0"/>
                    <w:rPr>
                      <w:rFonts w:ascii="Times New Roman" w:hAnsi="Times New Roman"/>
                      <w:snapToGrid w:val="0"/>
                      <w:color w:val="auto"/>
                      <w:sz w:val="21"/>
                      <w:szCs w:val="21"/>
                    </w:rPr>
                  </w:pPr>
                </w:p>
              </w:tc>
              <w:tc>
                <w:tcPr>
                  <w:tcW w:w="731" w:type="dxa"/>
                  <w:vMerge w:val="continue"/>
                  <w:vAlign w:val="center"/>
                </w:tcPr>
                <w:p w14:paraId="686E7E6E">
                  <w:pPr>
                    <w:pStyle w:val="19"/>
                    <w:spacing w:before="0" w:beforeAutospacing="0" w:after="0" w:afterAutospacing="0"/>
                    <w:jc w:val="center"/>
                    <w:outlineLvl w:val="0"/>
                    <w:rPr>
                      <w:rFonts w:hint="eastAsia" w:ascii="Times New Roman" w:hAnsi="Times New Roman"/>
                      <w:snapToGrid w:val="0"/>
                      <w:color w:val="auto"/>
                      <w:sz w:val="21"/>
                      <w:szCs w:val="21"/>
                    </w:rPr>
                  </w:pPr>
                </w:p>
              </w:tc>
              <w:tc>
                <w:tcPr>
                  <w:tcW w:w="979" w:type="dxa"/>
                  <w:shd w:val="clear" w:color="auto" w:fill="auto"/>
                  <w:vAlign w:val="center"/>
                </w:tcPr>
                <w:p w14:paraId="06F5F0CC">
                  <w:pPr>
                    <w:widowControl/>
                    <w:jc w:val="center"/>
                    <w:textAlignment w:val="center"/>
                    <w:rPr>
                      <w:rFonts w:hint="eastAsia"/>
                      <w:color w:val="auto"/>
                      <w:kern w:val="0"/>
                      <w:szCs w:val="21"/>
                      <w:lang w:bidi="ar"/>
                    </w:rPr>
                  </w:pPr>
                  <w:r>
                    <w:rPr>
                      <w:rFonts w:hint="eastAsia"/>
                      <w:color w:val="auto"/>
                      <w:kern w:val="0"/>
                      <w:szCs w:val="21"/>
                      <w:lang w:bidi="ar"/>
                    </w:rPr>
                    <w:t>废润</w:t>
                  </w:r>
                </w:p>
                <w:p w14:paraId="778459AE">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滑油</w:t>
                  </w:r>
                  <w:r>
                    <w:rPr>
                      <w:rFonts w:hint="eastAsia"/>
                      <w:color w:val="auto"/>
                      <w:kern w:val="0"/>
                      <w:szCs w:val="21"/>
                      <w:lang w:eastAsia="zh-CN" w:bidi="ar"/>
                    </w:rPr>
                    <w:t>（</w:t>
                  </w:r>
                  <w:r>
                    <w:rPr>
                      <w:rFonts w:hint="eastAsia"/>
                      <w:color w:val="auto"/>
                      <w:kern w:val="0"/>
                      <w:szCs w:val="21"/>
                      <w:lang w:val="en-US" w:eastAsia="zh-CN" w:bidi="ar"/>
                    </w:rPr>
                    <w:t>S9</w:t>
                  </w:r>
                  <w:r>
                    <w:rPr>
                      <w:rFonts w:hint="eastAsia"/>
                      <w:color w:val="auto"/>
                      <w:kern w:val="0"/>
                      <w:szCs w:val="21"/>
                      <w:lang w:eastAsia="zh-CN" w:bidi="ar"/>
                    </w:rPr>
                    <w:t>）</w:t>
                  </w:r>
                </w:p>
              </w:tc>
              <w:tc>
                <w:tcPr>
                  <w:tcW w:w="3760" w:type="dxa"/>
                  <w:shd w:val="clear" w:color="auto" w:fill="auto"/>
                  <w:vAlign w:val="center"/>
                </w:tcPr>
                <w:p w14:paraId="38226E6B">
                  <w:pPr>
                    <w:snapToGrid w:val="0"/>
                    <w:jc w:val="center"/>
                    <w:rPr>
                      <w:rFonts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暂存</w:t>
                  </w:r>
                  <w:r>
                    <w:rPr>
                      <w:rFonts w:hint="eastAsia"/>
                      <w:color w:val="auto"/>
                      <w:kern w:val="0"/>
                      <w:sz w:val="21"/>
                      <w:szCs w:val="21"/>
                      <w:lang w:val="en-US" w:eastAsia="zh-CN" w:bidi="ar"/>
                    </w:rPr>
                    <w:t>70</w:t>
                  </w:r>
                  <w:r>
                    <w:rPr>
                      <w:rFonts w:hint="eastAsia"/>
                      <w:color w:val="auto"/>
                      <w:kern w:val="0"/>
                      <w:sz w:val="21"/>
                      <w:szCs w:val="21"/>
                      <w:lang w:bidi="ar"/>
                    </w:rPr>
                    <w:t>m</w:t>
                  </w:r>
                  <w:r>
                    <w:rPr>
                      <w:rFonts w:hint="eastAsia"/>
                      <w:color w:val="auto"/>
                      <w:kern w:val="0"/>
                      <w:sz w:val="21"/>
                      <w:szCs w:val="21"/>
                      <w:vertAlign w:val="superscript"/>
                      <w:lang w:bidi="ar"/>
                    </w:rPr>
                    <w:t>2</w:t>
                  </w:r>
                  <w:r>
                    <w:rPr>
                      <w:rFonts w:hint="eastAsia"/>
                      <w:bCs/>
                      <w:color w:val="auto"/>
                      <w:szCs w:val="21"/>
                      <w:lang w:val="en-US" w:eastAsia="zh-CN"/>
                    </w:rPr>
                    <w:t>危废暂存间，</w:t>
                  </w:r>
                  <w:r>
                    <w:rPr>
                      <w:rFonts w:hint="eastAsia"/>
                      <w:bCs/>
                      <w:color w:val="auto"/>
                      <w:szCs w:val="21"/>
                      <w:lang w:eastAsia="zh-CN"/>
                    </w:rPr>
                    <w:t>定期委托有资质单位处理</w:t>
                  </w:r>
                  <w:r>
                    <w:rPr>
                      <w:bCs/>
                      <w:color w:val="auto"/>
                      <w:szCs w:val="21"/>
                    </w:rPr>
                    <w:t>。</w:t>
                  </w:r>
                </w:p>
              </w:tc>
              <w:tc>
                <w:tcPr>
                  <w:tcW w:w="664" w:type="dxa"/>
                  <w:vAlign w:val="center"/>
                </w:tcPr>
                <w:p w14:paraId="03A4B93E">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0.25</w:t>
                  </w:r>
                </w:p>
              </w:tc>
              <w:tc>
                <w:tcPr>
                  <w:tcW w:w="759" w:type="dxa"/>
                  <w:shd w:val="clear" w:color="auto" w:fill="auto"/>
                  <w:vAlign w:val="center"/>
                </w:tcPr>
                <w:p w14:paraId="13001F4B">
                  <w:pPr>
                    <w:pStyle w:val="19"/>
                    <w:spacing w:before="0" w:beforeAutospacing="0" w:after="0" w:afterAutospacing="0"/>
                    <w:jc w:val="center"/>
                    <w:outlineLvl w:val="0"/>
                    <w:rPr>
                      <w:rFonts w:hint="eastAsia" w:ascii="Times New Roman" w:hAnsi="Times New Roman" w:eastAsia="宋体" w:cs="Times New Roman"/>
                      <w:snapToGrid w:val="0"/>
                      <w:color w:val="auto"/>
                      <w:kern w:val="0"/>
                      <w:sz w:val="21"/>
                      <w:szCs w:val="21"/>
                      <w:lang w:val="en-US" w:eastAsia="zh-CN" w:bidi="ar-SA"/>
                    </w:rPr>
                  </w:pPr>
                  <w:r>
                    <w:rPr>
                      <w:rFonts w:hint="eastAsia" w:ascii="Times New Roman" w:hAnsi="Times New Roman"/>
                      <w:snapToGrid w:val="0"/>
                      <w:color w:val="auto"/>
                      <w:sz w:val="21"/>
                      <w:szCs w:val="21"/>
                      <w:lang w:val="en-US" w:eastAsia="zh-CN"/>
                    </w:rPr>
                    <w:t>0.15</w:t>
                  </w:r>
                </w:p>
              </w:tc>
            </w:tr>
            <w:tr w14:paraId="403F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462" w:type="dxa"/>
                  <w:vAlign w:val="center"/>
                </w:tcPr>
                <w:p w14:paraId="292BCA95">
                  <w:pPr>
                    <w:pStyle w:val="19"/>
                    <w:spacing w:before="0" w:beforeAutospacing="0" w:after="0" w:afterAutospacing="0"/>
                    <w:jc w:val="center"/>
                    <w:outlineLvl w:val="0"/>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5</w:t>
                  </w:r>
                </w:p>
              </w:tc>
              <w:tc>
                <w:tcPr>
                  <w:tcW w:w="1051" w:type="dxa"/>
                  <w:vAlign w:val="center"/>
                </w:tcPr>
                <w:p w14:paraId="3B9190A1">
                  <w:pPr>
                    <w:pStyle w:val="19"/>
                    <w:spacing w:before="0" w:beforeAutospacing="0" w:after="0" w:afterAutospacing="0"/>
                    <w:jc w:val="center"/>
                    <w:outlineLvl w:val="0"/>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防渗</w:t>
                  </w:r>
                </w:p>
                <w:p w14:paraId="20133EBE">
                  <w:pPr>
                    <w:pStyle w:val="19"/>
                    <w:spacing w:before="0" w:beforeAutospacing="0" w:after="0" w:afterAutospacing="0"/>
                    <w:jc w:val="center"/>
                    <w:outlineLvl w:val="0"/>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措施</w:t>
                  </w:r>
                </w:p>
              </w:tc>
              <w:tc>
                <w:tcPr>
                  <w:tcW w:w="1710" w:type="dxa"/>
                  <w:gridSpan w:val="2"/>
                  <w:vAlign w:val="center"/>
                </w:tcPr>
                <w:p w14:paraId="07F2C388">
                  <w:pPr>
                    <w:pStyle w:val="19"/>
                    <w:spacing w:before="0" w:beforeAutospacing="0" w:after="0" w:afterAutospacing="0"/>
                    <w:jc w:val="center"/>
                    <w:outlineLvl w:val="0"/>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防渗</w:t>
                  </w:r>
                </w:p>
              </w:tc>
              <w:tc>
                <w:tcPr>
                  <w:tcW w:w="3760" w:type="dxa"/>
                  <w:vAlign w:val="center"/>
                </w:tcPr>
                <w:p w14:paraId="17D43CE8">
                  <w:pPr>
                    <w:widowControl/>
                    <w:jc w:val="center"/>
                    <w:textAlignment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危废暂存间</w:t>
                  </w:r>
                  <w:r>
                    <w:rPr>
                      <w:rFonts w:hint="eastAsia" w:cs="Times New Roman"/>
                      <w:bCs/>
                      <w:color w:val="auto"/>
                      <w:szCs w:val="21"/>
                      <w:lang w:val="en-US" w:eastAsia="zh-CN"/>
                    </w:rPr>
                    <w:t>为70m</w:t>
                  </w:r>
                  <w:r>
                    <w:rPr>
                      <w:rFonts w:hint="eastAsia" w:cs="Times New Roman"/>
                      <w:bCs/>
                      <w:color w:val="auto"/>
                      <w:szCs w:val="21"/>
                      <w:vertAlign w:val="superscript"/>
                      <w:lang w:val="en-US" w:eastAsia="zh-CN"/>
                    </w:rPr>
                    <w:t>2</w:t>
                  </w:r>
                  <w:r>
                    <w:rPr>
                      <w:rFonts w:hint="eastAsia" w:cs="Times New Roman"/>
                      <w:bCs/>
                      <w:color w:val="auto"/>
                      <w:szCs w:val="21"/>
                      <w:lang w:val="en-US" w:eastAsia="zh-CN"/>
                    </w:rPr>
                    <w:t>，是</w:t>
                  </w:r>
                  <w:r>
                    <w:rPr>
                      <w:rFonts w:hint="eastAsia" w:ascii="Times New Roman" w:hAnsi="Times New Roman" w:eastAsia="宋体" w:cs="Times New Roman"/>
                      <w:bCs/>
                      <w:color w:val="auto"/>
                      <w:szCs w:val="21"/>
                      <w:lang w:val="en-US" w:eastAsia="zh-CN"/>
                    </w:rPr>
                    <w:t>重点防渗</w:t>
                  </w:r>
                  <w:r>
                    <w:rPr>
                      <w:rFonts w:hint="eastAsia" w:cs="Times New Roman"/>
                      <w:bCs/>
                      <w:color w:val="auto"/>
                      <w:szCs w:val="21"/>
                      <w:lang w:val="en-US" w:eastAsia="zh-CN"/>
                    </w:rPr>
                    <w:t>区域</w:t>
                  </w:r>
                  <w:r>
                    <w:rPr>
                      <w:rFonts w:hint="eastAsia" w:ascii="Times New Roman" w:hAnsi="Times New Roman" w:eastAsia="宋体" w:cs="Times New Roman"/>
                      <w:bCs/>
                      <w:color w:val="auto"/>
                      <w:szCs w:val="21"/>
                      <w:lang w:val="en-US" w:eastAsia="zh-CN"/>
                    </w:rPr>
                    <w:t>，</w:t>
                  </w:r>
                  <w:r>
                    <w:rPr>
                      <w:rFonts w:hint="eastAsia"/>
                      <w:color w:val="auto"/>
                      <w:kern w:val="0"/>
                      <w:sz w:val="21"/>
                      <w:szCs w:val="21"/>
                      <w:lang w:val="en-US" w:eastAsia="zh-CN" w:bidi="ar"/>
                    </w:rPr>
                    <w:t>一般固废暂存间25m</w:t>
                  </w:r>
                  <w:r>
                    <w:rPr>
                      <w:rFonts w:hint="eastAsia"/>
                      <w:color w:val="auto"/>
                      <w:kern w:val="0"/>
                      <w:sz w:val="21"/>
                      <w:szCs w:val="21"/>
                      <w:vertAlign w:val="superscript"/>
                      <w:lang w:val="en-US" w:eastAsia="zh-CN" w:bidi="ar"/>
                    </w:rPr>
                    <w:t>2</w:t>
                  </w:r>
                  <w:r>
                    <w:rPr>
                      <w:rFonts w:hint="eastAsia"/>
                      <w:color w:val="auto"/>
                      <w:kern w:val="0"/>
                      <w:sz w:val="21"/>
                      <w:szCs w:val="21"/>
                      <w:lang w:val="en-US" w:eastAsia="zh-CN" w:bidi="ar"/>
                    </w:rPr>
                    <w:t>，</w:t>
                  </w:r>
                  <w:r>
                    <w:rPr>
                      <w:rFonts w:hint="eastAsia" w:ascii="Times New Roman" w:hAnsi="Times New Roman" w:eastAsia="宋体" w:cs="Times New Roman"/>
                      <w:bCs/>
                      <w:color w:val="auto"/>
                      <w:szCs w:val="21"/>
                      <w:lang w:val="en-US" w:eastAsia="zh-CN"/>
                    </w:rPr>
                    <w:t>为一般防渗区，其他区域为</w:t>
                  </w:r>
                  <w:r>
                    <w:rPr>
                      <w:rFonts w:hint="default" w:ascii="Times New Roman" w:hAnsi="Times New Roman" w:eastAsia="宋体" w:cs="Times New Roman"/>
                      <w:bCs/>
                      <w:color w:val="auto"/>
                      <w:szCs w:val="21"/>
                      <w:lang w:val="en-US" w:eastAsia="zh-CN"/>
                    </w:rPr>
                    <w:t>简单防渗区</w:t>
                  </w:r>
                  <w:r>
                    <w:rPr>
                      <w:rFonts w:hint="eastAsia" w:ascii="Times New Roman" w:hAnsi="Times New Roman" w:eastAsia="宋体" w:cs="Times New Roman"/>
                      <w:bCs/>
                      <w:color w:val="auto"/>
                      <w:szCs w:val="21"/>
                      <w:lang w:val="en-US" w:eastAsia="zh-CN"/>
                    </w:rPr>
                    <w:t>。</w:t>
                  </w:r>
                </w:p>
              </w:tc>
              <w:tc>
                <w:tcPr>
                  <w:tcW w:w="664" w:type="dxa"/>
                  <w:vAlign w:val="center"/>
                </w:tcPr>
                <w:p w14:paraId="5831E16D">
                  <w:pPr>
                    <w:pStyle w:val="19"/>
                    <w:spacing w:before="0" w:beforeAutospacing="0" w:after="0" w:afterAutospacing="0"/>
                    <w:jc w:val="center"/>
                    <w:outlineLvl w:val="0"/>
                    <w:rPr>
                      <w:rFonts w:hint="default"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30</w:t>
                  </w:r>
                </w:p>
              </w:tc>
              <w:tc>
                <w:tcPr>
                  <w:tcW w:w="759" w:type="dxa"/>
                  <w:vAlign w:val="center"/>
                </w:tcPr>
                <w:p w14:paraId="7E3D1B5F">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w:t>
                  </w:r>
                </w:p>
              </w:tc>
            </w:tr>
            <w:tr w14:paraId="56A3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983" w:type="dxa"/>
                  <w:gridSpan w:val="5"/>
                  <w:vAlign w:val="center"/>
                </w:tcPr>
                <w:p w14:paraId="27CB156D">
                  <w:pPr>
                    <w:pStyle w:val="19"/>
                    <w:spacing w:before="0" w:beforeAutospacing="0" w:after="0" w:afterAutospacing="0"/>
                    <w:jc w:val="center"/>
                    <w:outlineLvl w:val="0"/>
                    <w:rPr>
                      <w:rFonts w:ascii="Times New Roman" w:hAnsi="Times New Roman"/>
                      <w:snapToGrid w:val="0"/>
                      <w:color w:val="auto"/>
                      <w:sz w:val="21"/>
                      <w:szCs w:val="21"/>
                    </w:rPr>
                  </w:pPr>
                  <w:r>
                    <w:rPr>
                      <w:rFonts w:hint="eastAsia" w:ascii="Times New Roman" w:hAnsi="Times New Roman" w:eastAsia="宋体" w:cs="Times New Roman"/>
                      <w:bCs/>
                      <w:color w:val="auto"/>
                      <w:kern w:val="2"/>
                      <w:sz w:val="21"/>
                      <w:szCs w:val="21"/>
                      <w:lang w:val="en-US" w:eastAsia="zh-CN" w:bidi="ar-SA"/>
                    </w:rPr>
                    <w:t>合计：</w:t>
                  </w:r>
                </w:p>
              </w:tc>
              <w:tc>
                <w:tcPr>
                  <w:tcW w:w="664" w:type="dxa"/>
                  <w:vAlign w:val="center"/>
                </w:tcPr>
                <w:p w14:paraId="5903F1F1">
                  <w:pPr>
                    <w:pStyle w:val="19"/>
                    <w:spacing w:before="0" w:beforeAutospacing="0" w:after="0" w:afterAutospacing="0"/>
                    <w:jc w:val="center"/>
                    <w:outlineLvl w:val="0"/>
                    <w:rPr>
                      <w:rFonts w:hint="default" w:ascii="Times New Roman" w:hAnsi="Times New Roman" w:eastAsia="宋体"/>
                      <w:snapToGrid w:val="0"/>
                      <w:color w:val="auto"/>
                      <w:sz w:val="21"/>
                      <w:szCs w:val="21"/>
                      <w:lang w:val="en-US" w:eastAsia="zh-CN"/>
                    </w:rPr>
                  </w:pPr>
                  <w:r>
                    <w:rPr>
                      <w:rFonts w:hint="eastAsia" w:ascii="Times New Roman" w:hAnsi="Times New Roman"/>
                      <w:snapToGrid w:val="0"/>
                      <w:color w:val="auto"/>
                      <w:sz w:val="21"/>
                      <w:szCs w:val="21"/>
                      <w:lang w:val="en-US" w:eastAsia="zh-CN"/>
                    </w:rPr>
                    <w:t>313</w:t>
                  </w:r>
                </w:p>
              </w:tc>
              <w:tc>
                <w:tcPr>
                  <w:tcW w:w="759" w:type="dxa"/>
                  <w:vAlign w:val="center"/>
                </w:tcPr>
                <w:p w14:paraId="78BD3E2D">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76.35</w:t>
                  </w:r>
                </w:p>
              </w:tc>
            </w:tr>
            <w:tr w14:paraId="587B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6983" w:type="dxa"/>
                  <w:gridSpan w:val="5"/>
                  <w:vAlign w:val="center"/>
                </w:tcPr>
                <w:p w14:paraId="051730DC">
                  <w:pPr>
                    <w:pStyle w:val="19"/>
                    <w:spacing w:before="0" w:beforeAutospacing="0" w:after="0" w:afterAutospacing="0"/>
                    <w:jc w:val="center"/>
                    <w:outlineLvl w:val="0"/>
                    <w:rPr>
                      <w:rFonts w:hint="default" w:ascii="Times New Roman" w:hAnsi="Times New Roman" w:eastAsia="宋体" w:cs="Times New Roman"/>
                      <w:bCs/>
                      <w:color w:val="auto"/>
                      <w:kern w:val="2"/>
                      <w:sz w:val="21"/>
                      <w:szCs w:val="21"/>
                      <w:lang w:val="en-US" w:eastAsia="zh-CN" w:bidi="ar-SA"/>
                    </w:rPr>
                  </w:pPr>
                  <w:r>
                    <w:rPr>
                      <w:rFonts w:hint="eastAsia" w:ascii="Times New Roman" w:hAnsi="Times New Roman" w:cs="Times New Roman"/>
                      <w:bCs/>
                      <w:color w:val="auto"/>
                      <w:kern w:val="2"/>
                      <w:sz w:val="21"/>
                      <w:szCs w:val="21"/>
                      <w:lang w:val="en-US" w:eastAsia="zh-CN" w:bidi="ar-SA"/>
                    </w:rPr>
                    <w:t>占比：</w:t>
                  </w:r>
                </w:p>
              </w:tc>
              <w:tc>
                <w:tcPr>
                  <w:tcW w:w="664" w:type="dxa"/>
                  <w:vAlign w:val="center"/>
                </w:tcPr>
                <w:p w14:paraId="25BA8CBA">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5.22</w:t>
                  </w:r>
                </w:p>
              </w:tc>
              <w:tc>
                <w:tcPr>
                  <w:tcW w:w="759" w:type="dxa"/>
                  <w:vAlign w:val="center"/>
                </w:tcPr>
                <w:p w14:paraId="65F3BE83">
                  <w:pPr>
                    <w:pStyle w:val="19"/>
                    <w:spacing w:before="0" w:beforeAutospacing="0" w:after="0" w:afterAutospacing="0"/>
                    <w:jc w:val="center"/>
                    <w:outlineLvl w:val="0"/>
                    <w:rPr>
                      <w:rFonts w:hint="default" w:ascii="Times New Roman" w:hAnsi="Times New Roman"/>
                      <w:snapToGrid w:val="0"/>
                      <w:color w:val="auto"/>
                      <w:sz w:val="21"/>
                      <w:szCs w:val="21"/>
                      <w:lang w:val="en-US" w:eastAsia="zh-CN"/>
                    </w:rPr>
                  </w:pPr>
                  <w:r>
                    <w:rPr>
                      <w:rFonts w:hint="eastAsia" w:ascii="Times New Roman" w:hAnsi="Times New Roman"/>
                      <w:snapToGrid w:val="0"/>
                      <w:color w:val="auto"/>
                      <w:sz w:val="21"/>
                      <w:szCs w:val="21"/>
                      <w:lang w:val="en-US" w:eastAsia="zh-CN"/>
                    </w:rPr>
                    <w:t>1.27</w:t>
                  </w:r>
                </w:p>
              </w:tc>
            </w:tr>
          </w:tbl>
          <w:p w14:paraId="764F67E8">
            <w:pPr>
              <w:pStyle w:val="47"/>
              <w:spacing w:line="360" w:lineRule="auto"/>
              <w:ind w:firstLine="480" w:firstLineChars="200"/>
              <w:jc w:val="left"/>
              <w:rPr>
                <w:rFonts w:hint="default" w:ascii="Times New Roman" w:hAnsi="Times New Roman" w:cs="Times New Roman"/>
                <w:color w:val="auto"/>
                <w:kern w:val="0"/>
                <w:sz w:val="24"/>
                <w:szCs w:val="24"/>
                <w:lang w:val="en-US" w:eastAsia="zh-CN" w:bidi="ar"/>
              </w:rPr>
            </w:pPr>
            <w:r>
              <w:rPr>
                <w:rFonts w:hint="eastAsia" w:ascii="Times New Roman" w:hAnsi="Times New Roman" w:cs="Times New Roman"/>
                <w:color w:val="auto"/>
                <w:kern w:val="0"/>
                <w:sz w:val="24"/>
                <w:szCs w:val="24"/>
                <w:lang w:val="en-US" w:eastAsia="zh-CN" w:bidi="ar"/>
              </w:rPr>
              <w:t>9</w:t>
            </w:r>
            <w:r>
              <w:rPr>
                <w:rFonts w:hint="eastAsia" w:ascii="Times New Roman" w:hAnsi="Times New Roman" w:cs="Times New Roman"/>
                <w:color w:val="auto"/>
                <w:kern w:val="0"/>
                <w:sz w:val="24"/>
                <w:szCs w:val="24"/>
                <w:lang w:eastAsia="zh-CN" w:bidi="ar"/>
              </w:rPr>
              <w:t>、</w:t>
            </w:r>
            <w:r>
              <w:rPr>
                <w:rFonts w:hint="default" w:ascii="Times New Roman" w:hAnsi="Times New Roman" w:eastAsia="宋体" w:cs="Times New Roman"/>
                <w:color w:val="auto"/>
                <w:kern w:val="2"/>
                <w:sz w:val="24"/>
                <w:szCs w:val="24"/>
                <w:lang w:val="en-US" w:eastAsia="zh-CN" w:bidi="ar-SA"/>
              </w:rPr>
              <w:t>环保设施验收</w:t>
            </w:r>
          </w:p>
          <w:p w14:paraId="6C51E2E3">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eastAsia" w:ascii="Times New Roman" w:hAnsi="Times New Roman"/>
                <w:color w:val="auto"/>
                <w:kern w:val="2"/>
                <w:szCs w:val="24"/>
              </w:rPr>
            </w:pPr>
            <w:r>
              <w:rPr>
                <w:rFonts w:hint="eastAsia" w:ascii="Times New Roman" w:hAnsi="Times New Roman"/>
                <w:color w:val="auto"/>
                <w:kern w:val="2"/>
                <w:szCs w:val="24"/>
              </w:rPr>
              <w:t>按照国家有关规定，建设项目必须严格执行“三同时”制度，环保竣工验收也有相应的“三同时”验收内容。具体内容见下表：</w:t>
            </w:r>
          </w:p>
          <w:p w14:paraId="56E0E61D">
            <w:pPr>
              <w:pStyle w:val="1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outlineLvl w:val="0"/>
              <w:rPr>
                <w:rFonts w:hint="eastAsia" w:ascii="Times New Roman" w:hAnsi="Times New Roman"/>
                <w:b/>
                <w:bCs/>
                <w:snapToGrid w:val="0"/>
                <w:color w:val="auto"/>
                <w:szCs w:val="24"/>
                <w:lang w:val="en-US" w:eastAsia="zh-CN"/>
              </w:rPr>
            </w:pPr>
            <w:r>
              <w:rPr>
                <w:rFonts w:hint="eastAsia" w:ascii="Times New Roman" w:hAnsi="Times New Roman" w:eastAsia="宋体" w:cs="Times New Roman"/>
                <w:b/>
                <w:bCs/>
                <w:snapToGrid w:val="0"/>
                <w:color w:val="auto"/>
                <w:szCs w:val="24"/>
                <w:lang w:val="en-US" w:eastAsia="zh-CN"/>
              </w:rPr>
              <w:t xml:space="preserve">表4-17  </w:t>
            </w:r>
            <w:r>
              <w:rPr>
                <w:rFonts w:hint="default" w:ascii="Times New Roman" w:hAnsi="Times New Roman" w:eastAsia="宋体" w:cs="Times New Roman"/>
                <w:b/>
                <w:bCs/>
                <w:snapToGrid w:val="0"/>
                <w:color w:val="auto"/>
                <w:szCs w:val="24"/>
                <w:lang w:val="en-US" w:eastAsia="zh-CN"/>
              </w:rPr>
              <w:t>环保措施验收清单</w:t>
            </w:r>
          </w:p>
          <w:tbl>
            <w:tblPr>
              <w:tblStyle w:val="22"/>
              <w:tblW w:w="8390"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621"/>
              <w:gridCol w:w="1322"/>
              <w:gridCol w:w="804"/>
              <w:gridCol w:w="1247"/>
              <w:gridCol w:w="2201"/>
              <w:gridCol w:w="2195"/>
            </w:tblGrid>
            <w:tr w14:paraId="33AE0FA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vMerge w:val="restart"/>
                  <w:tcBorders>
                    <w:tl2br w:val="nil"/>
                    <w:tr2bl w:val="nil"/>
                  </w:tcBorders>
                  <w:shd w:val="clear" w:color="auto" w:fill="auto"/>
                  <w:vAlign w:val="center"/>
                </w:tcPr>
                <w:p w14:paraId="342630E2">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类别</w:t>
                  </w:r>
                </w:p>
              </w:tc>
              <w:tc>
                <w:tcPr>
                  <w:tcW w:w="5574" w:type="dxa"/>
                  <w:gridSpan w:val="4"/>
                  <w:tcBorders>
                    <w:tl2br w:val="nil"/>
                    <w:tr2bl w:val="nil"/>
                  </w:tcBorders>
                  <w:shd w:val="clear" w:color="auto" w:fill="auto"/>
                  <w:vAlign w:val="center"/>
                </w:tcPr>
                <w:p w14:paraId="04B3508B">
                  <w:pPr>
                    <w:widowControl/>
                    <w:jc w:val="center"/>
                    <w:textAlignment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验收内容</w:t>
                  </w:r>
                </w:p>
              </w:tc>
              <w:tc>
                <w:tcPr>
                  <w:tcW w:w="2195" w:type="dxa"/>
                  <w:vMerge w:val="restart"/>
                  <w:tcBorders>
                    <w:tl2br w:val="nil"/>
                    <w:tr2bl w:val="nil"/>
                  </w:tcBorders>
                  <w:shd w:val="clear" w:color="auto" w:fill="auto"/>
                  <w:vAlign w:val="center"/>
                </w:tcPr>
                <w:p w14:paraId="19F3597C">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验收要求</w:t>
                  </w:r>
                </w:p>
              </w:tc>
            </w:tr>
            <w:tr w14:paraId="5BF598B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37AB60B0">
                  <w:pPr>
                    <w:widowControl/>
                    <w:jc w:val="center"/>
                    <w:textAlignment w:val="center"/>
                    <w:rPr>
                      <w:rFonts w:hint="eastAsia" w:ascii="Times New Roman" w:hAnsi="Times New Roman" w:eastAsia="宋体" w:cs="Times New Roman"/>
                      <w:bCs/>
                      <w:color w:val="auto"/>
                      <w:szCs w:val="21"/>
                      <w:lang w:val="en-US" w:eastAsia="zh-CN"/>
                    </w:rPr>
                  </w:pPr>
                </w:p>
              </w:tc>
              <w:tc>
                <w:tcPr>
                  <w:tcW w:w="1322" w:type="dxa"/>
                  <w:tcBorders>
                    <w:tl2br w:val="nil"/>
                    <w:tr2bl w:val="nil"/>
                  </w:tcBorders>
                  <w:shd w:val="clear" w:color="auto" w:fill="auto"/>
                  <w:vAlign w:val="center"/>
                </w:tcPr>
                <w:p w14:paraId="756D4088">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污染源名称</w:t>
                  </w:r>
                </w:p>
              </w:tc>
              <w:tc>
                <w:tcPr>
                  <w:tcW w:w="2051" w:type="dxa"/>
                  <w:gridSpan w:val="2"/>
                  <w:tcBorders>
                    <w:tl2br w:val="nil"/>
                    <w:tr2bl w:val="nil"/>
                  </w:tcBorders>
                  <w:shd w:val="clear" w:color="auto" w:fill="auto"/>
                  <w:vAlign w:val="center"/>
                </w:tcPr>
                <w:p w14:paraId="265CF4FB">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污染物</w:t>
                  </w:r>
                </w:p>
              </w:tc>
              <w:tc>
                <w:tcPr>
                  <w:tcW w:w="2201" w:type="dxa"/>
                  <w:tcBorders>
                    <w:tl2br w:val="nil"/>
                    <w:tr2bl w:val="nil"/>
                  </w:tcBorders>
                  <w:shd w:val="clear" w:color="auto" w:fill="auto"/>
                  <w:vAlign w:val="center"/>
                </w:tcPr>
                <w:p w14:paraId="51990FAD">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治理方法</w:t>
                  </w:r>
                </w:p>
              </w:tc>
              <w:tc>
                <w:tcPr>
                  <w:tcW w:w="2195" w:type="dxa"/>
                  <w:vMerge w:val="continue"/>
                  <w:tcBorders>
                    <w:tl2br w:val="nil"/>
                    <w:tr2bl w:val="nil"/>
                  </w:tcBorders>
                  <w:shd w:val="clear" w:color="auto" w:fill="auto"/>
                  <w:vAlign w:val="center"/>
                </w:tcPr>
                <w:p w14:paraId="0E110CFE">
                  <w:pPr>
                    <w:widowControl/>
                    <w:jc w:val="center"/>
                    <w:textAlignment w:val="center"/>
                    <w:rPr>
                      <w:rFonts w:hint="eastAsia" w:ascii="Times New Roman" w:hAnsi="Times New Roman" w:eastAsia="宋体" w:cs="Times New Roman"/>
                      <w:bCs/>
                      <w:color w:val="auto"/>
                      <w:szCs w:val="21"/>
                      <w:lang w:val="en-US" w:eastAsia="zh-CN"/>
                    </w:rPr>
                  </w:pPr>
                </w:p>
              </w:tc>
            </w:tr>
            <w:tr w14:paraId="58B26D6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4" w:hRule="atLeast"/>
                <w:jc w:val="center"/>
              </w:trPr>
              <w:tc>
                <w:tcPr>
                  <w:tcW w:w="621" w:type="dxa"/>
                  <w:vMerge w:val="restart"/>
                  <w:tcBorders>
                    <w:tl2br w:val="nil"/>
                    <w:tr2bl w:val="nil"/>
                  </w:tcBorders>
                  <w:shd w:val="clear" w:color="auto" w:fill="auto"/>
                  <w:vAlign w:val="center"/>
                </w:tcPr>
                <w:p w14:paraId="1F118F7D">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废气</w:t>
                  </w:r>
                </w:p>
              </w:tc>
              <w:tc>
                <w:tcPr>
                  <w:tcW w:w="1322" w:type="dxa"/>
                  <w:vMerge w:val="restart"/>
                  <w:tcBorders>
                    <w:tl2br w:val="nil"/>
                    <w:tr2bl w:val="nil"/>
                  </w:tcBorders>
                  <w:shd w:val="clear" w:color="auto" w:fill="auto"/>
                  <w:vAlign w:val="center"/>
                </w:tcPr>
                <w:p w14:paraId="36A4B37E">
                  <w:pPr>
                    <w:widowControl/>
                    <w:jc w:val="center"/>
                    <w:textAlignment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有组织废气（DA001）</w:t>
                  </w:r>
                </w:p>
              </w:tc>
              <w:tc>
                <w:tcPr>
                  <w:tcW w:w="2051" w:type="dxa"/>
                  <w:gridSpan w:val="2"/>
                  <w:tcBorders>
                    <w:tl2br w:val="nil"/>
                    <w:tr2bl w:val="nil"/>
                  </w:tcBorders>
                  <w:shd w:val="clear" w:color="auto" w:fill="auto"/>
                  <w:vAlign w:val="center"/>
                </w:tcPr>
                <w:p w14:paraId="1FD62EA6">
                  <w:pPr>
                    <w:widowControl/>
                    <w:jc w:val="center"/>
                    <w:textAlignment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非甲烷总烃</w:t>
                  </w:r>
                </w:p>
              </w:tc>
              <w:tc>
                <w:tcPr>
                  <w:tcW w:w="2201" w:type="dxa"/>
                  <w:vMerge w:val="restart"/>
                  <w:tcBorders>
                    <w:tl2br w:val="nil"/>
                    <w:tr2bl w:val="nil"/>
                  </w:tcBorders>
                  <w:shd w:val="clear" w:color="auto" w:fill="auto"/>
                  <w:vAlign w:val="center"/>
                </w:tcPr>
                <w:p w14:paraId="6A4E6B86">
                  <w:pPr>
                    <w:widowControl/>
                    <w:jc w:val="center"/>
                    <w:textAlignment w:val="center"/>
                    <w:rPr>
                      <w:rFonts w:hint="eastAsia"/>
                      <w:bCs/>
                      <w:color w:val="auto"/>
                      <w:szCs w:val="21"/>
                      <w:lang w:eastAsia="zh-CN"/>
                    </w:rPr>
                  </w:pPr>
                  <w:r>
                    <w:rPr>
                      <w:rFonts w:hint="eastAsia" w:ascii="Times New Roman" w:hAnsi="Times New Roman" w:eastAsia="宋体" w:cs="Times New Roman"/>
                      <w:bCs/>
                      <w:color w:val="auto"/>
                      <w:sz w:val="21"/>
                      <w:szCs w:val="21"/>
                      <w:lang w:eastAsia="zh-CN"/>
                    </w:rPr>
                    <w:t>搅拌、缠绕</w:t>
                  </w:r>
                  <w:r>
                    <w:rPr>
                      <w:rFonts w:hint="eastAsia" w:ascii="Times New Roman" w:hAnsi="Times New Roman" w:eastAsia="宋体" w:cs="Times New Roman"/>
                      <w:bCs/>
                      <w:color w:val="auto"/>
                      <w:sz w:val="21"/>
                      <w:szCs w:val="21"/>
                      <w:lang w:val="en-US" w:eastAsia="zh-CN"/>
                    </w:rPr>
                    <w:t>（浸润）</w:t>
                  </w:r>
                  <w:r>
                    <w:rPr>
                      <w:rFonts w:hint="eastAsia" w:ascii="Times New Roman" w:hAnsi="Times New Roman" w:eastAsia="宋体" w:cs="Times New Roman"/>
                      <w:bCs/>
                      <w:color w:val="auto"/>
                      <w:sz w:val="21"/>
                      <w:szCs w:val="21"/>
                      <w:lang w:eastAsia="zh-CN"/>
                    </w:rPr>
                    <w:t>、固化废气：</w:t>
                  </w:r>
                  <w:r>
                    <w:rPr>
                      <w:rFonts w:hint="eastAsia" w:ascii="Times New Roman" w:hAnsi="Times New Roman" w:eastAsia="宋体" w:cs="Times New Roman"/>
                      <w:bCs/>
                      <w:color w:val="auto"/>
                      <w:sz w:val="21"/>
                      <w:szCs w:val="21"/>
                      <w:lang w:val="en-US" w:eastAsia="zh-CN"/>
                    </w:rPr>
                    <w:t>集气罩+</w:t>
                  </w:r>
                  <w:r>
                    <w:rPr>
                      <w:rFonts w:hint="eastAsia"/>
                      <w:bCs/>
                      <w:color w:val="auto"/>
                      <w:szCs w:val="21"/>
                      <w:lang w:eastAsia="zh-CN"/>
                    </w:rPr>
                    <w:t>二级活性炭吸附</w:t>
                  </w:r>
                  <w:r>
                    <w:rPr>
                      <w:rFonts w:hint="eastAsia"/>
                      <w:bCs/>
                      <w:color w:val="auto"/>
                      <w:szCs w:val="21"/>
                      <w:lang w:val="en-US" w:eastAsia="zh-CN"/>
                    </w:rPr>
                    <w:t>装置</w:t>
                  </w:r>
                  <w:r>
                    <w:rPr>
                      <w:rFonts w:hint="eastAsia"/>
                      <w:bCs/>
                      <w:color w:val="auto"/>
                      <w:szCs w:val="21"/>
                      <w:lang w:eastAsia="zh-CN"/>
                    </w:rPr>
                    <w:t>；</w:t>
                  </w:r>
                </w:p>
                <w:p w14:paraId="590F22E0">
                  <w:pPr>
                    <w:widowControl/>
                    <w:jc w:val="center"/>
                    <w:textAlignment w:val="center"/>
                    <w:rPr>
                      <w:rFonts w:hint="default"/>
                      <w:bCs/>
                      <w:color w:val="auto"/>
                      <w:szCs w:val="21"/>
                      <w:lang w:val="en-US" w:eastAsia="zh-CN"/>
                    </w:rPr>
                  </w:pPr>
                  <w:r>
                    <w:rPr>
                      <w:rFonts w:hint="eastAsia"/>
                      <w:color w:val="auto"/>
                      <w:kern w:val="0"/>
                      <w:szCs w:val="21"/>
                      <w:lang w:val="en-US" w:eastAsia="zh-CN" w:bidi="ar"/>
                    </w:rPr>
                    <w:t>静电喷涂废气：粉尘设</w:t>
                  </w:r>
                  <w:r>
                    <w:rPr>
                      <w:rFonts w:hint="eastAsia" w:ascii="Times New Roman" w:hAnsi="Times New Roman" w:eastAsia="宋体" w:cs="Times New Roman"/>
                      <w:bCs/>
                      <w:color w:val="auto"/>
                      <w:sz w:val="21"/>
                      <w:szCs w:val="21"/>
                      <w:lang w:val="en-US" w:eastAsia="zh-CN"/>
                    </w:rPr>
                    <w:t>置转翼式滤芯过滤器二级回收系统处置；非甲烷总烃设置</w:t>
                  </w:r>
                  <w:r>
                    <w:rPr>
                      <w:rFonts w:hint="eastAsia" w:ascii="Times New Roman" w:hAnsi="Times New Roman" w:eastAsia="宋体" w:cs="Times New Roman"/>
                      <w:bCs/>
                      <w:color w:val="auto"/>
                      <w:sz w:val="21"/>
                      <w:szCs w:val="21"/>
                      <w:lang w:eastAsia="zh-CN"/>
                    </w:rPr>
                    <w:t>两级活性炭</w:t>
                  </w:r>
                  <w:r>
                    <w:rPr>
                      <w:rFonts w:hint="eastAsia" w:ascii="Times New Roman" w:hAnsi="Times New Roman" w:eastAsia="宋体" w:cs="Times New Roman"/>
                      <w:bCs/>
                      <w:color w:val="auto"/>
                      <w:sz w:val="21"/>
                      <w:szCs w:val="21"/>
                      <w:lang w:val="en-US" w:eastAsia="zh-CN"/>
                    </w:rPr>
                    <w:t>吸附装置。</w:t>
                  </w:r>
                </w:p>
              </w:tc>
              <w:tc>
                <w:tcPr>
                  <w:tcW w:w="2195" w:type="dxa"/>
                  <w:vMerge w:val="restart"/>
                  <w:tcBorders>
                    <w:tl2br w:val="nil"/>
                    <w:tr2bl w:val="nil"/>
                  </w:tcBorders>
                  <w:shd w:val="clear" w:color="auto" w:fill="auto"/>
                  <w:vAlign w:val="center"/>
                </w:tcPr>
                <w:p w14:paraId="547178C8">
                  <w:pPr>
                    <w:keepNext w:val="0"/>
                    <w:keepLines w:val="0"/>
                    <w:widowControl/>
                    <w:suppressLineNumbers w:val="0"/>
                    <w:jc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color w:val="auto"/>
                      <w:kern w:val="0"/>
                      <w:sz w:val="21"/>
                      <w:szCs w:val="21"/>
                      <w:lang w:val="en-US" w:eastAsia="zh-CN" w:bidi="ar"/>
                    </w:rPr>
                    <w:t>《合成树脂工业污染物排放标准》(GB31572-2015)表4标准</w:t>
                  </w:r>
                </w:p>
              </w:tc>
            </w:tr>
            <w:tr w14:paraId="6923048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15C3094A">
                  <w:pPr>
                    <w:widowControl/>
                    <w:jc w:val="center"/>
                    <w:textAlignment w:val="center"/>
                    <w:rPr>
                      <w:rFonts w:hint="eastAsia" w:ascii="Times New Roman" w:hAnsi="Times New Roman" w:eastAsia="宋体" w:cs="Times New Roman"/>
                      <w:bCs/>
                      <w:color w:val="auto"/>
                      <w:szCs w:val="21"/>
                      <w:lang w:val="en-US" w:eastAsia="zh-CN"/>
                    </w:rPr>
                  </w:pPr>
                </w:p>
              </w:tc>
              <w:tc>
                <w:tcPr>
                  <w:tcW w:w="1322" w:type="dxa"/>
                  <w:vMerge w:val="continue"/>
                  <w:tcBorders>
                    <w:tl2br w:val="nil"/>
                    <w:tr2bl w:val="nil"/>
                  </w:tcBorders>
                  <w:shd w:val="clear" w:color="auto" w:fill="auto"/>
                  <w:vAlign w:val="center"/>
                </w:tcPr>
                <w:p w14:paraId="500E19B1">
                  <w:pPr>
                    <w:widowControl/>
                    <w:jc w:val="center"/>
                    <w:textAlignment w:val="center"/>
                    <w:rPr>
                      <w:rFonts w:hint="eastAsia" w:ascii="Times New Roman" w:hAnsi="Times New Roman" w:eastAsia="宋体" w:cs="Times New Roman"/>
                      <w:bCs/>
                      <w:color w:val="auto"/>
                      <w:szCs w:val="21"/>
                      <w:lang w:val="en-US" w:eastAsia="zh-CN"/>
                    </w:rPr>
                  </w:pPr>
                </w:p>
              </w:tc>
              <w:tc>
                <w:tcPr>
                  <w:tcW w:w="2051" w:type="dxa"/>
                  <w:gridSpan w:val="2"/>
                  <w:tcBorders>
                    <w:tl2br w:val="nil"/>
                    <w:tr2bl w:val="nil"/>
                  </w:tcBorders>
                  <w:shd w:val="clear" w:color="auto" w:fill="auto"/>
                  <w:vAlign w:val="center"/>
                </w:tcPr>
                <w:p w14:paraId="5501B945">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颗粒物</w:t>
                  </w:r>
                </w:p>
              </w:tc>
              <w:tc>
                <w:tcPr>
                  <w:tcW w:w="2201" w:type="dxa"/>
                  <w:vMerge w:val="continue"/>
                  <w:tcBorders>
                    <w:tl2br w:val="nil"/>
                    <w:tr2bl w:val="nil"/>
                  </w:tcBorders>
                  <w:shd w:val="clear" w:color="auto" w:fill="auto"/>
                  <w:vAlign w:val="center"/>
                </w:tcPr>
                <w:p w14:paraId="0C9B784C">
                  <w:pPr>
                    <w:widowControl/>
                    <w:jc w:val="center"/>
                    <w:textAlignment w:val="center"/>
                    <w:rPr>
                      <w:rFonts w:hint="eastAsia" w:ascii="Times New Roman" w:hAnsi="Times New Roman" w:eastAsia="宋体" w:cs="Times New Roman"/>
                      <w:bCs/>
                      <w:color w:val="auto"/>
                      <w:szCs w:val="21"/>
                      <w:lang w:val="en-US" w:eastAsia="zh-CN"/>
                    </w:rPr>
                  </w:pPr>
                </w:p>
              </w:tc>
              <w:tc>
                <w:tcPr>
                  <w:tcW w:w="2195" w:type="dxa"/>
                  <w:vMerge w:val="continue"/>
                  <w:tcBorders>
                    <w:tl2br w:val="nil"/>
                    <w:tr2bl w:val="nil"/>
                  </w:tcBorders>
                  <w:shd w:val="clear" w:color="auto" w:fill="auto"/>
                  <w:vAlign w:val="center"/>
                </w:tcPr>
                <w:p w14:paraId="2B2FF2DE">
                  <w:pPr>
                    <w:widowControl/>
                    <w:jc w:val="center"/>
                    <w:textAlignment w:val="center"/>
                    <w:rPr>
                      <w:rFonts w:hint="eastAsia" w:ascii="Times New Roman" w:hAnsi="Times New Roman" w:eastAsia="宋体" w:cs="Times New Roman"/>
                      <w:bCs/>
                      <w:color w:val="auto"/>
                      <w:szCs w:val="21"/>
                      <w:lang w:val="en-US" w:eastAsia="zh-CN"/>
                    </w:rPr>
                  </w:pPr>
                </w:p>
              </w:tc>
            </w:tr>
            <w:tr w14:paraId="6246BBE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2E631EB1">
                  <w:pPr>
                    <w:widowControl/>
                    <w:jc w:val="center"/>
                    <w:textAlignment w:val="center"/>
                    <w:rPr>
                      <w:rFonts w:hint="eastAsia" w:ascii="Times New Roman" w:hAnsi="Times New Roman" w:eastAsia="宋体" w:cs="Times New Roman"/>
                      <w:bCs/>
                      <w:color w:val="auto"/>
                      <w:szCs w:val="21"/>
                      <w:lang w:val="en-US" w:eastAsia="zh-CN"/>
                    </w:rPr>
                  </w:pPr>
                </w:p>
              </w:tc>
              <w:tc>
                <w:tcPr>
                  <w:tcW w:w="1322" w:type="dxa"/>
                  <w:vMerge w:val="continue"/>
                  <w:tcBorders>
                    <w:tl2br w:val="nil"/>
                    <w:tr2bl w:val="nil"/>
                  </w:tcBorders>
                  <w:shd w:val="clear" w:color="auto" w:fill="auto"/>
                  <w:vAlign w:val="center"/>
                </w:tcPr>
                <w:p w14:paraId="4F703274">
                  <w:pPr>
                    <w:widowControl/>
                    <w:jc w:val="center"/>
                    <w:textAlignment w:val="center"/>
                    <w:rPr>
                      <w:rFonts w:hint="eastAsia" w:ascii="Times New Roman" w:hAnsi="Times New Roman" w:eastAsia="宋体" w:cs="Times New Roman"/>
                      <w:bCs/>
                      <w:color w:val="auto"/>
                      <w:szCs w:val="21"/>
                      <w:lang w:val="en-US" w:eastAsia="zh-CN"/>
                    </w:rPr>
                  </w:pPr>
                </w:p>
              </w:tc>
              <w:tc>
                <w:tcPr>
                  <w:tcW w:w="2051" w:type="dxa"/>
                  <w:gridSpan w:val="2"/>
                  <w:tcBorders>
                    <w:tl2br w:val="nil"/>
                    <w:tr2bl w:val="nil"/>
                  </w:tcBorders>
                  <w:shd w:val="clear" w:color="auto" w:fill="auto"/>
                  <w:vAlign w:val="center"/>
                </w:tcPr>
                <w:p w14:paraId="537A0ADA">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臭气浓度</w:t>
                  </w:r>
                </w:p>
              </w:tc>
              <w:tc>
                <w:tcPr>
                  <w:tcW w:w="2201" w:type="dxa"/>
                  <w:vMerge w:val="continue"/>
                  <w:tcBorders>
                    <w:tl2br w:val="nil"/>
                    <w:tr2bl w:val="nil"/>
                  </w:tcBorders>
                  <w:shd w:val="clear" w:color="auto" w:fill="auto"/>
                  <w:vAlign w:val="center"/>
                </w:tcPr>
                <w:p w14:paraId="6E839187">
                  <w:pPr>
                    <w:widowControl/>
                    <w:jc w:val="center"/>
                    <w:textAlignment w:val="center"/>
                    <w:rPr>
                      <w:rFonts w:hint="eastAsia" w:ascii="Times New Roman" w:hAnsi="Times New Roman" w:eastAsia="宋体" w:cs="Times New Roman"/>
                      <w:bCs/>
                      <w:color w:val="auto"/>
                      <w:szCs w:val="21"/>
                      <w:lang w:val="en-US" w:eastAsia="zh-CN"/>
                    </w:rPr>
                  </w:pPr>
                </w:p>
              </w:tc>
              <w:tc>
                <w:tcPr>
                  <w:tcW w:w="2195" w:type="dxa"/>
                  <w:tcBorders>
                    <w:tl2br w:val="nil"/>
                    <w:tr2bl w:val="nil"/>
                  </w:tcBorders>
                  <w:shd w:val="clear" w:color="auto" w:fill="auto"/>
                  <w:vAlign w:val="center"/>
                </w:tcPr>
                <w:p w14:paraId="73B73DD9">
                  <w:pPr>
                    <w:pStyle w:val="60"/>
                    <w:ind w:left="0" w:leftChars="0" w:firstLine="0" w:firstLine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《恶臭污染物排放标准》(GB14554-93)表2中的恶臭污染物排放标准限值</w:t>
                  </w:r>
                </w:p>
              </w:tc>
            </w:tr>
            <w:tr w14:paraId="3DDFFE4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060F0E5C">
                  <w:pPr>
                    <w:widowControl/>
                    <w:jc w:val="center"/>
                    <w:textAlignment w:val="center"/>
                    <w:rPr>
                      <w:rFonts w:hint="eastAsia" w:ascii="Times New Roman" w:hAnsi="Times New Roman" w:eastAsia="宋体" w:cs="Times New Roman"/>
                      <w:bCs/>
                      <w:color w:val="auto"/>
                      <w:szCs w:val="21"/>
                      <w:lang w:val="en-US" w:eastAsia="zh-CN"/>
                    </w:rPr>
                  </w:pPr>
                </w:p>
              </w:tc>
              <w:tc>
                <w:tcPr>
                  <w:tcW w:w="1322" w:type="dxa"/>
                  <w:vMerge w:val="restart"/>
                  <w:tcBorders>
                    <w:tl2br w:val="nil"/>
                    <w:tr2bl w:val="nil"/>
                  </w:tcBorders>
                  <w:shd w:val="clear" w:color="auto" w:fill="auto"/>
                  <w:vAlign w:val="center"/>
                </w:tcPr>
                <w:p w14:paraId="57CDD802">
                  <w:pPr>
                    <w:widowControl/>
                    <w:jc w:val="center"/>
                    <w:textAlignment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无组织废气</w:t>
                  </w:r>
                </w:p>
              </w:tc>
              <w:tc>
                <w:tcPr>
                  <w:tcW w:w="804" w:type="dxa"/>
                  <w:tcBorders>
                    <w:tl2br w:val="nil"/>
                    <w:tr2bl w:val="nil"/>
                  </w:tcBorders>
                  <w:shd w:val="clear" w:color="auto" w:fill="auto"/>
                  <w:vAlign w:val="center"/>
                </w:tcPr>
                <w:p w14:paraId="4C15DD7A">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color w:val="auto"/>
                      <w:kern w:val="0"/>
                      <w:sz w:val="21"/>
                      <w:szCs w:val="21"/>
                      <w:lang w:val="en-US" w:eastAsia="zh-CN" w:bidi="ar"/>
                    </w:rPr>
                    <w:t>厂区内</w:t>
                  </w:r>
                </w:p>
              </w:tc>
              <w:tc>
                <w:tcPr>
                  <w:tcW w:w="1247" w:type="dxa"/>
                  <w:tcBorders>
                    <w:tl2br w:val="nil"/>
                    <w:tr2bl w:val="nil"/>
                  </w:tcBorders>
                  <w:shd w:val="clear" w:color="auto" w:fill="auto"/>
                  <w:vAlign w:val="center"/>
                </w:tcPr>
                <w:p w14:paraId="7AE1CCF8">
                  <w:pPr>
                    <w:widowControl/>
                    <w:jc w:val="center"/>
                    <w:textAlignment w:val="center"/>
                    <w:rPr>
                      <w:rFonts w:hint="eastAsia" w:ascii="Times New Roman" w:hAnsi="Times New Roman" w:eastAsia="宋体" w:cs="Times New Roman"/>
                      <w:bCs/>
                      <w:color w:val="auto"/>
                      <w:szCs w:val="21"/>
                      <w:lang w:val="en-US" w:eastAsia="zh-CN"/>
                    </w:rPr>
                  </w:pPr>
                  <w:r>
                    <w:rPr>
                      <w:rFonts w:hint="eastAsia"/>
                      <w:color w:val="auto"/>
                      <w:sz w:val="21"/>
                      <w:szCs w:val="21"/>
                      <w:vertAlign w:val="baseline"/>
                      <w:lang w:val="en-US" w:eastAsia="zh-CN"/>
                    </w:rPr>
                    <w:t>非甲烷总烃</w:t>
                  </w:r>
                </w:p>
              </w:tc>
              <w:tc>
                <w:tcPr>
                  <w:tcW w:w="2201" w:type="dxa"/>
                  <w:vMerge w:val="restart"/>
                  <w:tcBorders>
                    <w:tl2br w:val="nil"/>
                    <w:tr2bl w:val="nil"/>
                  </w:tcBorders>
                  <w:shd w:val="clear" w:color="auto" w:fill="auto"/>
                  <w:vAlign w:val="center"/>
                </w:tcPr>
                <w:p w14:paraId="3AC86CBC">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加强车间通风</w:t>
                  </w:r>
                </w:p>
              </w:tc>
              <w:tc>
                <w:tcPr>
                  <w:tcW w:w="2195" w:type="dxa"/>
                  <w:tcBorders>
                    <w:tl2br w:val="nil"/>
                    <w:tr2bl w:val="nil"/>
                  </w:tcBorders>
                  <w:shd w:val="clear" w:color="auto" w:fill="auto"/>
                  <w:vAlign w:val="center"/>
                </w:tcPr>
                <w:p w14:paraId="3A3D4792">
                  <w:pPr>
                    <w:widowControl/>
                    <w:jc w:val="center"/>
                    <w:textAlignment w:val="center"/>
                    <w:rPr>
                      <w:rFonts w:hint="eastAsia" w:ascii="Times New Roman" w:hAnsi="Times New Roman" w:eastAsia="宋体" w:cs="Times New Roman"/>
                      <w:bCs/>
                      <w:color w:val="auto"/>
                      <w:szCs w:val="21"/>
                      <w:lang w:val="en-US" w:eastAsia="zh-CN"/>
                    </w:rPr>
                  </w:pPr>
                  <w:r>
                    <w:rPr>
                      <w:rFonts w:hint="default" w:ascii="Times New Roman" w:hAnsi="Times New Roman" w:eastAsia="宋体" w:cs="Times New Roman"/>
                      <w:color w:val="auto"/>
                      <w:sz w:val="21"/>
                      <w:szCs w:val="21"/>
                      <w:vertAlign w:val="baseline"/>
                      <w:lang w:val="en-US" w:eastAsia="zh-CN"/>
                    </w:rPr>
                    <w:t>《挥发性有机物无组织排放控制标准》(GB37822-2019)</w:t>
                  </w:r>
                  <w:r>
                    <w:rPr>
                      <w:rFonts w:hint="eastAsia" w:ascii="Times New Roman" w:hAnsi="Times New Roman" w:eastAsia="宋体" w:cs="Times New Roman"/>
                      <w:color w:val="auto"/>
                      <w:sz w:val="21"/>
                      <w:szCs w:val="21"/>
                      <w:vertAlign w:val="baseline"/>
                      <w:lang w:val="en-US" w:eastAsia="zh-CN"/>
                    </w:rPr>
                    <w:t>附录A.1排放限值要求</w:t>
                  </w:r>
                </w:p>
              </w:tc>
            </w:tr>
            <w:tr w14:paraId="2113E25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46F429D2">
                  <w:pPr>
                    <w:widowControl/>
                    <w:jc w:val="center"/>
                    <w:textAlignment w:val="center"/>
                    <w:rPr>
                      <w:rFonts w:hint="eastAsia" w:ascii="Times New Roman" w:hAnsi="Times New Roman" w:eastAsia="宋体" w:cs="Times New Roman"/>
                      <w:bCs/>
                      <w:color w:val="auto"/>
                      <w:szCs w:val="21"/>
                      <w:lang w:val="en-US" w:eastAsia="zh-CN"/>
                    </w:rPr>
                  </w:pPr>
                </w:p>
              </w:tc>
              <w:tc>
                <w:tcPr>
                  <w:tcW w:w="1322" w:type="dxa"/>
                  <w:vMerge w:val="continue"/>
                  <w:tcBorders>
                    <w:tl2br w:val="nil"/>
                    <w:tr2bl w:val="nil"/>
                  </w:tcBorders>
                  <w:shd w:val="clear" w:color="auto" w:fill="auto"/>
                  <w:vAlign w:val="center"/>
                </w:tcPr>
                <w:p w14:paraId="7930F657">
                  <w:pPr>
                    <w:widowControl/>
                    <w:jc w:val="center"/>
                    <w:textAlignment w:val="center"/>
                    <w:rPr>
                      <w:rFonts w:hint="eastAsia" w:ascii="Times New Roman" w:hAnsi="Times New Roman" w:eastAsia="宋体" w:cs="Times New Roman"/>
                      <w:bCs/>
                      <w:color w:val="auto"/>
                      <w:szCs w:val="21"/>
                      <w:lang w:val="en-US" w:eastAsia="zh-CN"/>
                    </w:rPr>
                  </w:pPr>
                </w:p>
              </w:tc>
              <w:tc>
                <w:tcPr>
                  <w:tcW w:w="804" w:type="dxa"/>
                  <w:vMerge w:val="restart"/>
                  <w:tcBorders>
                    <w:tl2br w:val="nil"/>
                    <w:tr2bl w:val="nil"/>
                  </w:tcBorders>
                  <w:shd w:val="clear" w:color="auto" w:fill="auto"/>
                  <w:vAlign w:val="center"/>
                </w:tcPr>
                <w:p w14:paraId="25EAFD73">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厂区四周边界</w:t>
                  </w:r>
                </w:p>
              </w:tc>
              <w:tc>
                <w:tcPr>
                  <w:tcW w:w="1247" w:type="dxa"/>
                  <w:tcBorders>
                    <w:tl2br w:val="nil"/>
                    <w:tr2bl w:val="nil"/>
                  </w:tcBorders>
                  <w:shd w:val="clear" w:color="auto" w:fill="auto"/>
                  <w:vAlign w:val="center"/>
                </w:tcPr>
                <w:p w14:paraId="066FFDCB">
                  <w:pPr>
                    <w:pStyle w:val="60"/>
                    <w:ind w:left="0" w:leftChars="0" w:firstLine="0" w:firstLineChars="0"/>
                    <w:jc w:val="center"/>
                    <w:rPr>
                      <w:rFonts w:hint="eastAsia" w:ascii="Times New Roman" w:hAnsi="Times New Roman" w:eastAsia="宋体" w:cs="Times New Roman"/>
                      <w:color w:val="auto"/>
                      <w:kern w:val="0"/>
                      <w:sz w:val="21"/>
                      <w:szCs w:val="21"/>
                      <w:vertAlign w:val="baseline"/>
                      <w:lang w:val="en-US" w:eastAsia="zh-CN" w:bidi="ar-SA"/>
                    </w:rPr>
                  </w:pPr>
                  <w:r>
                    <w:rPr>
                      <w:rFonts w:hint="eastAsia"/>
                      <w:color w:val="auto"/>
                      <w:sz w:val="21"/>
                      <w:szCs w:val="21"/>
                      <w:vertAlign w:val="baseline"/>
                      <w:lang w:val="en-US" w:eastAsia="zh-CN"/>
                    </w:rPr>
                    <w:t>非甲烷总烃</w:t>
                  </w:r>
                </w:p>
              </w:tc>
              <w:tc>
                <w:tcPr>
                  <w:tcW w:w="2201" w:type="dxa"/>
                  <w:vMerge w:val="continue"/>
                  <w:tcBorders>
                    <w:tl2br w:val="nil"/>
                    <w:tr2bl w:val="nil"/>
                  </w:tcBorders>
                  <w:shd w:val="clear" w:color="auto" w:fill="auto"/>
                  <w:vAlign w:val="center"/>
                </w:tcPr>
                <w:p w14:paraId="3C2B592C">
                  <w:pPr>
                    <w:widowControl/>
                    <w:jc w:val="center"/>
                    <w:textAlignment w:val="center"/>
                    <w:rPr>
                      <w:rFonts w:hint="eastAsia" w:ascii="Times New Roman" w:hAnsi="Times New Roman" w:eastAsia="宋体" w:cs="Times New Roman"/>
                      <w:bCs/>
                      <w:color w:val="auto"/>
                      <w:szCs w:val="21"/>
                      <w:lang w:val="en-US" w:eastAsia="zh-CN"/>
                    </w:rPr>
                  </w:pPr>
                </w:p>
              </w:tc>
              <w:tc>
                <w:tcPr>
                  <w:tcW w:w="2195" w:type="dxa"/>
                  <w:vMerge w:val="restart"/>
                  <w:tcBorders>
                    <w:tl2br w:val="nil"/>
                    <w:tr2bl w:val="nil"/>
                  </w:tcBorders>
                  <w:shd w:val="clear" w:color="auto" w:fill="auto"/>
                  <w:vAlign w:val="center"/>
                </w:tcPr>
                <w:p w14:paraId="280368FD">
                  <w:pPr>
                    <w:pStyle w:val="60"/>
                    <w:ind w:left="0" w:leftChars="0" w:firstLine="0" w:firstLineChars="0"/>
                    <w:jc w:val="center"/>
                    <w:rPr>
                      <w:rFonts w:hint="default"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eastAsia="宋体" w:cs="Times New Roman"/>
                      <w:color w:val="auto"/>
                      <w:kern w:val="0"/>
                      <w:sz w:val="21"/>
                      <w:szCs w:val="21"/>
                      <w:lang w:val="en-US" w:eastAsia="zh-CN" w:bidi="ar"/>
                    </w:rPr>
                    <w:t>《合成树脂工业污染物排放标准》(GB31572-2015)表9标准</w:t>
                  </w:r>
                </w:p>
                <w:p w14:paraId="70C46EA4">
                  <w:pPr>
                    <w:widowControl/>
                    <w:jc w:val="center"/>
                    <w:textAlignment w:val="center"/>
                    <w:rPr>
                      <w:rFonts w:hint="eastAsia" w:ascii="Times New Roman" w:hAnsi="Times New Roman" w:eastAsia="宋体" w:cs="Times New Roman"/>
                      <w:bCs/>
                      <w:color w:val="auto"/>
                      <w:szCs w:val="21"/>
                      <w:lang w:val="en-US" w:eastAsia="zh-CN"/>
                    </w:rPr>
                  </w:pPr>
                </w:p>
              </w:tc>
            </w:tr>
            <w:tr w14:paraId="5189441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6590C99A">
                  <w:pPr>
                    <w:widowControl/>
                    <w:jc w:val="center"/>
                    <w:textAlignment w:val="center"/>
                    <w:rPr>
                      <w:rFonts w:hint="eastAsia" w:ascii="Times New Roman" w:hAnsi="Times New Roman" w:eastAsia="宋体" w:cs="Times New Roman"/>
                      <w:bCs/>
                      <w:color w:val="auto"/>
                      <w:szCs w:val="21"/>
                      <w:lang w:val="en-US" w:eastAsia="zh-CN"/>
                    </w:rPr>
                  </w:pPr>
                </w:p>
              </w:tc>
              <w:tc>
                <w:tcPr>
                  <w:tcW w:w="1322" w:type="dxa"/>
                  <w:vMerge w:val="continue"/>
                  <w:tcBorders>
                    <w:tl2br w:val="nil"/>
                    <w:tr2bl w:val="nil"/>
                  </w:tcBorders>
                  <w:shd w:val="clear" w:color="auto" w:fill="auto"/>
                  <w:vAlign w:val="center"/>
                </w:tcPr>
                <w:p w14:paraId="6B9EDEDA">
                  <w:pPr>
                    <w:widowControl/>
                    <w:jc w:val="center"/>
                    <w:textAlignment w:val="center"/>
                    <w:rPr>
                      <w:rFonts w:hint="eastAsia" w:ascii="Times New Roman" w:hAnsi="Times New Roman" w:eastAsia="宋体" w:cs="Times New Roman"/>
                      <w:bCs/>
                      <w:color w:val="auto"/>
                      <w:szCs w:val="21"/>
                      <w:lang w:val="en-US" w:eastAsia="zh-CN"/>
                    </w:rPr>
                  </w:pPr>
                </w:p>
              </w:tc>
              <w:tc>
                <w:tcPr>
                  <w:tcW w:w="804" w:type="dxa"/>
                  <w:vMerge w:val="continue"/>
                  <w:tcBorders>
                    <w:tl2br w:val="nil"/>
                    <w:tr2bl w:val="nil"/>
                  </w:tcBorders>
                  <w:shd w:val="clear" w:color="auto" w:fill="auto"/>
                  <w:vAlign w:val="center"/>
                </w:tcPr>
                <w:p w14:paraId="3DC80B7F">
                  <w:pPr>
                    <w:widowControl/>
                    <w:jc w:val="center"/>
                    <w:textAlignment w:val="center"/>
                    <w:rPr>
                      <w:rFonts w:hint="eastAsia" w:ascii="Times New Roman" w:hAnsi="Times New Roman" w:eastAsia="宋体" w:cs="Times New Roman"/>
                      <w:color w:val="auto"/>
                      <w:kern w:val="0"/>
                      <w:sz w:val="21"/>
                      <w:szCs w:val="21"/>
                      <w:lang w:val="en-US" w:eastAsia="zh-CN" w:bidi="ar"/>
                    </w:rPr>
                  </w:pPr>
                </w:p>
              </w:tc>
              <w:tc>
                <w:tcPr>
                  <w:tcW w:w="1247" w:type="dxa"/>
                  <w:tcBorders>
                    <w:tl2br w:val="nil"/>
                    <w:tr2bl w:val="nil"/>
                  </w:tcBorders>
                  <w:shd w:val="clear" w:color="auto" w:fill="auto"/>
                  <w:vAlign w:val="center"/>
                </w:tcPr>
                <w:p w14:paraId="43A21057">
                  <w:pPr>
                    <w:pStyle w:val="60"/>
                    <w:ind w:left="0" w:leftChars="0" w:firstLine="0" w:firstLineChars="0"/>
                    <w:jc w:val="center"/>
                    <w:rPr>
                      <w:rFonts w:hint="eastAsia" w:ascii="Times New Roman" w:hAnsi="Times New Roman" w:eastAsia="宋体" w:cs="Times New Roman"/>
                      <w:color w:val="auto"/>
                      <w:kern w:val="0"/>
                      <w:sz w:val="21"/>
                      <w:szCs w:val="21"/>
                      <w:vertAlign w:val="baseline"/>
                      <w:lang w:val="en-US" w:eastAsia="zh-CN" w:bidi="ar-SA"/>
                    </w:rPr>
                  </w:pPr>
                  <w:r>
                    <w:rPr>
                      <w:rFonts w:hint="eastAsia" w:ascii="Times New Roman" w:hAnsi="Times New Roman"/>
                      <w:color w:val="auto"/>
                      <w:sz w:val="21"/>
                      <w:szCs w:val="21"/>
                    </w:rPr>
                    <w:t>颗粒物</w:t>
                  </w:r>
                </w:p>
              </w:tc>
              <w:tc>
                <w:tcPr>
                  <w:tcW w:w="2201" w:type="dxa"/>
                  <w:vMerge w:val="continue"/>
                  <w:tcBorders>
                    <w:tl2br w:val="nil"/>
                    <w:tr2bl w:val="nil"/>
                  </w:tcBorders>
                  <w:shd w:val="clear" w:color="auto" w:fill="auto"/>
                  <w:vAlign w:val="center"/>
                </w:tcPr>
                <w:p w14:paraId="437FAFE4">
                  <w:pPr>
                    <w:widowControl/>
                    <w:jc w:val="center"/>
                    <w:textAlignment w:val="center"/>
                    <w:rPr>
                      <w:rFonts w:hint="eastAsia" w:ascii="Times New Roman" w:hAnsi="Times New Roman" w:eastAsia="宋体" w:cs="Times New Roman"/>
                      <w:bCs/>
                      <w:color w:val="auto"/>
                      <w:szCs w:val="21"/>
                      <w:lang w:val="en-US" w:eastAsia="zh-CN"/>
                    </w:rPr>
                  </w:pPr>
                </w:p>
              </w:tc>
              <w:tc>
                <w:tcPr>
                  <w:tcW w:w="2195" w:type="dxa"/>
                  <w:vMerge w:val="continue"/>
                  <w:tcBorders>
                    <w:tl2br w:val="nil"/>
                    <w:tr2bl w:val="nil"/>
                  </w:tcBorders>
                  <w:shd w:val="clear" w:color="auto" w:fill="auto"/>
                  <w:vAlign w:val="center"/>
                </w:tcPr>
                <w:p w14:paraId="639EA121">
                  <w:pPr>
                    <w:widowControl/>
                    <w:jc w:val="center"/>
                    <w:textAlignment w:val="center"/>
                    <w:rPr>
                      <w:rFonts w:hint="eastAsia" w:ascii="Times New Roman" w:hAnsi="Times New Roman" w:eastAsia="宋体" w:cs="Times New Roman"/>
                      <w:bCs/>
                      <w:color w:val="auto"/>
                      <w:szCs w:val="21"/>
                      <w:lang w:val="en-US" w:eastAsia="zh-CN"/>
                    </w:rPr>
                  </w:pPr>
                </w:p>
              </w:tc>
            </w:tr>
            <w:tr w14:paraId="0F71B2B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1B57F519">
                  <w:pPr>
                    <w:widowControl/>
                    <w:jc w:val="center"/>
                    <w:textAlignment w:val="center"/>
                    <w:rPr>
                      <w:rFonts w:hint="eastAsia" w:ascii="Times New Roman" w:hAnsi="Times New Roman" w:eastAsia="宋体" w:cs="Times New Roman"/>
                      <w:bCs/>
                      <w:color w:val="auto"/>
                      <w:szCs w:val="21"/>
                      <w:lang w:val="en-US" w:eastAsia="zh-CN"/>
                    </w:rPr>
                  </w:pPr>
                </w:p>
              </w:tc>
              <w:tc>
                <w:tcPr>
                  <w:tcW w:w="1322" w:type="dxa"/>
                  <w:vMerge w:val="continue"/>
                  <w:tcBorders>
                    <w:tl2br w:val="nil"/>
                    <w:tr2bl w:val="nil"/>
                  </w:tcBorders>
                  <w:shd w:val="clear" w:color="auto" w:fill="auto"/>
                  <w:vAlign w:val="center"/>
                </w:tcPr>
                <w:p w14:paraId="16DDC644">
                  <w:pPr>
                    <w:widowControl/>
                    <w:jc w:val="center"/>
                    <w:textAlignment w:val="center"/>
                    <w:rPr>
                      <w:rFonts w:hint="eastAsia" w:ascii="Times New Roman" w:hAnsi="Times New Roman" w:eastAsia="宋体" w:cs="Times New Roman"/>
                      <w:bCs/>
                      <w:color w:val="auto"/>
                      <w:szCs w:val="21"/>
                      <w:lang w:val="en-US" w:eastAsia="zh-CN"/>
                    </w:rPr>
                  </w:pPr>
                </w:p>
              </w:tc>
              <w:tc>
                <w:tcPr>
                  <w:tcW w:w="804" w:type="dxa"/>
                  <w:vMerge w:val="continue"/>
                  <w:tcBorders>
                    <w:tl2br w:val="nil"/>
                    <w:tr2bl w:val="nil"/>
                  </w:tcBorders>
                  <w:shd w:val="clear" w:color="auto" w:fill="auto"/>
                  <w:vAlign w:val="center"/>
                </w:tcPr>
                <w:p w14:paraId="1BB604DB">
                  <w:pPr>
                    <w:widowControl/>
                    <w:jc w:val="center"/>
                    <w:textAlignment w:val="center"/>
                    <w:rPr>
                      <w:rFonts w:hint="eastAsia" w:ascii="Times New Roman" w:hAnsi="Times New Roman" w:eastAsia="宋体" w:cs="Times New Roman"/>
                      <w:color w:val="auto"/>
                      <w:kern w:val="0"/>
                      <w:sz w:val="21"/>
                      <w:szCs w:val="21"/>
                      <w:lang w:val="en-US" w:eastAsia="zh-CN" w:bidi="ar"/>
                    </w:rPr>
                  </w:pPr>
                </w:p>
              </w:tc>
              <w:tc>
                <w:tcPr>
                  <w:tcW w:w="1247" w:type="dxa"/>
                  <w:tcBorders>
                    <w:tl2br w:val="nil"/>
                    <w:tr2bl w:val="nil"/>
                  </w:tcBorders>
                  <w:shd w:val="clear" w:color="auto" w:fill="auto"/>
                  <w:vAlign w:val="center"/>
                </w:tcPr>
                <w:p w14:paraId="5AE2736E">
                  <w:pPr>
                    <w:pStyle w:val="60"/>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olor w:val="auto"/>
                      <w:sz w:val="21"/>
                      <w:szCs w:val="21"/>
                      <w:lang w:val="en-US" w:eastAsia="zh-CN"/>
                    </w:rPr>
                    <w:t>臭气浓度</w:t>
                  </w:r>
                </w:p>
              </w:tc>
              <w:tc>
                <w:tcPr>
                  <w:tcW w:w="2201" w:type="dxa"/>
                  <w:vMerge w:val="continue"/>
                  <w:tcBorders>
                    <w:tl2br w:val="nil"/>
                    <w:tr2bl w:val="nil"/>
                  </w:tcBorders>
                  <w:shd w:val="clear" w:color="auto" w:fill="auto"/>
                  <w:vAlign w:val="center"/>
                </w:tcPr>
                <w:p w14:paraId="446E952F">
                  <w:pPr>
                    <w:widowControl/>
                    <w:jc w:val="center"/>
                    <w:textAlignment w:val="center"/>
                    <w:rPr>
                      <w:rFonts w:hint="eastAsia" w:ascii="Times New Roman" w:hAnsi="Times New Roman" w:eastAsia="宋体" w:cs="Times New Roman"/>
                      <w:bCs/>
                      <w:color w:val="auto"/>
                      <w:szCs w:val="21"/>
                      <w:lang w:val="en-US" w:eastAsia="zh-CN"/>
                    </w:rPr>
                  </w:pPr>
                </w:p>
              </w:tc>
              <w:tc>
                <w:tcPr>
                  <w:tcW w:w="2195" w:type="dxa"/>
                  <w:tcBorders>
                    <w:tl2br w:val="nil"/>
                    <w:tr2bl w:val="nil"/>
                  </w:tcBorders>
                  <w:shd w:val="clear" w:color="auto" w:fill="auto"/>
                  <w:vAlign w:val="center"/>
                </w:tcPr>
                <w:p w14:paraId="3F065248">
                  <w:pPr>
                    <w:pStyle w:val="60"/>
                    <w:ind w:left="0" w:leftChars="0" w:firstLine="0" w:firstLineChars="0"/>
                    <w:jc w:val="center"/>
                    <w:rPr>
                      <w:rFonts w:hint="eastAsia" w:ascii="Times New Roman" w:hAnsi="Times New Roman" w:eastAsia="宋体" w:cs="Times New Roman"/>
                      <w:color w:val="auto"/>
                      <w:kern w:val="0"/>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《恶臭污染物排放标准》(GB14554-93)中表1恶臭污染物厂界标准值中的二级标准</w:t>
                  </w:r>
                </w:p>
              </w:tc>
            </w:tr>
            <w:tr w14:paraId="3692D3C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tcBorders>
                    <w:tl2br w:val="nil"/>
                    <w:tr2bl w:val="nil"/>
                  </w:tcBorders>
                  <w:shd w:val="clear" w:color="auto" w:fill="auto"/>
                  <w:vAlign w:val="center"/>
                </w:tcPr>
                <w:p w14:paraId="0B8D4AE2">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废水</w:t>
                  </w:r>
                </w:p>
              </w:tc>
              <w:tc>
                <w:tcPr>
                  <w:tcW w:w="1322" w:type="dxa"/>
                  <w:tcBorders>
                    <w:tl2br w:val="nil"/>
                    <w:tr2bl w:val="nil"/>
                  </w:tcBorders>
                  <w:shd w:val="clear" w:color="auto" w:fill="auto"/>
                  <w:vAlign w:val="center"/>
                </w:tcPr>
                <w:p w14:paraId="50A496BF">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生活污水</w:t>
                  </w:r>
                </w:p>
              </w:tc>
              <w:tc>
                <w:tcPr>
                  <w:tcW w:w="4252" w:type="dxa"/>
                  <w:gridSpan w:val="3"/>
                  <w:tcBorders>
                    <w:tl2br w:val="nil"/>
                    <w:tr2bl w:val="nil"/>
                  </w:tcBorders>
                  <w:shd w:val="clear" w:color="auto" w:fill="auto"/>
                  <w:vAlign w:val="center"/>
                </w:tcPr>
                <w:p w14:paraId="465C63C3">
                  <w:pPr>
                    <w:widowControl/>
                    <w:jc w:val="center"/>
                    <w:textAlignment w:val="center"/>
                    <w:rPr>
                      <w:rFonts w:hint="default" w:ascii="Times New Roman" w:hAnsi="Times New Roman" w:eastAsia="宋体" w:cs="Times New Roman"/>
                      <w:bCs/>
                      <w:color w:val="auto"/>
                      <w:szCs w:val="21"/>
                      <w:lang w:val="en-US" w:eastAsia="zh-CN"/>
                    </w:rPr>
                  </w:pPr>
                  <w:r>
                    <w:rPr>
                      <w:rFonts w:hint="eastAsia"/>
                      <w:color w:val="auto"/>
                      <w:kern w:val="0"/>
                      <w:szCs w:val="21"/>
                      <w:lang w:bidi="ar"/>
                    </w:rPr>
                    <w:t>经园区化粪池处理后，接管排入</w:t>
                  </w:r>
                  <w:r>
                    <w:rPr>
                      <w:rFonts w:hint="eastAsia"/>
                      <w:color w:val="auto"/>
                      <w:kern w:val="0"/>
                      <w:szCs w:val="21"/>
                      <w:lang w:eastAsia="zh-CN" w:bidi="ar"/>
                    </w:rPr>
                    <w:t>内蒙古天河水务有限公司</w:t>
                  </w:r>
                  <w:r>
                    <w:rPr>
                      <w:rFonts w:hint="eastAsia"/>
                      <w:color w:val="auto"/>
                      <w:kern w:val="0"/>
                      <w:szCs w:val="21"/>
                      <w:lang w:bidi="ar"/>
                    </w:rPr>
                    <w:t>进一步处理</w:t>
                  </w:r>
                </w:p>
              </w:tc>
              <w:tc>
                <w:tcPr>
                  <w:tcW w:w="2195" w:type="dxa"/>
                  <w:tcBorders>
                    <w:tl2br w:val="nil"/>
                    <w:tr2bl w:val="nil"/>
                  </w:tcBorders>
                  <w:shd w:val="clear" w:color="auto" w:fill="auto"/>
                  <w:vAlign w:val="center"/>
                </w:tcPr>
                <w:p w14:paraId="46171C3E">
                  <w:pPr>
                    <w:widowControl/>
                    <w:jc w:val="center"/>
                    <w:textAlignment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w:t>
                  </w:r>
                </w:p>
              </w:tc>
            </w:tr>
            <w:tr w14:paraId="2E469DF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tcBorders>
                    <w:tl2br w:val="nil"/>
                    <w:tr2bl w:val="nil"/>
                  </w:tcBorders>
                  <w:shd w:val="clear" w:color="auto" w:fill="auto"/>
                  <w:vAlign w:val="center"/>
                </w:tcPr>
                <w:p w14:paraId="27F922D1">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声环境</w:t>
                  </w:r>
                </w:p>
              </w:tc>
              <w:tc>
                <w:tcPr>
                  <w:tcW w:w="1322" w:type="dxa"/>
                  <w:tcBorders>
                    <w:tl2br w:val="nil"/>
                    <w:tr2bl w:val="nil"/>
                  </w:tcBorders>
                  <w:shd w:val="clear" w:color="auto" w:fill="auto"/>
                  <w:vAlign w:val="center"/>
                </w:tcPr>
                <w:p w14:paraId="4754940D">
                  <w:pPr>
                    <w:widowControl/>
                    <w:jc w:val="center"/>
                    <w:textAlignment w:val="center"/>
                    <w:rPr>
                      <w:rFonts w:hint="default"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生产车间内的生产设备</w:t>
                  </w:r>
                </w:p>
              </w:tc>
              <w:tc>
                <w:tcPr>
                  <w:tcW w:w="2051" w:type="dxa"/>
                  <w:gridSpan w:val="2"/>
                  <w:tcBorders>
                    <w:tl2br w:val="nil"/>
                    <w:tr2bl w:val="nil"/>
                  </w:tcBorders>
                  <w:shd w:val="clear" w:color="auto" w:fill="auto"/>
                  <w:vAlign w:val="center"/>
                </w:tcPr>
                <w:p w14:paraId="4BC56A15">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噪声</w:t>
                  </w:r>
                </w:p>
              </w:tc>
              <w:tc>
                <w:tcPr>
                  <w:tcW w:w="2201" w:type="dxa"/>
                  <w:tcBorders>
                    <w:tl2br w:val="nil"/>
                    <w:tr2bl w:val="nil"/>
                  </w:tcBorders>
                  <w:shd w:val="clear" w:color="auto" w:fill="auto"/>
                  <w:vAlign w:val="center"/>
                </w:tcPr>
                <w:p w14:paraId="7F922C02">
                  <w:pPr>
                    <w:widowControl/>
                    <w:jc w:val="center"/>
                    <w:textAlignment w:val="center"/>
                    <w:rPr>
                      <w:rFonts w:hint="eastAsia" w:ascii="Times New Roman" w:hAnsi="Times New Roman" w:eastAsia="宋体" w:cs="Times New Roman"/>
                      <w:bCs/>
                      <w:color w:val="auto"/>
                      <w:szCs w:val="21"/>
                      <w:lang w:val="en-US" w:eastAsia="zh-CN"/>
                    </w:rPr>
                  </w:pPr>
                  <w:r>
                    <w:rPr>
                      <w:rFonts w:hint="eastAsia"/>
                      <w:color w:val="auto"/>
                      <w:kern w:val="0"/>
                      <w:szCs w:val="21"/>
                      <w:lang w:bidi="ar"/>
                    </w:rPr>
                    <w:t>合理布局，选用低噪声设备，机械设备安装减振基础</w:t>
                  </w:r>
                  <w:r>
                    <w:rPr>
                      <w:rFonts w:hint="eastAsia" w:ascii="Times New Roman" w:hAnsi="Times New Roman" w:eastAsia="宋体" w:cs="Times New Roman"/>
                      <w:bCs/>
                      <w:color w:val="auto"/>
                      <w:szCs w:val="21"/>
                      <w:lang w:val="en-US" w:eastAsia="zh-CN"/>
                    </w:rPr>
                    <w:t>。</w:t>
                  </w:r>
                </w:p>
              </w:tc>
              <w:tc>
                <w:tcPr>
                  <w:tcW w:w="2195" w:type="dxa"/>
                  <w:tcBorders>
                    <w:tl2br w:val="nil"/>
                    <w:tr2bl w:val="nil"/>
                  </w:tcBorders>
                  <w:shd w:val="clear" w:color="auto" w:fill="auto"/>
                  <w:vAlign w:val="center"/>
                </w:tcPr>
                <w:p w14:paraId="6DCA2EBC">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《工业企业厂界环境噪声排放标准》（</w:t>
                  </w:r>
                  <w:r>
                    <w:rPr>
                      <w:rFonts w:hint="default" w:ascii="Times New Roman" w:hAnsi="Times New Roman" w:eastAsia="宋体" w:cs="Times New Roman"/>
                      <w:bCs/>
                      <w:color w:val="auto"/>
                      <w:szCs w:val="21"/>
                      <w:lang w:val="en-US" w:eastAsia="zh-CN"/>
                    </w:rPr>
                    <w:t>GB12348-2008</w:t>
                  </w:r>
                  <w:r>
                    <w:rPr>
                      <w:rFonts w:hint="eastAsia" w:ascii="Times New Roman" w:hAnsi="Times New Roman" w:eastAsia="宋体" w:cs="Times New Roman"/>
                      <w:bCs/>
                      <w:color w:val="auto"/>
                      <w:szCs w:val="21"/>
                      <w:lang w:val="en-US" w:eastAsia="zh-CN"/>
                    </w:rPr>
                    <w:t>）</w:t>
                  </w:r>
                  <w:r>
                    <w:rPr>
                      <w:rFonts w:hint="default" w:ascii="Times New Roman" w:hAnsi="Times New Roman" w:eastAsia="宋体" w:cs="Times New Roman"/>
                      <w:bCs/>
                      <w:color w:val="auto"/>
                      <w:szCs w:val="21"/>
                      <w:lang w:val="en-US" w:eastAsia="zh-CN"/>
                    </w:rPr>
                    <w:t>3</w:t>
                  </w:r>
                  <w:r>
                    <w:rPr>
                      <w:rFonts w:hint="eastAsia" w:ascii="Times New Roman" w:hAnsi="Times New Roman" w:eastAsia="宋体" w:cs="Times New Roman"/>
                      <w:bCs/>
                      <w:color w:val="auto"/>
                      <w:szCs w:val="21"/>
                      <w:lang w:val="en-US" w:eastAsia="zh-CN"/>
                    </w:rPr>
                    <w:t>类标准</w:t>
                  </w:r>
                </w:p>
              </w:tc>
            </w:tr>
            <w:tr w14:paraId="0A719BB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4" w:hRule="atLeast"/>
                <w:jc w:val="center"/>
              </w:trPr>
              <w:tc>
                <w:tcPr>
                  <w:tcW w:w="621" w:type="dxa"/>
                  <w:vMerge w:val="restart"/>
                  <w:tcBorders>
                    <w:tl2br w:val="nil"/>
                    <w:tr2bl w:val="nil"/>
                  </w:tcBorders>
                  <w:shd w:val="clear" w:color="auto" w:fill="auto"/>
                  <w:vAlign w:val="center"/>
                </w:tcPr>
                <w:p w14:paraId="1D25F69B">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固体废物</w:t>
                  </w:r>
                </w:p>
              </w:tc>
              <w:tc>
                <w:tcPr>
                  <w:tcW w:w="3373" w:type="dxa"/>
                  <w:gridSpan w:val="3"/>
                  <w:tcBorders>
                    <w:tl2br w:val="nil"/>
                    <w:tr2bl w:val="nil"/>
                  </w:tcBorders>
                  <w:shd w:val="clear" w:color="auto" w:fill="auto"/>
                  <w:vAlign w:val="center"/>
                </w:tcPr>
                <w:p w14:paraId="0DA00778">
                  <w:pPr>
                    <w:widowControl/>
                    <w:jc w:val="center"/>
                    <w:textAlignment w:val="center"/>
                    <w:rPr>
                      <w:rFonts w:hint="eastAsia" w:ascii="Times New Roman" w:hAnsi="Times New Roman" w:eastAsia="宋体" w:cs="Times New Roman"/>
                      <w:bCs/>
                      <w:color w:val="auto"/>
                      <w:szCs w:val="21"/>
                      <w:lang w:val="en-US" w:eastAsia="zh-CN"/>
                    </w:rPr>
                  </w:pPr>
                  <w:r>
                    <w:rPr>
                      <w:rFonts w:hint="eastAsia" w:cs="Times New Roman"/>
                      <w:bCs/>
                      <w:color w:val="auto"/>
                      <w:szCs w:val="21"/>
                      <w:lang w:val="en-US" w:eastAsia="zh-CN"/>
                    </w:rPr>
                    <w:t>切割粉尘</w:t>
                  </w:r>
                  <w:r>
                    <w:rPr>
                      <w:rFonts w:hint="eastAsia" w:ascii="Times New Roman" w:hAnsi="Times New Roman" w:eastAsia="宋体" w:cs="Times New Roman"/>
                      <w:bCs/>
                      <w:color w:val="auto"/>
                      <w:szCs w:val="21"/>
                      <w:lang w:val="en-US" w:eastAsia="zh-CN"/>
                    </w:rPr>
                    <w:t>、</w:t>
                  </w:r>
                  <w:r>
                    <w:rPr>
                      <w:rFonts w:hint="eastAsia" w:cs="Times New Roman"/>
                      <w:bCs/>
                      <w:color w:val="auto"/>
                      <w:szCs w:val="21"/>
                      <w:lang w:val="en-US" w:eastAsia="zh-CN"/>
                    </w:rPr>
                    <w:t>打磨粉</w:t>
                  </w:r>
                  <w:r>
                    <w:rPr>
                      <w:rFonts w:hint="eastAsia" w:ascii="Times New Roman" w:hAnsi="Times New Roman" w:eastAsia="宋体" w:cs="Times New Roman"/>
                      <w:bCs/>
                      <w:color w:val="auto"/>
                      <w:szCs w:val="21"/>
                      <w:lang w:val="en-US" w:eastAsia="zh-CN"/>
                    </w:rPr>
                    <w:t>尘、不合格产品</w:t>
                  </w:r>
                </w:p>
              </w:tc>
              <w:tc>
                <w:tcPr>
                  <w:tcW w:w="2201" w:type="dxa"/>
                  <w:tcBorders>
                    <w:tl2br w:val="nil"/>
                    <w:tr2bl w:val="nil"/>
                  </w:tcBorders>
                  <w:shd w:val="clear" w:color="auto" w:fill="auto"/>
                  <w:vAlign w:val="center"/>
                </w:tcPr>
                <w:p w14:paraId="74A694ED">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暂存于一般固废仓库，交由一般固废处置单位处置。</w:t>
                  </w:r>
                </w:p>
              </w:tc>
              <w:tc>
                <w:tcPr>
                  <w:tcW w:w="2195" w:type="dxa"/>
                  <w:vMerge w:val="restart"/>
                  <w:tcBorders>
                    <w:tl2br w:val="nil"/>
                    <w:tr2bl w:val="nil"/>
                  </w:tcBorders>
                  <w:shd w:val="clear" w:color="auto" w:fill="auto"/>
                  <w:vAlign w:val="center"/>
                </w:tcPr>
                <w:p w14:paraId="74A69486">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《危险废物贮存污染控制标准》（</w:t>
                  </w:r>
                  <w:r>
                    <w:rPr>
                      <w:rFonts w:hint="default" w:ascii="Times New Roman" w:hAnsi="Times New Roman" w:eastAsia="宋体" w:cs="Times New Roman"/>
                      <w:bCs/>
                      <w:color w:val="auto"/>
                      <w:szCs w:val="21"/>
                      <w:lang w:val="en-US" w:eastAsia="zh-CN"/>
                    </w:rPr>
                    <w:t>GB18597-2023</w:t>
                  </w:r>
                  <w:r>
                    <w:rPr>
                      <w:rFonts w:hint="eastAsia" w:ascii="Times New Roman" w:hAnsi="Times New Roman" w:eastAsia="宋体" w:cs="Times New Roman"/>
                      <w:bCs/>
                      <w:color w:val="auto"/>
                      <w:szCs w:val="21"/>
                      <w:lang w:val="en-US" w:eastAsia="zh-CN"/>
                    </w:rPr>
                    <w:t>）、</w:t>
                  </w:r>
                </w:p>
                <w:p w14:paraId="0B998D13">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《一般工业固体废物贮存和填埋污染控制标准》（GB18599-2020）</w:t>
                  </w:r>
                </w:p>
              </w:tc>
            </w:tr>
            <w:tr w14:paraId="3768412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22" w:hRule="atLeast"/>
                <w:jc w:val="center"/>
              </w:trPr>
              <w:tc>
                <w:tcPr>
                  <w:tcW w:w="621" w:type="dxa"/>
                  <w:vMerge w:val="continue"/>
                  <w:tcBorders>
                    <w:tl2br w:val="nil"/>
                    <w:tr2bl w:val="nil"/>
                  </w:tcBorders>
                  <w:shd w:val="clear" w:color="auto" w:fill="auto"/>
                  <w:vAlign w:val="center"/>
                </w:tcPr>
                <w:p w14:paraId="1E38EB44">
                  <w:pPr>
                    <w:widowControl/>
                    <w:jc w:val="center"/>
                    <w:textAlignment w:val="center"/>
                    <w:rPr>
                      <w:rFonts w:hint="eastAsia" w:ascii="Times New Roman" w:hAnsi="Times New Roman" w:eastAsia="宋体" w:cs="Times New Roman"/>
                      <w:bCs/>
                      <w:color w:val="auto"/>
                      <w:szCs w:val="21"/>
                      <w:lang w:val="en-US" w:eastAsia="zh-CN"/>
                    </w:rPr>
                  </w:pPr>
                </w:p>
              </w:tc>
              <w:tc>
                <w:tcPr>
                  <w:tcW w:w="3373" w:type="dxa"/>
                  <w:gridSpan w:val="3"/>
                  <w:tcBorders>
                    <w:tl2br w:val="nil"/>
                    <w:tr2bl w:val="nil"/>
                  </w:tcBorders>
                  <w:shd w:val="clear" w:color="auto" w:fill="auto"/>
                  <w:vAlign w:val="center"/>
                </w:tcPr>
                <w:p w14:paraId="30BE0B95">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废包装桶、、废活性炭、沾染树脂的手套及玻璃纤维、废润滑油</w:t>
                  </w:r>
                </w:p>
              </w:tc>
              <w:tc>
                <w:tcPr>
                  <w:tcW w:w="2201" w:type="dxa"/>
                  <w:tcBorders>
                    <w:tl2br w:val="nil"/>
                    <w:tr2bl w:val="nil"/>
                  </w:tcBorders>
                  <w:shd w:val="clear" w:color="auto" w:fill="auto"/>
                  <w:vAlign w:val="center"/>
                </w:tcPr>
                <w:p w14:paraId="04D7D067">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暂存于危废间，委托有资质单位定期妥善安全处置。</w:t>
                  </w:r>
                </w:p>
              </w:tc>
              <w:tc>
                <w:tcPr>
                  <w:tcW w:w="2195" w:type="dxa"/>
                  <w:vMerge w:val="continue"/>
                  <w:tcBorders>
                    <w:tl2br w:val="nil"/>
                    <w:tr2bl w:val="nil"/>
                  </w:tcBorders>
                  <w:shd w:val="clear" w:color="auto" w:fill="auto"/>
                  <w:vAlign w:val="center"/>
                </w:tcPr>
                <w:p w14:paraId="4EE20EC1">
                  <w:pPr>
                    <w:widowControl/>
                    <w:jc w:val="center"/>
                    <w:textAlignment w:val="center"/>
                    <w:rPr>
                      <w:rFonts w:hint="eastAsia" w:ascii="Times New Roman" w:hAnsi="Times New Roman" w:eastAsia="宋体" w:cs="Times New Roman"/>
                      <w:bCs/>
                      <w:color w:val="auto"/>
                      <w:szCs w:val="21"/>
                      <w:lang w:val="en-US" w:eastAsia="zh-CN"/>
                    </w:rPr>
                  </w:pPr>
                </w:p>
              </w:tc>
            </w:tr>
            <w:tr w14:paraId="2D279A8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4" w:hRule="atLeast"/>
                <w:jc w:val="center"/>
              </w:trPr>
              <w:tc>
                <w:tcPr>
                  <w:tcW w:w="621" w:type="dxa"/>
                  <w:vMerge w:val="continue"/>
                  <w:tcBorders>
                    <w:tl2br w:val="nil"/>
                    <w:tr2bl w:val="nil"/>
                  </w:tcBorders>
                  <w:shd w:val="clear" w:color="auto" w:fill="auto"/>
                  <w:vAlign w:val="center"/>
                </w:tcPr>
                <w:p w14:paraId="798A2E64">
                  <w:pPr>
                    <w:widowControl/>
                    <w:jc w:val="center"/>
                    <w:textAlignment w:val="center"/>
                    <w:rPr>
                      <w:rFonts w:hint="eastAsia" w:ascii="Times New Roman" w:hAnsi="Times New Roman" w:eastAsia="宋体" w:cs="Times New Roman"/>
                      <w:bCs/>
                      <w:color w:val="auto"/>
                      <w:szCs w:val="21"/>
                      <w:lang w:val="en-US" w:eastAsia="zh-CN"/>
                    </w:rPr>
                  </w:pPr>
                </w:p>
              </w:tc>
              <w:tc>
                <w:tcPr>
                  <w:tcW w:w="3373" w:type="dxa"/>
                  <w:gridSpan w:val="3"/>
                  <w:tcBorders>
                    <w:tl2br w:val="nil"/>
                    <w:tr2bl w:val="nil"/>
                  </w:tcBorders>
                  <w:shd w:val="clear" w:color="auto" w:fill="auto"/>
                  <w:vAlign w:val="center"/>
                </w:tcPr>
                <w:p w14:paraId="16449DF8">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生活垃圾。</w:t>
                  </w:r>
                </w:p>
              </w:tc>
              <w:tc>
                <w:tcPr>
                  <w:tcW w:w="2201" w:type="dxa"/>
                  <w:tcBorders>
                    <w:tl2br w:val="nil"/>
                    <w:tr2bl w:val="nil"/>
                  </w:tcBorders>
                  <w:shd w:val="clear" w:color="auto" w:fill="auto"/>
                  <w:vAlign w:val="center"/>
                </w:tcPr>
                <w:p w14:paraId="16A988DA">
                  <w:pPr>
                    <w:widowControl/>
                    <w:jc w:val="center"/>
                    <w:textAlignment w:val="center"/>
                    <w:rPr>
                      <w:rFonts w:hint="eastAsia" w:ascii="Times New Roman" w:hAnsi="Times New Roman" w:eastAsia="宋体" w:cs="Times New Roman"/>
                      <w:bCs/>
                      <w:color w:val="auto"/>
                      <w:szCs w:val="21"/>
                      <w:lang w:val="en-US" w:eastAsia="zh-CN"/>
                    </w:rPr>
                  </w:pPr>
                  <w:r>
                    <w:rPr>
                      <w:bCs/>
                      <w:color w:val="auto"/>
                      <w:szCs w:val="21"/>
                    </w:rPr>
                    <w:t>办公区收集设施集中收集，生活垃圾由园区环卫部门统一处理</w:t>
                  </w:r>
                  <w:r>
                    <w:rPr>
                      <w:rFonts w:hint="eastAsia" w:ascii="Times New Roman" w:hAnsi="Times New Roman" w:eastAsia="宋体" w:cs="Times New Roman"/>
                      <w:bCs/>
                      <w:color w:val="auto"/>
                      <w:szCs w:val="21"/>
                      <w:lang w:val="en-US" w:eastAsia="zh-CN"/>
                    </w:rPr>
                    <w:t>。</w:t>
                  </w:r>
                </w:p>
              </w:tc>
              <w:tc>
                <w:tcPr>
                  <w:tcW w:w="2195" w:type="dxa"/>
                  <w:vMerge w:val="continue"/>
                  <w:tcBorders>
                    <w:tl2br w:val="nil"/>
                    <w:tr2bl w:val="nil"/>
                  </w:tcBorders>
                  <w:shd w:val="clear" w:color="auto" w:fill="auto"/>
                  <w:vAlign w:val="center"/>
                </w:tcPr>
                <w:p w14:paraId="1AF93D00">
                  <w:pPr>
                    <w:widowControl/>
                    <w:jc w:val="center"/>
                    <w:textAlignment w:val="center"/>
                    <w:rPr>
                      <w:rFonts w:hint="eastAsia" w:ascii="Times New Roman" w:hAnsi="Times New Roman" w:eastAsia="宋体" w:cs="Times New Roman"/>
                      <w:bCs/>
                      <w:color w:val="auto"/>
                      <w:szCs w:val="21"/>
                      <w:lang w:val="en-US" w:eastAsia="zh-CN"/>
                    </w:rPr>
                  </w:pPr>
                </w:p>
              </w:tc>
            </w:tr>
            <w:tr w14:paraId="2D8F770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4" w:hRule="atLeast"/>
                <w:jc w:val="center"/>
              </w:trPr>
              <w:tc>
                <w:tcPr>
                  <w:tcW w:w="621" w:type="dxa"/>
                  <w:tcBorders>
                    <w:tl2br w:val="nil"/>
                    <w:tr2bl w:val="nil"/>
                  </w:tcBorders>
                  <w:shd w:val="clear" w:color="auto" w:fill="auto"/>
                  <w:vAlign w:val="center"/>
                </w:tcPr>
                <w:p w14:paraId="3CCAB7DC">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环境管理</w:t>
                  </w:r>
                </w:p>
              </w:tc>
              <w:tc>
                <w:tcPr>
                  <w:tcW w:w="5574" w:type="dxa"/>
                  <w:gridSpan w:val="4"/>
                  <w:tcBorders>
                    <w:tl2br w:val="nil"/>
                    <w:tr2bl w:val="nil"/>
                  </w:tcBorders>
                  <w:shd w:val="clear" w:color="auto" w:fill="auto"/>
                  <w:vAlign w:val="center"/>
                </w:tcPr>
                <w:p w14:paraId="55B86402">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建立完善的环境管理机构和环境管理制度，各类环保资料（如环评报告、监测报告等）存档备查；按相关技术规范办理排污许可证，持证排污</w:t>
                  </w:r>
                </w:p>
              </w:tc>
              <w:tc>
                <w:tcPr>
                  <w:tcW w:w="2195" w:type="dxa"/>
                  <w:tcBorders>
                    <w:tl2br w:val="nil"/>
                    <w:tr2bl w:val="nil"/>
                  </w:tcBorders>
                  <w:shd w:val="clear" w:color="auto" w:fill="auto"/>
                  <w:vAlign w:val="center"/>
                </w:tcPr>
                <w:p w14:paraId="0D19D5CF">
                  <w:pPr>
                    <w:widowControl/>
                    <w:jc w:val="center"/>
                    <w:textAlignment w:val="center"/>
                    <w:rPr>
                      <w:rFonts w:hint="eastAsia" w:ascii="Times New Roman" w:hAnsi="Times New Roman" w:eastAsia="宋体" w:cs="Times New Roman"/>
                      <w:bCs/>
                      <w:color w:val="auto"/>
                      <w:szCs w:val="21"/>
                      <w:lang w:val="en-US" w:eastAsia="zh-CN"/>
                    </w:rPr>
                  </w:pPr>
                  <w:r>
                    <w:rPr>
                      <w:rFonts w:hint="eastAsia" w:ascii="Times New Roman" w:hAnsi="Times New Roman" w:eastAsia="宋体" w:cs="Times New Roman"/>
                      <w:bCs/>
                      <w:color w:val="auto"/>
                      <w:szCs w:val="21"/>
                      <w:lang w:val="en-US" w:eastAsia="zh-CN"/>
                    </w:rPr>
                    <w:t>制度完善、资料齐全，持证排污</w:t>
                  </w:r>
                </w:p>
              </w:tc>
            </w:tr>
          </w:tbl>
          <w:p w14:paraId="0A90FDC5">
            <w:pPr>
              <w:pStyle w:val="19"/>
              <w:spacing w:before="0" w:beforeAutospacing="0" w:after="0" w:afterAutospacing="0" w:line="360" w:lineRule="auto"/>
              <w:jc w:val="both"/>
              <w:outlineLvl w:val="0"/>
              <w:rPr>
                <w:color w:val="auto"/>
              </w:rPr>
            </w:pPr>
          </w:p>
          <w:p w14:paraId="276908DD">
            <w:pPr>
              <w:pStyle w:val="19"/>
              <w:spacing w:before="0" w:beforeAutospacing="0" w:after="0" w:afterAutospacing="0" w:line="360" w:lineRule="auto"/>
              <w:jc w:val="both"/>
              <w:outlineLvl w:val="0"/>
              <w:rPr>
                <w:color w:val="auto"/>
              </w:rPr>
            </w:pPr>
          </w:p>
          <w:p w14:paraId="22DAC027">
            <w:pPr>
              <w:pStyle w:val="19"/>
              <w:spacing w:before="0" w:beforeAutospacing="0" w:after="0" w:afterAutospacing="0" w:line="360" w:lineRule="auto"/>
              <w:jc w:val="both"/>
              <w:outlineLvl w:val="0"/>
              <w:rPr>
                <w:color w:val="auto"/>
              </w:rPr>
            </w:pPr>
          </w:p>
          <w:p w14:paraId="13F9FBCF">
            <w:pPr>
              <w:pStyle w:val="19"/>
              <w:spacing w:before="0" w:beforeAutospacing="0" w:after="0" w:afterAutospacing="0" w:line="360" w:lineRule="auto"/>
              <w:jc w:val="both"/>
              <w:outlineLvl w:val="0"/>
              <w:rPr>
                <w:color w:val="auto"/>
              </w:rPr>
            </w:pPr>
          </w:p>
          <w:p w14:paraId="68333A4A">
            <w:pPr>
              <w:pStyle w:val="19"/>
              <w:spacing w:before="0" w:beforeAutospacing="0" w:after="0" w:afterAutospacing="0" w:line="360" w:lineRule="auto"/>
              <w:jc w:val="both"/>
              <w:outlineLvl w:val="0"/>
              <w:rPr>
                <w:color w:val="auto"/>
              </w:rPr>
            </w:pPr>
          </w:p>
          <w:p w14:paraId="778CA672">
            <w:pPr>
              <w:pStyle w:val="19"/>
              <w:spacing w:before="0" w:beforeAutospacing="0" w:after="0" w:afterAutospacing="0" w:line="360" w:lineRule="auto"/>
              <w:jc w:val="both"/>
              <w:outlineLvl w:val="0"/>
              <w:rPr>
                <w:color w:val="auto"/>
              </w:rPr>
            </w:pPr>
          </w:p>
          <w:p w14:paraId="45DE36A1">
            <w:pPr>
              <w:pStyle w:val="19"/>
              <w:spacing w:before="0" w:beforeAutospacing="0" w:after="0" w:afterAutospacing="0" w:line="360" w:lineRule="auto"/>
              <w:jc w:val="both"/>
              <w:outlineLvl w:val="0"/>
              <w:rPr>
                <w:color w:val="auto"/>
              </w:rPr>
            </w:pPr>
          </w:p>
          <w:p w14:paraId="2501FE80">
            <w:pPr>
              <w:pStyle w:val="19"/>
              <w:spacing w:before="0" w:beforeAutospacing="0" w:after="0" w:afterAutospacing="0" w:line="360" w:lineRule="auto"/>
              <w:jc w:val="both"/>
              <w:outlineLvl w:val="0"/>
              <w:rPr>
                <w:color w:val="auto"/>
              </w:rPr>
            </w:pPr>
          </w:p>
          <w:p w14:paraId="4912D276">
            <w:pPr>
              <w:pStyle w:val="19"/>
              <w:spacing w:before="0" w:beforeAutospacing="0" w:after="0" w:afterAutospacing="0" w:line="360" w:lineRule="auto"/>
              <w:jc w:val="both"/>
              <w:outlineLvl w:val="0"/>
              <w:rPr>
                <w:rFonts w:hint="default"/>
                <w:color w:val="auto"/>
                <w:lang w:val="en-US" w:eastAsia="zh-CN"/>
              </w:rPr>
            </w:pPr>
          </w:p>
        </w:tc>
      </w:tr>
    </w:tbl>
    <w:p w14:paraId="2B10E505">
      <w:pPr>
        <w:pStyle w:val="19"/>
        <w:spacing w:before="0" w:beforeAutospacing="0" w:after="0" w:afterAutospacing="0"/>
        <w:jc w:val="center"/>
        <w:outlineLvl w:val="0"/>
        <w:rPr>
          <w:rFonts w:hint="eastAsia" w:ascii="Times New Roman" w:hAnsi="Times New Roman"/>
          <w:b/>
          <w:bCs/>
          <w:snapToGrid w:val="0"/>
          <w:sz w:val="30"/>
          <w:szCs w:val="30"/>
        </w:rPr>
        <w:sectPr>
          <w:footerReference r:id="rId6" w:type="default"/>
          <w:pgSz w:w="11906" w:h="16838"/>
          <w:pgMar w:top="1701" w:right="1531" w:bottom="1701" w:left="1531" w:header="851" w:footer="851" w:gutter="0"/>
          <w:cols w:space="720" w:num="1"/>
          <w:docGrid w:linePitch="312" w:charSpace="0"/>
        </w:sectPr>
      </w:pPr>
      <w:bookmarkStart w:id="5" w:name="_Toc1047"/>
    </w:p>
    <w:p w14:paraId="3921F9D7">
      <w:pPr>
        <w:pStyle w:val="19"/>
        <w:spacing w:before="0" w:beforeAutospacing="0" w:after="0" w:afterAutospacing="0"/>
        <w:jc w:val="center"/>
        <w:outlineLvl w:val="0"/>
        <w:rPr>
          <w:rFonts w:ascii="Times New Roman" w:hAnsi="Times New Roman"/>
          <w:snapToGrid w:val="0"/>
          <w:sz w:val="30"/>
          <w:szCs w:val="30"/>
        </w:rPr>
      </w:pPr>
      <w:r>
        <w:rPr>
          <w:rFonts w:hint="eastAsia" w:ascii="Times New Roman" w:hAnsi="Times New Roman"/>
          <w:b/>
          <w:bCs/>
          <w:snapToGrid w:val="0"/>
          <w:sz w:val="30"/>
          <w:szCs w:val="30"/>
        </w:rPr>
        <w:t>五、</w:t>
      </w:r>
      <w:bookmarkStart w:id="6" w:name="_Hlk54167917"/>
      <w:r>
        <w:rPr>
          <w:rFonts w:hint="eastAsia" w:ascii="Times New Roman" w:hAnsi="Times New Roman"/>
          <w:b/>
          <w:bCs/>
          <w:snapToGrid w:val="0"/>
          <w:sz w:val="30"/>
          <w:szCs w:val="30"/>
        </w:rPr>
        <w:t>环境保护措施监督检查清单</w:t>
      </w:r>
      <w:bookmarkEnd w:id="5"/>
      <w:bookmarkEnd w:id="6"/>
    </w:p>
    <w:tbl>
      <w:tblPr>
        <w:tblStyle w:val="22"/>
        <w:tblW w:w="920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550"/>
        <w:gridCol w:w="955"/>
        <w:gridCol w:w="2745"/>
        <w:gridCol w:w="2331"/>
      </w:tblGrid>
      <w:tr w14:paraId="0114D4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25" w:type="dxa"/>
            <w:tcBorders>
              <w:tl2br w:val="single" w:color="auto" w:sz="4" w:space="0"/>
            </w:tcBorders>
          </w:tcPr>
          <w:p w14:paraId="677A7A6E">
            <w:pPr>
              <w:adjustRightInd w:val="0"/>
              <w:snapToGrid w:val="0"/>
              <w:ind w:firstLine="840"/>
              <w:rPr>
                <w:rFonts w:hint="eastAsia" w:ascii="宋体" w:hAnsi="宋体" w:cs="宋体"/>
                <w:szCs w:val="21"/>
              </w:rPr>
            </w:pPr>
            <w:r>
              <w:rPr>
                <w:rFonts w:hint="eastAsia" w:ascii="宋体" w:hAnsi="宋体" w:cs="宋体"/>
                <w:szCs w:val="21"/>
              </w:rPr>
              <w:t>内容</w:t>
            </w:r>
          </w:p>
          <w:p w14:paraId="60B7B92F">
            <w:pPr>
              <w:adjustRightInd w:val="0"/>
              <w:snapToGrid w:val="0"/>
              <w:rPr>
                <w:rFonts w:hint="eastAsia" w:ascii="宋体" w:hAnsi="宋体" w:cs="宋体"/>
                <w:szCs w:val="21"/>
              </w:rPr>
            </w:pPr>
            <w:r>
              <w:rPr>
                <w:rFonts w:hint="eastAsia" w:ascii="宋体" w:hAnsi="宋体" w:cs="宋体"/>
                <w:szCs w:val="21"/>
              </w:rPr>
              <w:t>要素</w:t>
            </w:r>
          </w:p>
        </w:tc>
        <w:tc>
          <w:tcPr>
            <w:tcW w:w="1550" w:type="dxa"/>
            <w:vAlign w:val="center"/>
          </w:tcPr>
          <w:p w14:paraId="03481725">
            <w:pPr>
              <w:adjustRightInd w:val="0"/>
              <w:snapToGrid w:val="0"/>
              <w:jc w:val="center"/>
              <w:rPr>
                <w:rFonts w:hint="eastAsia" w:ascii="宋体" w:hAnsi="宋体" w:cs="宋体"/>
                <w:color w:val="auto"/>
                <w:szCs w:val="21"/>
              </w:rPr>
            </w:pPr>
            <w:r>
              <w:rPr>
                <w:rFonts w:hint="eastAsia" w:ascii="宋体" w:hAnsi="宋体" w:cs="宋体"/>
                <w:color w:val="auto"/>
                <w:szCs w:val="21"/>
              </w:rPr>
              <w:t>排放口(编号、名称)/污染源</w:t>
            </w:r>
          </w:p>
        </w:tc>
        <w:tc>
          <w:tcPr>
            <w:tcW w:w="955" w:type="dxa"/>
            <w:vAlign w:val="center"/>
          </w:tcPr>
          <w:p w14:paraId="7FAC9C76">
            <w:pPr>
              <w:adjustRightInd w:val="0"/>
              <w:snapToGrid w:val="0"/>
              <w:jc w:val="center"/>
              <w:rPr>
                <w:rFonts w:hint="eastAsia" w:ascii="宋体" w:hAnsi="宋体" w:cs="宋体"/>
                <w:color w:val="auto"/>
                <w:szCs w:val="21"/>
              </w:rPr>
            </w:pPr>
            <w:r>
              <w:rPr>
                <w:rFonts w:hint="eastAsia" w:ascii="宋体" w:hAnsi="宋体" w:cs="宋体"/>
                <w:color w:val="auto"/>
                <w:szCs w:val="21"/>
              </w:rPr>
              <w:t>污染物项目</w:t>
            </w:r>
          </w:p>
        </w:tc>
        <w:tc>
          <w:tcPr>
            <w:tcW w:w="2745" w:type="dxa"/>
            <w:vAlign w:val="center"/>
          </w:tcPr>
          <w:p w14:paraId="1BFB59A7">
            <w:pPr>
              <w:adjustRightInd w:val="0"/>
              <w:snapToGrid w:val="0"/>
              <w:jc w:val="center"/>
              <w:rPr>
                <w:rFonts w:hint="eastAsia" w:ascii="宋体" w:hAnsi="宋体" w:cs="宋体"/>
                <w:color w:val="auto"/>
                <w:szCs w:val="21"/>
              </w:rPr>
            </w:pPr>
            <w:r>
              <w:rPr>
                <w:rFonts w:hint="eastAsia" w:ascii="宋体" w:hAnsi="宋体" w:cs="宋体"/>
                <w:color w:val="auto"/>
                <w:szCs w:val="21"/>
              </w:rPr>
              <w:t>环境保护措施</w:t>
            </w:r>
          </w:p>
        </w:tc>
        <w:tc>
          <w:tcPr>
            <w:tcW w:w="2331" w:type="dxa"/>
            <w:vAlign w:val="center"/>
          </w:tcPr>
          <w:p w14:paraId="14AB0CC0">
            <w:pPr>
              <w:adjustRightInd w:val="0"/>
              <w:snapToGrid w:val="0"/>
              <w:jc w:val="center"/>
              <w:rPr>
                <w:rFonts w:hint="eastAsia" w:ascii="宋体" w:hAnsi="宋体" w:cs="宋体"/>
                <w:color w:val="auto"/>
                <w:szCs w:val="21"/>
              </w:rPr>
            </w:pPr>
            <w:r>
              <w:rPr>
                <w:rFonts w:hint="eastAsia" w:ascii="宋体" w:hAnsi="宋体" w:cs="宋体"/>
                <w:color w:val="auto"/>
                <w:szCs w:val="21"/>
              </w:rPr>
              <w:t>执行标准</w:t>
            </w:r>
          </w:p>
        </w:tc>
      </w:tr>
      <w:tr w14:paraId="263B21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625" w:type="dxa"/>
            <w:vMerge w:val="restart"/>
            <w:vAlign w:val="center"/>
          </w:tcPr>
          <w:p w14:paraId="171F856D">
            <w:pPr>
              <w:adjustRightInd w:val="0"/>
              <w:snapToGrid w:val="0"/>
              <w:jc w:val="center"/>
              <w:rPr>
                <w:rFonts w:hint="eastAsia" w:ascii="宋体" w:hAnsi="宋体" w:cs="宋体"/>
                <w:color w:val="auto"/>
                <w:szCs w:val="21"/>
              </w:rPr>
            </w:pPr>
            <w:r>
              <w:rPr>
                <w:rFonts w:hint="eastAsia" w:ascii="宋体" w:hAnsi="宋体" w:cs="宋体"/>
                <w:color w:val="auto"/>
                <w:szCs w:val="21"/>
              </w:rPr>
              <w:t>大气环境</w:t>
            </w:r>
          </w:p>
        </w:tc>
        <w:tc>
          <w:tcPr>
            <w:tcW w:w="1550" w:type="dxa"/>
            <w:vMerge w:val="restart"/>
            <w:vAlign w:val="center"/>
          </w:tcPr>
          <w:p w14:paraId="6E18AE99">
            <w:pPr>
              <w:adjustRightInd w:val="0"/>
              <w:snapToGrid w:val="0"/>
              <w:jc w:val="center"/>
              <w:rPr>
                <w:color w:val="auto"/>
              </w:rPr>
            </w:pPr>
            <w:r>
              <w:rPr>
                <w:rFonts w:hint="eastAsia" w:ascii="Times New Roman" w:hAnsi="Times New Roman" w:eastAsia="宋体" w:cs="Times New Roman"/>
                <w:bCs/>
                <w:color w:val="auto"/>
                <w:sz w:val="21"/>
                <w:szCs w:val="21"/>
                <w:lang w:eastAsia="zh-CN"/>
              </w:rPr>
              <w:t>搅拌、缠绕</w:t>
            </w:r>
            <w:r>
              <w:rPr>
                <w:rFonts w:hint="eastAsia" w:ascii="Times New Roman" w:hAnsi="Times New Roman" w:eastAsia="宋体" w:cs="Times New Roman"/>
                <w:bCs/>
                <w:color w:val="auto"/>
                <w:sz w:val="21"/>
                <w:szCs w:val="21"/>
                <w:lang w:val="en-US" w:eastAsia="zh-CN"/>
              </w:rPr>
              <w:t>（浸润）</w:t>
            </w:r>
            <w:r>
              <w:rPr>
                <w:rFonts w:hint="eastAsia" w:ascii="Times New Roman" w:hAnsi="Times New Roman" w:eastAsia="宋体" w:cs="Times New Roman"/>
                <w:bCs/>
                <w:color w:val="auto"/>
                <w:sz w:val="21"/>
                <w:szCs w:val="21"/>
                <w:lang w:eastAsia="zh-CN"/>
              </w:rPr>
              <w:t>、固化废气（</w:t>
            </w:r>
            <w:r>
              <w:rPr>
                <w:rFonts w:hint="eastAsia" w:ascii="Times New Roman" w:hAnsi="Times New Roman" w:eastAsia="宋体" w:cs="Times New Roman"/>
                <w:bCs/>
                <w:color w:val="auto"/>
                <w:sz w:val="21"/>
                <w:szCs w:val="21"/>
                <w:lang w:val="en-US" w:eastAsia="zh-CN"/>
              </w:rPr>
              <w:t>DA001</w:t>
            </w:r>
            <w:r>
              <w:rPr>
                <w:rFonts w:hint="eastAsia" w:ascii="Times New Roman" w:hAnsi="Times New Roman" w:eastAsia="宋体" w:cs="Times New Roman"/>
                <w:bCs/>
                <w:color w:val="auto"/>
                <w:sz w:val="21"/>
                <w:szCs w:val="21"/>
                <w:lang w:eastAsia="zh-CN"/>
              </w:rPr>
              <w:t>）</w:t>
            </w:r>
          </w:p>
        </w:tc>
        <w:tc>
          <w:tcPr>
            <w:tcW w:w="955" w:type="dxa"/>
            <w:vAlign w:val="center"/>
          </w:tcPr>
          <w:p w14:paraId="43EF0567">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宋体" w:hAnsi="宋体" w:cs="宋体"/>
                <w:color w:val="auto"/>
                <w:szCs w:val="21"/>
              </w:rPr>
            </w:pPr>
            <w:r>
              <w:rPr>
                <w:rFonts w:hint="eastAsia" w:ascii="Times New Roman" w:hAnsi="Times New Roman" w:cs="Times New Roman"/>
                <w:color w:val="auto"/>
                <w:lang w:val="en-US" w:eastAsia="zh-CN"/>
              </w:rPr>
              <w:t>非甲烷总烃</w:t>
            </w:r>
          </w:p>
        </w:tc>
        <w:tc>
          <w:tcPr>
            <w:tcW w:w="2745" w:type="dxa"/>
            <w:vMerge w:val="restart"/>
            <w:vAlign w:val="center"/>
          </w:tcPr>
          <w:p w14:paraId="43AF0C2C">
            <w:pPr>
              <w:adjustRightInd w:val="0"/>
              <w:snapToGrid w:val="0"/>
              <w:jc w:val="center"/>
              <w:rPr>
                <w:color w:val="auto"/>
                <w:szCs w:val="21"/>
              </w:rPr>
            </w:pPr>
            <w:r>
              <w:rPr>
                <w:rFonts w:hint="eastAsia"/>
                <w:bCs/>
                <w:color w:val="auto"/>
                <w:szCs w:val="21"/>
                <w:lang w:val="en-US" w:eastAsia="zh-CN"/>
              </w:rPr>
              <w:t>每条生产线的搅拌工序设1套集气罩、浸润和固化工序设1套集气罩，经集气罩收集后</w:t>
            </w:r>
            <w:r>
              <w:rPr>
                <w:bCs/>
                <w:color w:val="auto"/>
                <w:szCs w:val="21"/>
              </w:rPr>
              <w:t>经密闭抽尘管道引至</w:t>
            </w:r>
            <w:r>
              <w:rPr>
                <w:rFonts w:hint="eastAsia"/>
                <w:bCs/>
                <w:color w:val="auto"/>
                <w:szCs w:val="21"/>
                <w:lang w:eastAsia="zh-CN"/>
              </w:rPr>
              <w:t>“二级活性炭吸附”装置处理后经20.5m高排气筒（</w:t>
            </w:r>
            <w:r>
              <w:rPr>
                <w:rFonts w:hint="eastAsia"/>
                <w:bCs/>
                <w:color w:val="auto"/>
                <w:szCs w:val="21"/>
                <w:lang w:val="en-US" w:eastAsia="zh-CN"/>
              </w:rPr>
              <w:t>DA001</w:t>
            </w:r>
            <w:r>
              <w:rPr>
                <w:rFonts w:hint="eastAsia"/>
                <w:bCs/>
                <w:color w:val="auto"/>
                <w:szCs w:val="21"/>
                <w:lang w:eastAsia="zh-CN"/>
              </w:rPr>
              <w:t>）排放。</w:t>
            </w:r>
          </w:p>
        </w:tc>
        <w:tc>
          <w:tcPr>
            <w:tcW w:w="2331" w:type="dxa"/>
            <w:vAlign w:val="center"/>
          </w:tcPr>
          <w:p w14:paraId="2D72BFF7">
            <w:pPr>
              <w:adjustRightInd w:val="0"/>
              <w:snapToGrid w:val="0"/>
              <w:jc w:val="center"/>
              <w:rPr>
                <w:rFonts w:hint="eastAsia"/>
                <w:bCs/>
                <w:color w:val="auto"/>
                <w:szCs w:val="21"/>
                <w:lang w:val="en-US" w:eastAsia="zh-CN"/>
              </w:rPr>
            </w:pPr>
            <w:r>
              <w:rPr>
                <w:rFonts w:hint="eastAsia"/>
                <w:bCs/>
                <w:color w:val="auto"/>
                <w:szCs w:val="21"/>
                <w:lang w:val="en-US" w:eastAsia="zh-CN"/>
              </w:rPr>
              <w:t>《合成树脂工业污染物排放标准》(GB31572-2015)及其修改单表4中的限值要求</w:t>
            </w:r>
          </w:p>
        </w:tc>
      </w:tr>
      <w:tr w14:paraId="7F99A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625" w:type="dxa"/>
            <w:vMerge w:val="continue"/>
            <w:vAlign w:val="center"/>
          </w:tcPr>
          <w:p w14:paraId="22E13964">
            <w:pPr>
              <w:adjustRightInd w:val="0"/>
              <w:snapToGrid w:val="0"/>
              <w:jc w:val="center"/>
              <w:rPr>
                <w:rFonts w:hint="eastAsia" w:ascii="宋体" w:hAnsi="宋体" w:cs="宋体"/>
                <w:color w:val="auto"/>
                <w:szCs w:val="21"/>
              </w:rPr>
            </w:pPr>
          </w:p>
        </w:tc>
        <w:tc>
          <w:tcPr>
            <w:tcW w:w="1550" w:type="dxa"/>
            <w:vMerge w:val="continue"/>
            <w:vAlign w:val="center"/>
          </w:tcPr>
          <w:p w14:paraId="15717B28">
            <w:pPr>
              <w:adjustRightInd w:val="0"/>
              <w:snapToGrid w:val="0"/>
              <w:jc w:val="center"/>
              <w:rPr>
                <w:rFonts w:hint="eastAsia" w:ascii="Times New Roman" w:hAnsi="Times New Roman" w:eastAsia="宋体" w:cs="Times New Roman"/>
                <w:bCs/>
                <w:color w:val="auto"/>
                <w:sz w:val="21"/>
                <w:szCs w:val="21"/>
                <w:lang w:eastAsia="zh-CN"/>
              </w:rPr>
            </w:pPr>
          </w:p>
        </w:tc>
        <w:tc>
          <w:tcPr>
            <w:tcW w:w="955" w:type="dxa"/>
            <w:vAlign w:val="center"/>
          </w:tcPr>
          <w:p w14:paraId="0B375666">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臭气</w:t>
            </w:r>
          </w:p>
          <w:p w14:paraId="1AC74ACA">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宋体" w:hAnsi="宋体" w:cs="宋体"/>
                <w:color w:val="auto"/>
                <w:szCs w:val="21"/>
              </w:rPr>
            </w:pPr>
            <w:r>
              <w:rPr>
                <w:rFonts w:hint="eastAsia" w:ascii="Times New Roman" w:hAnsi="Times New Roman" w:cs="Times New Roman"/>
                <w:color w:val="auto"/>
                <w:lang w:val="en-US" w:eastAsia="zh-CN"/>
              </w:rPr>
              <w:t>浓度</w:t>
            </w:r>
          </w:p>
        </w:tc>
        <w:tc>
          <w:tcPr>
            <w:tcW w:w="2745" w:type="dxa"/>
            <w:vMerge w:val="continue"/>
            <w:vAlign w:val="center"/>
          </w:tcPr>
          <w:p w14:paraId="48815273">
            <w:pPr>
              <w:adjustRightInd w:val="0"/>
              <w:snapToGrid w:val="0"/>
              <w:jc w:val="center"/>
              <w:rPr>
                <w:color w:val="auto"/>
                <w:szCs w:val="21"/>
              </w:rPr>
            </w:pPr>
          </w:p>
        </w:tc>
        <w:tc>
          <w:tcPr>
            <w:tcW w:w="2331" w:type="dxa"/>
            <w:vAlign w:val="center"/>
          </w:tcPr>
          <w:p w14:paraId="7B51E90E">
            <w:pPr>
              <w:adjustRightInd w:val="0"/>
              <w:snapToGrid w:val="0"/>
              <w:jc w:val="center"/>
              <w:rPr>
                <w:rFonts w:hint="eastAsia"/>
                <w:bCs/>
                <w:color w:val="auto"/>
                <w:szCs w:val="21"/>
                <w:lang w:val="en-US" w:eastAsia="zh-CN"/>
              </w:rPr>
            </w:pPr>
            <w:r>
              <w:rPr>
                <w:rFonts w:hint="eastAsia"/>
                <w:bCs/>
                <w:color w:val="auto"/>
                <w:szCs w:val="21"/>
                <w:lang w:val="en-US" w:eastAsia="zh-CN"/>
              </w:rPr>
              <w:t>《恶臭污染物排放标准》(GB14554-93)表2中的恶臭污染物排放标准限值</w:t>
            </w:r>
          </w:p>
        </w:tc>
      </w:tr>
      <w:tr w14:paraId="327AF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625" w:type="dxa"/>
            <w:vMerge w:val="continue"/>
            <w:vAlign w:val="center"/>
          </w:tcPr>
          <w:p w14:paraId="22129341">
            <w:pPr>
              <w:adjustRightInd w:val="0"/>
              <w:snapToGrid w:val="0"/>
              <w:jc w:val="center"/>
              <w:rPr>
                <w:rFonts w:hint="eastAsia" w:ascii="宋体" w:hAnsi="宋体" w:cs="宋体"/>
                <w:color w:val="auto"/>
                <w:szCs w:val="21"/>
              </w:rPr>
            </w:pPr>
          </w:p>
        </w:tc>
        <w:tc>
          <w:tcPr>
            <w:tcW w:w="1550" w:type="dxa"/>
            <w:vAlign w:val="center"/>
          </w:tcPr>
          <w:p w14:paraId="31A2A36F">
            <w:pPr>
              <w:adjustRightInd w:val="0"/>
              <w:snapToGrid w:val="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切割、打磨</w:t>
            </w:r>
          </w:p>
          <w:p w14:paraId="06C3F714">
            <w:pPr>
              <w:adjustRightInd w:val="0"/>
              <w:snapToGrid w:val="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粉尘</w:t>
            </w:r>
          </w:p>
        </w:tc>
        <w:tc>
          <w:tcPr>
            <w:tcW w:w="955" w:type="dxa"/>
            <w:vAlign w:val="center"/>
          </w:tcPr>
          <w:p w14:paraId="735EE694">
            <w:pPr>
              <w:adjustRightInd w:val="0"/>
              <w:snapToGrid w:val="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颗粒物</w:t>
            </w:r>
          </w:p>
        </w:tc>
        <w:tc>
          <w:tcPr>
            <w:tcW w:w="2745" w:type="dxa"/>
            <w:vAlign w:val="center"/>
          </w:tcPr>
          <w:p w14:paraId="66124DE9">
            <w:pPr>
              <w:adjustRightInd w:val="0"/>
              <w:snapToGrid w:val="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切割、打磨工序在密闭环境中完成，产生的粉末由自带的吸尘管道收集，管道链接外置吸尘器由收集容器收集，不外排</w:t>
            </w:r>
          </w:p>
        </w:tc>
        <w:tc>
          <w:tcPr>
            <w:tcW w:w="2331" w:type="dxa"/>
            <w:vAlign w:val="center"/>
          </w:tcPr>
          <w:p w14:paraId="0A1052DA">
            <w:pPr>
              <w:adjustRightInd w:val="0"/>
              <w:snapToGrid w:val="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w:t>
            </w:r>
          </w:p>
        </w:tc>
      </w:tr>
      <w:tr w14:paraId="723F4C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625" w:type="dxa"/>
            <w:vMerge w:val="continue"/>
            <w:vAlign w:val="center"/>
          </w:tcPr>
          <w:p w14:paraId="6EA3CCD8">
            <w:pPr>
              <w:adjustRightInd w:val="0"/>
              <w:snapToGrid w:val="0"/>
              <w:jc w:val="center"/>
              <w:rPr>
                <w:rFonts w:hint="eastAsia" w:ascii="宋体" w:hAnsi="宋体" w:cs="宋体"/>
                <w:color w:val="auto"/>
                <w:szCs w:val="21"/>
              </w:rPr>
            </w:pPr>
          </w:p>
        </w:tc>
        <w:tc>
          <w:tcPr>
            <w:tcW w:w="1550" w:type="dxa"/>
            <w:vAlign w:val="center"/>
          </w:tcPr>
          <w:p w14:paraId="30BBD495">
            <w:pPr>
              <w:adjustRightInd w:val="0"/>
              <w:snapToGrid w:val="0"/>
              <w:jc w:val="center"/>
              <w:rPr>
                <w:rFonts w:hint="eastAsia" w:ascii="Times New Roman" w:hAnsi="Times New Roman" w:eastAsia="宋体" w:cs="Times New Roman"/>
                <w:bCs/>
                <w:color w:val="auto"/>
                <w:sz w:val="21"/>
                <w:szCs w:val="21"/>
                <w:lang w:val="en-US" w:eastAsia="zh-CN"/>
              </w:rPr>
            </w:pPr>
            <w:r>
              <w:rPr>
                <w:rFonts w:hint="eastAsia"/>
                <w:bCs/>
                <w:color w:val="auto"/>
                <w:szCs w:val="21"/>
                <w:lang w:val="en-US" w:eastAsia="zh-CN"/>
              </w:rPr>
              <w:t>静电喷涂喷涂废气</w:t>
            </w:r>
            <w:r>
              <w:rPr>
                <w:rFonts w:hint="eastAsia" w:ascii="Times New Roman" w:hAnsi="Times New Roman" w:eastAsia="宋体" w:cs="Times New Roman"/>
                <w:bCs/>
                <w:color w:val="auto"/>
                <w:sz w:val="21"/>
                <w:szCs w:val="21"/>
                <w:lang w:eastAsia="zh-CN"/>
              </w:rPr>
              <w:t>（</w:t>
            </w:r>
            <w:r>
              <w:rPr>
                <w:rFonts w:hint="eastAsia" w:ascii="Times New Roman" w:hAnsi="Times New Roman" w:eastAsia="宋体" w:cs="Times New Roman"/>
                <w:bCs/>
                <w:color w:val="auto"/>
                <w:sz w:val="21"/>
                <w:szCs w:val="21"/>
                <w:lang w:val="en-US" w:eastAsia="zh-CN"/>
              </w:rPr>
              <w:t>DA001</w:t>
            </w:r>
            <w:r>
              <w:rPr>
                <w:rFonts w:hint="eastAsia" w:ascii="Times New Roman" w:hAnsi="Times New Roman" w:eastAsia="宋体" w:cs="Times New Roman"/>
                <w:bCs/>
                <w:color w:val="auto"/>
                <w:sz w:val="21"/>
                <w:szCs w:val="21"/>
                <w:lang w:eastAsia="zh-CN"/>
              </w:rPr>
              <w:t>）</w:t>
            </w:r>
          </w:p>
        </w:tc>
        <w:tc>
          <w:tcPr>
            <w:tcW w:w="955" w:type="dxa"/>
            <w:vAlign w:val="center"/>
          </w:tcPr>
          <w:p w14:paraId="222D456A">
            <w:pPr>
              <w:adjustRightInd w:val="0"/>
              <w:snapToGrid w:val="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color w:val="auto"/>
                <w:lang w:val="en-US" w:eastAsia="zh-CN"/>
              </w:rPr>
              <w:t>颗粒物</w:t>
            </w:r>
          </w:p>
        </w:tc>
        <w:tc>
          <w:tcPr>
            <w:tcW w:w="2745" w:type="dxa"/>
            <w:vAlign w:val="center"/>
          </w:tcPr>
          <w:p w14:paraId="7A42DA07">
            <w:pPr>
              <w:adjustRightInd w:val="0"/>
              <w:snapToGrid w:val="0"/>
              <w:jc w:val="center"/>
              <w:rPr>
                <w:rFonts w:hint="eastAsia" w:ascii="Times New Roman" w:hAnsi="Times New Roman" w:eastAsia="宋体" w:cs="Times New Roman"/>
                <w:bCs/>
                <w:color w:val="auto"/>
                <w:sz w:val="21"/>
                <w:szCs w:val="21"/>
                <w:lang w:val="en-US" w:eastAsia="zh-CN"/>
              </w:rPr>
            </w:pPr>
            <w:r>
              <w:rPr>
                <w:rFonts w:hint="eastAsia"/>
                <w:bCs/>
                <w:color w:val="auto"/>
                <w:szCs w:val="21"/>
                <w:lang w:val="en-US" w:eastAsia="zh-CN"/>
              </w:rPr>
              <w:t>喷涂过程产生的粉末、粉尘先通过大旋风分离器粉末回收系统收集，粉末通过自动回收系统送回粉桶循环使用，粉尘进入转翼式滤芯过滤器二级回收系统处置，经20.5m高排气筒（DA001）排放。</w:t>
            </w:r>
          </w:p>
        </w:tc>
        <w:tc>
          <w:tcPr>
            <w:tcW w:w="2331" w:type="dxa"/>
            <w:vMerge w:val="restart"/>
            <w:vAlign w:val="center"/>
          </w:tcPr>
          <w:p w14:paraId="088147D5">
            <w:pPr>
              <w:adjustRightInd w:val="0"/>
              <w:snapToGrid w:val="0"/>
              <w:jc w:val="center"/>
              <w:rPr>
                <w:rFonts w:hint="eastAsia" w:cs="Times New Roman"/>
                <w:bCs/>
                <w:color w:val="auto"/>
                <w:sz w:val="21"/>
                <w:szCs w:val="21"/>
                <w:lang w:val="en-US" w:eastAsia="zh-CN"/>
              </w:rPr>
            </w:pPr>
            <w:r>
              <w:rPr>
                <w:rFonts w:hint="eastAsia" w:cs="Times New Roman"/>
                <w:bCs/>
                <w:color w:val="auto"/>
                <w:sz w:val="21"/>
                <w:szCs w:val="21"/>
                <w:lang w:val="en-US" w:eastAsia="zh-CN"/>
              </w:rPr>
              <w:t>/</w:t>
            </w:r>
          </w:p>
          <w:p w14:paraId="1946EBC9">
            <w:pPr>
              <w:adjustRightInd w:val="0"/>
              <w:snapToGrid w:val="0"/>
              <w:jc w:val="center"/>
              <w:rPr>
                <w:rFonts w:hint="eastAsia"/>
                <w:bCs/>
                <w:color w:val="auto"/>
                <w:szCs w:val="21"/>
                <w:lang w:val="en-US" w:eastAsia="zh-CN"/>
              </w:rPr>
            </w:pPr>
            <w:r>
              <w:rPr>
                <w:rFonts w:hint="eastAsia"/>
                <w:bCs/>
                <w:color w:val="auto"/>
                <w:szCs w:val="21"/>
                <w:lang w:val="en-US" w:eastAsia="zh-CN"/>
              </w:rPr>
              <w:t>《合成树脂工业污染物排放标准》(GB31572-2015)及其修改单表4中的限值要求</w:t>
            </w:r>
          </w:p>
        </w:tc>
      </w:tr>
      <w:tr w14:paraId="3D363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25" w:hRule="atLeast"/>
          <w:jc w:val="center"/>
        </w:trPr>
        <w:tc>
          <w:tcPr>
            <w:tcW w:w="1625" w:type="dxa"/>
            <w:vMerge w:val="continue"/>
            <w:vAlign w:val="center"/>
          </w:tcPr>
          <w:p w14:paraId="236B98DF">
            <w:pPr>
              <w:adjustRightInd w:val="0"/>
              <w:snapToGrid w:val="0"/>
              <w:jc w:val="center"/>
              <w:rPr>
                <w:rFonts w:hint="eastAsia" w:ascii="宋体" w:hAnsi="宋体" w:cs="宋体"/>
                <w:color w:val="auto"/>
                <w:szCs w:val="21"/>
              </w:rPr>
            </w:pPr>
          </w:p>
        </w:tc>
        <w:tc>
          <w:tcPr>
            <w:tcW w:w="1550" w:type="dxa"/>
            <w:vAlign w:val="center"/>
          </w:tcPr>
          <w:p w14:paraId="7037ADD1">
            <w:pPr>
              <w:adjustRightInd w:val="0"/>
              <w:snapToGrid w:val="0"/>
              <w:jc w:val="center"/>
              <w:rPr>
                <w:rFonts w:hint="eastAsia" w:ascii="Times New Roman" w:hAnsi="Times New Roman" w:eastAsia="宋体" w:cs="Times New Roman"/>
                <w:bCs/>
                <w:color w:val="auto"/>
                <w:sz w:val="21"/>
                <w:szCs w:val="21"/>
                <w:lang w:eastAsia="zh-CN"/>
              </w:rPr>
            </w:pPr>
            <w:r>
              <w:rPr>
                <w:rFonts w:hint="eastAsia"/>
                <w:color w:val="auto"/>
                <w:kern w:val="0"/>
                <w:szCs w:val="21"/>
                <w:lang w:val="en-US" w:eastAsia="zh-CN" w:bidi="ar"/>
              </w:rPr>
              <w:t>静电喷涂</w:t>
            </w:r>
            <w:r>
              <w:rPr>
                <w:rFonts w:hint="eastAsia"/>
                <w:bCs/>
                <w:color w:val="auto"/>
                <w:szCs w:val="21"/>
                <w:lang w:val="en-US" w:eastAsia="zh-CN"/>
              </w:rPr>
              <w:t>固化烘干</w:t>
            </w:r>
            <w:r>
              <w:rPr>
                <w:rFonts w:hint="eastAsia"/>
                <w:color w:val="auto"/>
                <w:kern w:val="0"/>
                <w:szCs w:val="21"/>
                <w:lang w:val="en-US" w:eastAsia="zh-CN" w:bidi="ar"/>
              </w:rPr>
              <w:t>废气</w:t>
            </w:r>
            <w:r>
              <w:rPr>
                <w:rFonts w:hint="eastAsia" w:ascii="Times New Roman" w:hAnsi="Times New Roman" w:eastAsia="宋体" w:cs="Times New Roman"/>
                <w:bCs/>
                <w:color w:val="auto"/>
                <w:sz w:val="21"/>
                <w:szCs w:val="21"/>
                <w:lang w:eastAsia="zh-CN"/>
              </w:rPr>
              <w:t>（</w:t>
            </w:r>
            <w:r>
              <w:rPr>
                <w:rFonts w:hint="eastAsia" w:ascii="Times New Roman" w:hAnsi="Times New Roman" w:eastAsia="宋体" w:cs="Times New Roman"/>
                <w:bCs/>
                <w:color w:val="auto"/>
                <w:sz w:val="21"/>
                <w:szCs w:val="21"/>
                <w:lang w:val="en-US" w:eastAsia="zh-CN"/>
              </w:rPr>
              <w:t>DA001</w:t>
            </w:r>
            <w:r>
              <w:rPr>
                <w:rFonts w:hint="eastAsia" w:ascii="Times New Roman" w:hAnsi="Times New Roman" w:eastAsia="宋体" w:cs="Times New Roman"/>
                <w:bCs/>
                <w:color w:val="auto"/>
                <w:sz w:val="21"/>
                <w:szCs w:val="21"/>
                <w:lang w:eastAsia="zh-CN"/>
              </w:rPr>
              <w:t>）</w:t>
            </w:r>
          </w:p>
        </w:tc>
        <w:tc>
          <w:tcPr>
            <w:tcW w:w="955" w:type="dxa"/>
            <w:shd w:val="clear" w:color="auto" w:fill="auto"/>
            <w:vAlign w:val="center"/>
          </w:tcPr>
          <w:p w14:paraId="0D9275DA">
            <w:pPr>
              <w:keepNext w:val="0"/>
              <w:keepLines w:val="0"/>
              <w:pageBreakBefore w:val="0"/>
              <w:widowControl w:val="0"/>
              <w:kinsoku/>
              <w:wordWrap/>
              <w:overflowPunct/>
              <w:topLinePunct w:val="0"/>
              <w:autoSpaceDE/>
              <w:autoSpaceDN/>
              <w:bidi w:val="0"/>
              <w:adjustRightInd/>
              <w:snapToGrid/>
              <w:ind w:firstLine="0" w:firstLineChars="0"/>
              <w:contextualSpacing/>
              <w:jc w:val="center"/>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非甲烷总烃</w:t>
            </w:r>
          </w:p>
        </w:tc>
        <w:tc>
          <w:tcPr>
            <w:tcW w:w="2745" w:type="dxa"/>
            <w:vMerge w:val="restart"/>
            <w:vAlign w:val="center"/>
          </w:tcPr>
          <w:p w14:paraId="1C2A091D">
            <w:pPr>
              <w:widowControl/>
              <w:jc w:val="center"/>
              <w:textAlignment w:val="center"/>
              <w:rPr>
                <w:color w:val="auto"/>
                <w:szCs w:val="21"/>
              </w:rPr>
            </w:pPr>
            <w:r>
              <w:rPr>
                <w:rFonts w:hint="eastAsia"/>
                <w:color w:val="auto"/>
                <w:kern w:val="0"/>
                <w:sz w:val="21"/>
                <w:szCs w:val="21"/>
                <w:lang w:val="en-US" w:eastAsia="zh-CN" w:bidi="ar"/>
              </w:rPr>
              <w:t>静电喷涂装置自带负压吸收装置和</w:t>
            </w:r>
            <w:r>
              <w:rPr>
                <w:rFonts w:hint="eastAsia"/>
                <w:color w:val="auto"/>
                <w:spacing w:val="7"/>
                <w:sz w:val="21"/>
                <w:szCs w:val="21"/>
                <w:lang w:val="en-US" w:eastAsia="zh-CN"/>
              </w:rPr>
              <w:t>“</w:t>
            </w:r>
            <w:r>
              <w:rPr>
                <w:color w:val="auto"/>
                <w:spacing w:val="15"/>
                <w:sz w:val="21"/>
                <w:szCs w:val="21"/>
              </w:rPr>
              <w:t>两级活性炭</w:t>
            </w:r>
            <w:r>
              <w:rPr>
                <w:rFonts w:hint="eastAsia"/>
                <w:color w:val="auto"/>
                <w:spacing w:val="15"/>
                <w:sz w:val="21"/>
                <w:szCs w:val="21"/>
                <w:lang w:val="en-US" w:eastAsia="zh-CN"/>
              </w:rPr>
              <w:t>吸附</w:t>
            </w:r>
            <w:r>
              <w:rPr>
                <w:rFonts w:hint="eastAsia"/>
                <w:color w:val="auto"/>
                <w:spacing w:val="7"/>
                <w:sz w:val="21"/>
                <w:szCs w:val="21"/>
                <w:lang w:val="en-US" w:eastAsia="zh-CN"/>
              </w:rPr>
              <w:t>”</w:t>
            </w:r>
            <w:r>
              <w:rPr>
                <w:rFonts w:hint="eastAsia"/>
                <w:color w:val="auto"/>
                <w:spacing w:val="15"/>
                <w:sz w:val="21"/>
                <w:szCs w:val="21"/>
                <w:lang w:val="en-US" w:eastAsia="zh-CN"/>
              </w:rPr>
              <w:t>装置；</w:t>
            </w:r>
            <w:r>
              <w:rPr>
                <w:rFonts w:hint="eastAsia"/>
                <w:bCs/>
                <w:color w:val="auto"/>
                <w:szCs w:val="21"/>
                <w:lang w:val="en-US" w:eastAsia="zh-CN"/>
              </w:rPr>
              <w:t>静电喷涂设备自带废气处理装置“两级活性炭吸附”装置处理后经20.5m高排气筒（DA001）排放</w:t>
            </w:r>
            <w:r>
              <w:rPr>
                <w:rFonts w:hint="eastAsia"/>
                <w:bCs/>
                <w:color w:val="auto"/>
                <w:szCs w:val="21"/>
                <w:lang w:eastAsia="zh-CN"/>
              </w:rPr>
              <w:t>。</w:t>
            </w:r>
          </w:p>
        </w:tc>
        <w:tc>
          <w:tcPr>
            <w:tcW w:w="2331" w:type="dxa"/>
            <w:vMerge w:val="continue"/>
            <w:vAlign w:val="center"/>
          </w:tcPr>
          <w:p w14:paraId="17D5E068">
            <w:pPr>
              <w:adjustRightInd w:val="0"/>
              <w:snapToGrid w:val="0"/>
              <w:jc w:val="center"/>
              <w:rPr>
                <w:rFonts w:hint="eastAsia"/>
                <w:bCs/>
                <w:color w:val="auto"/>
                <w:szCs w:val="21"/>
                <w:lang w:val="en-US" w:eastAsia="zh-CN"/>
              </w:rPr>
            </w:pPr>
          </w:p>
        </w:tc>
      </w:tr>
      <w:tr w14:paraId="3CDAC7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625" w:type="dxa"/>
            <w:vMerge w:val="continue"/>
            <w:vAlign w:val="center"/>
          </w:tcPr>
          <w:p w14:paraId="4242F205">
            <w:pPr>
              <w:adjustRightInd w:val="0"/>
              <w:snapToGrid w:val="0"/>
              <w:jc w:val="center"/>
              <w:rPr>
                <w:color w:val="auto"/>
              </w:rPr>
            </w:pPr>
          </w:p>
        </w:tc>
        <w:tc>
          <w:tcPr>
            <w:tcW w:w="1550" w:type="dxa"/>
            <w:vAlign w:val="center"/>
          </w:tcPr>
          <w:p w14:paraId="3A593838">
            <w:pPr>
              <w:adjustRightInd w:val="0"/>
              <w:snapToGrid w:val="0"/>
              <w:jc w:val="center"/>
              <w:rPr>
                <w:rFonts w:hint="default" w:eastAsia="宋体"/>
                <w:color w:val="auto"/>
                <w:lang w:val="en-US" w:eastAsia="zh-CN"/>
              </w:rPr>
            </w:pPr>
            <w:r>
              <w:rPr>
                <w:rFonts w:hint="eastAsia"/>
                <w:color w:val="auto"/>
                <w:lang w:val="en-US" w:eastAsia="zh-CN"/>
              </w:rPr>
              <w:t>厂内无组织</w:t>
            </w:r>
          </w:p>
        </w:tc>
        <w:tc>
          <w:tcPr>
            <w:tcW w:w="955" w:type="dxa"/>
            <w:vAlign w:val="center"/>
          </w:tcPr>
          <w:p w14:paraId="0BCE8C4C">
            <w:pPr>
              <w:adjustRightInd w:val="0"/>
              <w:snapToGrid w:val="0"/>
              <w:jc w:val="center"/>
              <w:rPr>
                <w:rFonts w:hint="eastAsia" w:ascii="宋体" w:hAnsi="宋体" w:cs="宋体"/>
                <w:color w:val="auto"/>
                <w:szCs w:val="21"/>
              </w:rPr>
            </w:pPr>
            <w:r>
              <w:rPr>
                <w:rFonts w:hint="eastAsia"/>
                <w:color w:val="auto"/>
                <w:vertAlign w:val="baseline"/>
                <w:lang w:val="en-US" w:eastAsia="zh-CN"/>
              </w:rPr>
              <w:t>非甲烷总烃</w:t>
            </w:r>
          </w:p>
        </w:tc>
        <w:tc>
          <w:tcPr>
            <w:tcW w:w="2745" w:type="dxa"/>
            <w:vMerge w:val="restart"/>
            <w:vAlign w:val="center"/>
          </w:tcPr>
          <w:p w14:paraId="43E275BD">
            <w:pPr>
              <w:adjustRightInd w:val="0"/>
              <w:snapToGrid w:val="0"/>
              <w:jc w:val="center"/>
              <w:rPr>
                <w:rFonts w:hint="eastAsia" w:ascii="宋体" w:hAnsi="宋体" w:cs="宋体"/>
                <w:color w:val="auto"/>
                <w:szCs w:val="21"/>
              </w:rPr>
            </w:pPr>
            <w:r>
              <w:rPr>
                <w:rFonts w:hint="eastAsia" w:ascii="Times New Roman" w:hAnsi="Times New Roman" w:eastAsia="宋体" w:cs="Times New Roman"/>
                <w:bCs/>
                <w:color w:val="auto"/>
                <w:szCs w:val="21"/>
                <w:lang w:val="en-US" w:eastAsia="zh-CN"/>
              </w:rPr>
              <w:t>加强车间通风</w:t>
            </w:r>
          </w:p>
        </w:tc>
        <w:tc>
          <w:tcPr>
            <w:tcW w:w="2331" w:type="dxa"/>
            <w:vAlign w:val="center"/>
          </w:tcPr>
          <w:p w14:paraId="3FEE87C1">
            <w:pPr>
              <w:adjustRightInd w:val="0"/>
              <w:snapToGrid w:val="0"/>
              <w:jc w:val="center"/>
              <w:rPr>
                <w:rFonts w:hint="eastAsia" w:ascii="宋体" w:hAnsi="宋体" w:cs="宋体"/>
                <w:color w:val="auto"/>
                <w:szCs w:val="21"/>
              </w:rPr>
            </w:pPr>
            <w:r>
              <w:rPr>
                <w:rFonts w:hint="default" w:ascii="Times New Roman" w:hAnsi="Times New Roman" w:eastAsia="宋体" w:cs="Times New Roman"/>
                <w:color w:val="auto"/>
                <w:vertAlign w:val="baseline"/>
                <w:lang w:val="en-US" w:eastAsia="zh-CN"/>
              </w:rPr>
              <w:t>《挥发性有机物无组织排放控制标准》(GB37822-2019)</w:t>
            </w:r>
            <w:r>
              <w:rPr>
                <w:rFonts w:hint="eastAsia" w:ascii="Times New Roman" w:hAnsi="Times New Roman" w:eastAsia="宋体" w:cs="Times New Roman"/>
                <w:color w:val="auto"/>
                <w:vertAlign w:val="baseline"/>
                <w:lang w:val="en-US" w:eastAsia="zh-CN"/>
              </w:rPr>
              <w:t>附录A.1排放限值要求</w:t>
            </w:r>
          </w:p>
        </w:tc>
      </w:tr>
      <w:tr w14:paraId="5B5E7C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5" w:type="dxa"/>
            <w:vMerge w:val="continue"/>
            <w:vAlign w:val="center"/>
          </w:tcPr>
          <w:p w14:paraId="301F02DE">
            <w:pPr>
              <w:adjustRightInd w:val="0"/>
              <w:snapToGrid w:val="0"/>
              <w:jc w:val="center"/>
              <w:rPr>
                <w:color w:val="auto"/>
              </w:rPr>
            </w:pPr>
          </w:p>
        </w:tc>
        <w:tc>
          <w:tcPr>
            <w:tcW w:w="1550" w:type="dxa"/>
            <w:vMerge w:val="restart"/>
            <w:vAlign w:val="center"/>
          </w:tcPr>
          <w:p w14:paraId="30BDCE73">
            <w:pPr>
              <w:adjustRightInd w:val="0"/>
              <w:snapToGrid w:val="0"/>
              <w:jc w:val="center"/>
              <w:rPr>
                <w:rFonts w:hint="default" w:eastAsia="宋体"/>
                <w:color w:val="auto"/>
                <w:lang w:val="en-US" w:eastAsia="zh-CN"/>
              </w:rPr>
            </w:pPr>
            <w:r>
              <w:rPr>
                <w:rFonts w:hint="eastAsia"/>
                <w:color w:val="auto"/>
                <w:kern w:val="0"/>
                <w:szCs w:val="21"/>
                <w:lang w:val="en-US" w:eastAsia="zh-CN" w:bidi="ar"/>
              </w:rPr>
              <w:t>厂界无组织</w:t>
            </w:r>
          </w:p>
        </w:tc>
        <w:tc>
          <w:tcPr>
            <w:tcW w:w="955" w:type="dxa"/>
            <w:shd w:val="clear" w:color="auto" w:fill="auto"/>
            <w:vAlign w:val="center"/>
          </w:tcPr>
          <w:p w14:paraId="7CA5D669">
            <w:pPr>
              <w:pStyle w:val="60"/>
              <w:ind w:left="0" w:leftChars="0" w:firstLine="0" w:firstLineChars="0"/>
              <w:jc w:val="center"/>
              <w:rPr>
                <w:rFonts w:hint="eastAsia" w:ascii="Times New Roman" w:hAnsi="Times New Roman" w:eastAsia="宋体" w:cs="Times New Roman"/>
                <w:color w:val="auto"/>
                <w:kern w:val="0"/>
                <w:sz w:val="21"/>
                <w:szCs w:val="24"/>
                <w:vertAlign w:val="baseline"/>
                <w:lang w:val="en-US" w:eastAsia="zh-CN" w:bidi="ar-SA"/>
              </w:rPr>
            </w:pPr>
            <w:r>
              <w:rPr>
                <w:rFonts w:hint="eastAsia"/>
                <w:color w:val="auto"/>
                <w:vertAlign w:val="baseline"/>
                <w:lang w:val="en-US" w:eastAsia="zh-CN"/>
              </w:rPr>
              <w:t>非甲烷总烃</w:t>
            </w:r>
          </w:p>
        </w:tc>
        <w:tc>
          <w:tcPr>
            <w:tcW w:w="2745" w:type="dxa"/>
            <w:vMerge w:val="continue"/>
            <w:vAlign w:val="center"/>
          </w:tcPr>
          <w:p w14:paraId="011F62AC">
            <w:pPr>
              <w:adjustRightInd w:val="0"/>
              <w:snapToGrid w:val="0"/>
              <w:jc w:val="center"/>
              <w:rPr>
                <w:rFonts w:hint="eastAsia" w:ascii="宋体" w:hAnsi="宋体" w:cs="宋体"/>
                <w:color w:val="auto"/>
                <w:szCs w:val="21"/>
              </w:rPr>
            </w:pPr>
          </w:p>
        </w:tc>
        <w:tc>
          <w:tcPr>
            <w:tcW w:w="2331" w:type="dxa"/>
            <w:vMerge w:val="restart"/>
            <w:vAlign w:val="center"/>
          </w:tcPr>
          <w:p w14:paraId="2C1922F3">
            <w:pPr>
              <w:adjustRightInd w:val="0"/>
              <w:snapToGrid w:val="0"/>
              <w:jc w:val="center"/>
              <w:rPr>
                <w:rFonts w:hint="eastAsia"/>
                <w:bCs/>
                <w:color w:val="auto"/>
                <w:szCs w:val="21"/>
                <w:lang w:val="en-US" w:eastAsia="zh-CN"/>
              </w:rPr>
            </w:pPr>
            <w:r>
              <w:rPr>
                <w:rFonts w:hint="eastAsia"/>
                <w:bCs/>
                <w:color w:val="auto"/>
                <w:szCs w:val="21"/>
                <w:lang w:val="en-US" w:eastAsia="zh-CN"/>
              </w:rPr>
              <w:t>《合成树脂工业污染物排放标准》(GB31572-2015)表9标准</w:t>
            </w:r>
          </w:p>
        </w:tc>
      </w:tr>
      <w:tr w14:paraId="7280B9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625" w:type="dxa"/>
            <w:vMerge w:val="continue"/>
            <w:vAlign w:val="center"/>
          </w:tcPr>
          <w:p w14:paraId="56A3301B">
            <w:pPr>
              <w:adjustRightInd w:val="0"/>
              <w:snapToGrid w:val="0"/>
              <w:jc w:val="center"/>
              <w:rPr>
                <w:color w:val="0000FF"/>
              </w:rPr>
            </w:pPr>
          </w:p>
        </w:tc>
        <w:tc>
          <w:tcPr>
            <w:tcW w:w="1550" w:type="dxa"/>
            <w:vMerge w:val="continue"/>
            <w:shd w:val="clear" w:color="auto" w:fill="auto"/>
            <w:vAlign w:val="center"/>
          </w:tcPr>
          <w:p w14:paraId="4C75CA64">
            <w:pPr>
              <w:widowControl/>
              <w:jc w:val="center"/>
              <w:rPr>
                <w:rFonts w:hint="eastAsia" w:ascii="Times New Roman" w:hAnsi="Times New Roman" w:eastAsia="宋体" w:cs="Times New Roman"/>
                <w:color w:val="auto"/>
                <w:kern w:val="0"/>
                <w:sz w:val="21"/>
                <w:szCs w:val="21"/>
                <w:lang w:val="en-US" w:eastAsia="zh-CN" w:bidi="ar"/>
              </w:rPr>
            </w:pPr>
          </w:p>
        </w:tc>
        <w:tc>
          <w:tcPr>
            <w:tcW w:w="955" w:type="dxa"/>
            <w:shd w:val="clear" w:color="auto" w:fill="auto"/>
            <w:vAlign w:val="center"/>
          </w:tcPr>
          <w:p w14:paraId="7F9B7F01">
            <w:pPr>
              <w:pStyle w:val="60"/>
              <w:ind w:left="0" w:leftChars="0" w:firstLine="0" w:firstLineChars="0"/>
              <w:jc w:val="center"/>
              <w:rPr>
                <w:rFonts w:hint="eastAsia" w:ascii="Times New Roman" w:hAnsi="Times New Roman" w:eastAsia="宋体" w:cs="Times New Roman"/>
                <w:color w:val="auto"/>
                <w:kern w:val="0"/>
                <w:sz w:val="21"/>
                <w:szCs w:val="24"/>
                <w:vertAlign w:val="baseline"/>
                <w:lang w:val="en-US" w:eastAsia="zh-CN" w:bidi="ar-SA"/>
              </w:rPr>
            </w:pPr>
            <w:r>
              <w:rPr>
                <w:rFonts w:hint="eastAsia" w:ascii="Times New Roman" w:hAnsi="Times New Roman"/>
                <w:color w:val="auto"/>
                <w:sz w:val="21"/>
                <w:szCs w:val="21"/>
              </w:rPr>
              <w:t>颗粒物</w:t>
            </w:r>
          </w:p>
        </w:tc>
        <w:tc>
          <w:tcPr>
            <w:tcW w:w="2745" w:type="dxa"/>
            <w:vMerge w:val="continue"/>
            <w:shd w:val="clear" w:color="auto" w:fill="auto"/>
            <w:vAlign w:val="center"/>
          </w:tcPr>
          <w:p w14:paraId="532584AA">
            <w:pPr>
              <w:snapToGrid w:val="0"/>
              <w:jc w:val="center"/>
              <w:rPr>
                <w:rFonts w:ascii="Times New Roman" w:hAnsi="Times New Roman" w:eastAsia="宋体" w:cs="Times New Roman"/>
                <w:bCs/>
                <w:color w:val="auto"/>
                <w:kern w:val="2"/>
                <w:sz w:val="21"/>
                <w:szCs w:val="21"/>
                <w:lang w:val="en-US" w:eastAsia="zh-CN" w:bidi="ar-SA"/>
              </w:rPr>
            </w:pPr>
          </w:p>
        </w:tc>
        <w:tc>
          <w:tcPr>
            <w:tcW w:w="2331" w:type="dxa"/>
            <w:vMerge w:val="continue"/>
            <w:vAlign w:val="center"/>
          </w:tcPr>
          <w:p w14:paraId="0B12C12B">
            <w:pPr>
              <w:adjustRightInd w:val="0"/>
              <w:snapToGrid w:val="0"/>
              <w:jc w:val="center"/>
              <w:rPr>
                <w:rFonts w:hint="eastAsia"/>
                <w:bCs/>
                <w:color w:val="auto"/>
                <w:szCs w:val="21"/>
                <w:lang w:val="en-US" w:eastAsia="zh-CN"/>
              </w:rPr>
            </w:pPr>
          </w:p>
        </w:tc>
      </w:tr>
      <w:tr w14:paraId="5661B0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625" w:type="dxa"/>
            <w:vMerge w:val="continue"/>
            <w:vAlign w:val="center"/>
          </w:tcPr>
          <w:p w14:paraId="04817B7B">
            <w:pPr>
              <w:adjustRightInd w:val="0"/>
              <w:snapToGrid w:val="0"/>
              <w:jc w:val="center"/>
              <w:rPr>
                <w:color w:val="0000FF"/>
              </w:rPr>
            </w:pPr>
          </w:p>
        </w:tc>
        <w:tc>
          <w:tcPr>
            <w:tcW w:w="1550" w:type="dxa"/>
            <w:vMerge w:val="continue"/>
            <w:shd w:val="clear" w:color="auto" w:fill="auto"/>
            <w:vAlign w:val="center"/>
          </w:tcPr>
          <w:p w14:paraId="7BD733D2">
            <w:pPr>
              <w:widowControl/>
              <w:jc w:val="center"/>
              <w:rPr>
                <w:rFonts w:hint="eastAsia" w:ascii="Times New Roman" w:hAnsi="Times New Roman" w:eastAsia="宋体" w:cs="Times New Roman"/>
                <w:color w:val="auto"/>
                <w:kern w:val="0"/>
                <w:sz w:val="21"/>
                <w:szCs w:val="21"/>
                <w:lang w:val="en-US" w:eastAsia="zh-CN" w:bidi="ar"/>
              </w:rPr>
            </w:pPr>
          </w:p>
        </w:tc>
        <w:tc>
          <w:tcPr>
            <w:tcW w:w="955" w:type="dxa"/>
            <w:shd w:val="clear" w:color="auto" w:fill="auto"/>
            <w:vAlign w:val="center"/>
          </w:tcPr>
          <w:p w14:paraId="7F1B93BB">
            <w:pPr>
              <w:pStyle w:val="60"/>
              <w:ind w:left="0" w:leftChars="0" w:firstLine="0" w:firstLineChars="0"/>
              <w:jc w:val="center"/>
              <w:rPr>
                <w:rFonts w:hint="eastAsia" w:ascii="Times New Roman" w:hAnsi="Times New Roman"/>
                <w:color w:val="auto"/>
                <w:sz w:val="21"/>
                <w:szCs w:val="21"/>
                <w:lang w:val="en-US" w:eastAsia="zh-CN"/>
              </w:rPr>
            </w:pPr>
            <w:r>
              <w:rPr>
                <w:rFonts w:hint="eastAsia" w:ascii="Times New Roman" w:hAnsi="Times New Roman"/>
                <w:color w:val="auto"/>
                <w:sz w:val="21"/>
                <w:szCs w:val="21"/>
                <w:lang w:val="en-US" w:eastAsia="zh-CN"/>
              </w:rPr>
              <w:t>臭气</w:t>
            </w:r>
          </w:p>
          <w:p w14:paraId="36236378">
            <w:pPr>
              <w:pStyle w:val="60"/>
              <w:ind w:left="0" w:leftChars="0" w:firstLine="0" w:firstLineChars="0"/>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color w:val="auto"/>
                <w:sz w:val="21"/>
                <w:szCs w:val="21"/>
                <w:lang w:val="en-US" w:eastAsia="zh-CN"/>
              </w:rPr>
              <w:t>浓度</w:t>
            </w:r>
          </w:p>
        </w:tc>
        <w:tc>
          <w:tcPr>
            <w:tcW w:w="2745" w:type="dxa"/>
            <w:vMerge w:val="continue"/>
            <w:shd w:val="clear" w:color="auto" w:fill="auto"/>
            <w:vAlign w:val="center"/>
          </w:tcPr>
          <w:p w14:paraId="551E2EA9">
            <w:pPr>
              <w:snapToGrid w:val="0"/>
              <w:jc w:val="center"/>
              <w:rPr>
                <w:rFonts w:ascii="Times New Roman" w:hAnsi="Times New Roman" w:eastAsia="宋体" w:cs="Times New Roman"/>
                <w:bCs/>
                <w:color w:val="auto"/>
                <w:kern w:val="2"/>
                <w:sz w:val="21"/>
                <w:szCs w:val="21"/>
                <w:lang w:val="en-US" w:eastAsia="zh-CN" w:bidi="ar-SA"/>
              </w:rPr>
            </w:pPr>
          </w:p>
        </w:tc>
        <w:tc>
          <w:tcPr>
            <w:tcW w:w="2331" w:type="dxa"/>
            <w:vAlign w:val="center"/>
          </w:tcPr>
          <w:p w14:paraId="233B9701">
            <w:pPr>
              <w:adjustRightInd w:val="0"/>
              <w:snapToGrid w:val="0"/>
              <w:jc w:val="center"/>
              <w:rPr>
                <w:rFonts w:hint="eastAsia"/>
                <w:bCs/>
                <w:color w:val="auto"/>
                <w:szCs w:val="21"/>
                <w:lang w:val="en-US" w:eastAsia="zh-CN"/>
              </w:rPr>
            </w:pPr>
            <w:r>
              <w:rPr>
                <w:rFonts w:hint="default"/>
                <w:bCs/>
                <w:color w:val="auto"/>
                <w:szCs w:val="21"/>
                <w:lang w:val="en-US" w:eastAsia="zh-CN"/>
              </w:rPr>
              <w:t>《恶臭污染物排放标准》(GB14554-93)中表1恶臭污染物厂界标准值中的二级标准</w:t>
            </w:r>
          </w:p>
        </w:tc>
      </w:tr>
      <w:tr w14:paraId="0B433E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25" w:type="dxa"/>
            <w:vAlign w:val="center"/>
          </w:tcPr>
          <w:p w14:paraId="06E5C2DE">
            <w:pPr>
              <w:adjustRightInd w:val="0"/>
              <w:snapToGrid w:val="0"/>
              <w:jc w:val="center"/>
              <w:rPr>
                <w:rFonts w:hint="eastAsia" w:ascii="宋体" w:hAnsi="宋体" w:cs="宋体"/>
                <w:szCs w:val="21"/>
              </w:rPr>
            </w:pPr>
            <w:r>
              <w:rPr>
                <w:rFonts w:hint="eastAsia" w:ascii="宋体" w:hAnsi="宋体" w:cs="宋体"/>
                <w:szCs w:val="21"/>
              </w:rPr>
              <w:t>地表水环境</w:t>
            </w:r>
          </w:p>
        </w:tc>
        <w:tc>
          <w:tcPr>
            <w:tcW w:w="1550" w:type="dxa"/>
            <w:vAlign w:val="center"/>
          </w:tcPr>
          <w:p w14:paraId="377172A6">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c>
          <w:tcPr>
            <w:tcW w:w="955" w:type="dxa"/>
            <w:vAlign w:val="center"/>
          </w:tcPr>
          <w:p w14:paraId="16482665">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c>
          <w:tcPr>
            <w:tcW w:w="2745" w:type="dxa"/>
            <w:vAlign w:val="center"/>
          </w:tcPr>
          <w:p w14:paraId="68F5AD3B">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c>
          <w:tcPr>
            <w:tcW w:w="2331" w:type="dxa"/>
            <w:vAlign w:val="center"/>
          </w:tcPr>
          <w:p w14:paraId="3403A7A5">
            <w:pPr>
              <w:adjustRightInd w:val="0"/>
              <w:snapToGrid w:val="0"/>
              <w:jc w:val="center"/>
              <w:rPr>
                <w:rFonts w:hint="eastAsia"/>
                <w:bCs/>
                <w:color w:val="auto"/>
                <w:szCs w:val="21"/>
                <w:lang w:val="en-US" w:eastAsia="zh-CN"/>
              </w:rPr>
            </w:pPr>
            <w:r>
              <w:rPr>
                <w:rFonts w:hint="eastAsia"/>
                <w:bCs/>
                <w:color w:val="auto"/>
                <w:szCs w:val="21"/>
                <w:lang w:val="en-US" w:eastAsia="zh-CN"/>
              </w:rPr>
              <w:t>/</w:t>
            </w:r>
          </w:p>
        </w:tc>
      </w:tr>
      <w:tr w14:paraId="6D2D5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25" w:type="dxa"/>
            <w:vAlign w:val="center"/>
          </w:tcPr>
          <w:p w14:paraId="2DBDF0FA">
            <w:pPr>
              <w:adjustRightInd w:val="0"/>
              <w:snapToGrid w:val="0"/>
              <w:jc w:val="center"/>
              <w:rPr>
                <w:rFonts w:hint="eastAsia" w:ascii="宋体" w:hAnsi="宋体" w:cs="宋体"/>
                <w:szCs w:val="21"/>
              </w:rPr>
            </w:pPr>
            <w:r>
              <w:rPr>
                <w:rFonts w:hint="eastAsia" w:ascii="宋体" w:hAnsi="宋体" w:cs="宋体"/>
                <w:szCs w:val="21"/>
              </w:rPr>
              <w:t>声环境</w:t>
            </w:r>
          </w:p>
        </w:tc>
        <w:tc>
          <w:tcPr>
            <w:tcW w:w="1550" w:type="dxa"/>
            <w:vAlign w:val="center"/>
          </w:tcPr>
          <w:p w14:paraId="6AD26E73">
            <w:pPr>
              <w:adjustRightInd w:val="0"/>
              <w:snapToGrid w:val="0"/>
              <w:jc w:val="center"/>
              <w:rPr>
                <w:color w:val="auto"/>
                <w:szCs w:val="21"/>
              </w:rPr>
            </w:pPr>
            <w:r>
              <w:rPr>
                <w:rFonts w:hint="eastAsia"/>
                <w:color w:val="auto"/>
                <w:szCs w:val="21"/>
              </w:rPr>
              <w:t>设备噪声</w:t>
            </w:r>
          </w:p>
        </w:tc>
        <w:tc>
          <w:tcPr>
            <w:tcW w:w="955" w:type="dxa"/>
            <w:vAlign w:val="center"/>
          </w:tcPr>
          <w:p w14:paraId="25E4247F">
            <w:pPr>
              <w:adjustRightInd w:val="0"/>
              <w:snapToGrid w:val="0"/>
              <w:jc w:val="center"/>
              <w:rPr>
                <w:color w:val="auto"/>
                <w:szCs w:val="21"/>
                <w:lang w:eastAsia="en-US"/>
              </w:rPr>
            </w:pPr>
            <w:r>
              <w:rPr>
                <w:color w:val="auto"/>
                <w:szCs w:val="21"/>
              </w:rPr>
              <w:t>等效A声级</w:t>
            </w:r>
          </w:p>
        </w:tc>
        <w:tc>
          <w:tcPr>
            <w:tcW w:w="2745" w:type="dxa"/>
            <w:vAlign w:val="center"/>
          </w:tcPr>
          <w:p w14:paraId="3C58D336">
            <w:pPr>
              <w:adjustRightInd w:val="0"/>
              <w:snapToGrid w:val="0"/>
              <w:jc w:val="center"/>
              <w:rPr>
                <w:color w:val="auto"/>
                <w:szCs w:val="21"/>
              </w:rPr>
            </w:pPr>
            <w:r>
              <w:rPr>
                <w:rFonts w:hint="eastAsia"/>
                <w:color w:val="auto"/>
                <w:szCs w:val="21"/>
              </w:rPr>
              <w:t>选用低噪声设备，采取减振、隔声等措施</w:t>
            </w:r>
          </w:p>
        </w:tc>
        <w:tc>
          <w:tcPr>
            <w:tcW w:w="2331" w:type="dxa"/>
            <w:vAlign w:val="center"/>
          </w:tcPr>
          <w:p w14:paraId="36AB8580">
            <w:pPr>
              <w:adjustRightInd w:val="0"/>
              <w:snapToGrid w:val="0"/>
              <w:jc w:val="center"/>
              <w:rPr>
                <w:color w:val="auto"/>
                <w:szCs w:val="21"/>
              </w:rPr>
            </w:pPr>
            <w:r>
              <w:rPr>
                <w:color w:val="auto"/>
                <w:szCs w:val="21"/>
              </w:rPr>
              <w:t>《工业企业厂界环境噪声排放标准》（GB12348-2008）中的3类标准</w:t>
            </w:r>
          </w:p>
        </w:tc>
      </w:tr>
      <w:tr w14:paraId="165E40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625" w:type="dxa"/>
            <w:vAlign w:val="center"/>
          </w:tcPr>
          <w:p w14:paraId="7ED1FB65">
            <w:pPr>
              <w:adjustRightInd w:val="0"/>
              <w:snapToGrid w:val="0"/>
              <w:jc w:val="center"/>
              <w:rPr>
                <w:rFonts w:hint="eastAsia" w:ascii="宋体" w:hAnsi="宋体" w:cs="宋体"/>
                <w:szCs w:val="21"/>
              </w:rPr>
            </w:pPr>
            <w:r>
              <w:rPr>
                <w:rFonts w:hint="eastAsia" w:ascii="宋体" w:hAnsi="宋体" w:cs="宋体"/>
                <w:szCs w:val="21"/>
              </w:rPr>
              <w:t>电磁辐射</w:t>
            </w:r>
          </w:p>
        </w:tc>
        <w:tc>
          <w:tcPr>
            <w:tcW w:w="1550" w:type="dxa"/>
            <w:vAlign w:val="center"/>
          </w:tcPr>
          <w:p w14:paraId="58A65A96">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c>
          <w:tcPr>
            <w:tcW w:w="955" w:type="dxa"/>
            <w:vAlign w:val="center"/>
          </w:tcPr>
          <w:p w14:paraId="00EE00F1">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c>
          <w:tcPr>
            <w:tcW w:w="2745" w:type="dxa"/>
            <w:vAlign w:val="center"/>
          </w:tcPr>
          <w:p w14:paraId="45A6C5DD">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c>
          <w:tcPr>
            <w:tcW w:w="2331" w:type="dxa"/>
            <w:vAlign w:val="center"/>
          </w:tcPr>
          <w:p w14:paraId="2A017E7D">
            <w:pPr>
              <w:adjustRightInd w:val="0"/>
              <w:snapToGrid w:val="0"/>
              <w:jc w:val="center"/>
              <w:rPr>
                <w:rFonts w:hint="eastAsia" w:ascii="宋体" w:hAnsi="宋体" w:cs="宋体"/>
                <w:color w:val="auto"/>
                <w:szCs w:val="21"/>
              </w:rPr>
            </w:pPr>
            <w:r>
              <w:rPr>
                <w:rFonts w:hint="eastAsia" w:ascii="宋体" w:hAnsi="宋体" w:cs="宋体"/>
                <w:color w:val="auto"/>
                <w:szCs w:val="21"/>
              </w:rPr>
              <w:t>/</w:t>
            </w:r>
          </w:p>
        </w:tc>
      </w:tr>
      <w:tr w14:paraId="42A492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1625" w:type="dxa"/>
            <w:vAlign w:val="center"/>
          </w:tcPr>
          <w:p w14:paraId="38CEE6BD">
            <w:pPr>
              <w:adjustRightInd w:val="0"/>
              <w:snapToGrid w:val="0"/>
              <w:jc w:val="center"/>
              <w:rPr>
                <w:rFonts w:hint="eastAsia" w:ascii="宋体" w:hAnsi="宋体" w:cs="宋体"/>
                <w:color w:val="auto"/>
                <w:szCs w:val="21"/>
              </w:rPr>
            </w:pPr>
            <w:r>
              <w:rPr>
                <w:rFonts w:hint="eastAsia" w:ascii="宋体" w:hAnsi="宋体" w:cs="宋体"/>
                <w:color w:val="auto"/>
                <w:szCs w:val="21"/>
              </w:rPr>
              <w:t>固体废物</w:t>
            </w:r>
          </w:p>
        </w:tc>
        <w:tc>
          <w:tcPr>
            <w:tcW w:w="7581" w:type="dxa"/>
            <w:gridSpan w:val="4"/>
            <w:vAlign w:val="center"/>
          </w:tcPr>
          <w:p w14:paraId="74387439">
            <w:pPr>
              <w:adjustRightInd w:val="0"/>
              <w:snapToGrid w:val="0"/>
              <w:jc w:val="left"/>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kern w:val="2"/>
                <w:sz w:val="21"/>
                <w:szCs w:val="21"/>
                <w:lang w:val="en-US" w:eastAsia="zh-CN" w:bidi="ar-SA"/>
              </w:rPr>
              <w:t>①生活垃圾（S10）经办公区收集设施集中收集，生活垃圾由园区环卫部门统一处理。</w:t>
            </w:r>
          </w:p>
          <w:p w14:paraId="45D9D84F">
            <w:pPr>
              <w:pStyle w:val="18"/>
              <w:ind w:left="0" w:leftChars="0" w:firstLine="0" w:firstLineChars="0"/>
              <w:rPr>
                <w:rFonts w:hint="eastAsia"/>
                <w:bCs/>
                <w:color w:val="auto"/>
                <w:szCs w:val="21"/>
              </w:rPr>
            </w:pPr>
            <w:r>
              <w:rPr>
                <w:rFonts w:hint="eastAsia"/>
                <w:bCs/>
                <w:color w:val="auto"/>
                <w:szCs w:val="21"/>
                <w:lang w:val="en-US" w:eastAsia="zh-CN"/>
              </w:rPr>
              <w:t>②一般固体废物切割粉尘（S4）、打磨粉尘（S5）、不合格产品（S8）收集后</w:t>
            </w:r>
            <w:r>
              <w:rPr>
                <w:rFonts w:hint="eastAsia"/>
                <w:bCs/>
                <w:color w:val="auto"/>
                <w:szCs w:val="21"/>
              </w:rPr>
              <w:t>暂存一般固体废物暂存间，交由一般固废处置单位处置。</w:t>
            </w:r>
          </w:p>
          <w:p w14:paraId="7624A1C7">
            <w:pPr>
              <w:rPr>
                <w:rFonts w:hint="eastAsia" w:ascii="宋体" w:hAnsi="宋体" w:eastAsia="宋体" w:cs="宋体"/>
                <w:color w:val="auto"/>
                <w:szCs w:val="21"/>
                <w:lang w:val="en-US" w:eastAsia="zh-CN"/>
              </w:rPr>
            </w:pPr>
            <w:r>
              <w:rPr>
                <w:rFonts w:hint="eastAsia"/>
                <w:bCs/>
                <w:color w:val="auto"/>
                <w:szCs w:val="21"/>
                <w:lang w:val="en-US" w:eastAsia="zh-CN"/>
              </w:rPr>
              <w:t>③废包装桶（S1）、废活性炭（S2）、沾染树脂的手套及玻璃纤维（S3）、废活性炭（S4）、废润滑油（S8）暂存危废暂存间，</w:t>
            </w:r>
            <w:r>
              <w:rPr>
                <w:bCs/>
                <w:color w:val="auto"/>
                <w:szCs w:val="21"/>
              </w:rPr>
              <w:t>定期委托</w:t>
            </w:r>
            <w:r>
              <w:rPr>
                <w:rFonts w:hint="eastAsia"/>
                <w:bCs/>
                <w:color w:val="auto"/>
                <w:szCs w:val="21"/>
                <w:lang w:val="en-US" w:eastAsia="zh-CN"/>
              </w:rPr>
              <w:t>有</w:t>
            </w:r>
            <w:r>
              <w:rPr>
                <w:bCs/>
                <w:color w:val="auto"/>
                <w:szCs w:val="21"/>
              </w:rPr>
              <w:t>资质单位处理。</w:t>
            </w:r>
          </w:p>
        </w:tc>
      </w:tr>
      <w:tr w14:paraId="04064A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625" w:type="dxa"/>
            <w:vAlign w:val="center"/>
          </w:tcPr>
          <w:p w14:paraId="3EA30D5E">
            <w:pPr>
              <w:adjustRightInd w:val="0"/>
              <w:snapToGrid w:val="0"/>
              <w:jc w:val="center"/>
              <w:rPr>
                <w:rFonts w:hint="eastAsia" w:ascii="宋体" w:hAnsi="宋体" w:cs="宋体"/>
                <w:color w:val="auto"/>
                <w:szCs w:val="21"/>
              </w:rPr>
            </w:pPr>
            <w:r>
              <w:rPr>
                <w:rFonts w:hint="eastAsia" w:ascii="宋体" w:hAnsi="宋体" w:cs="宋体"/>
                <w:color w:val="auto"/>
                <w:szCs w:val="21"/>
              </w:rPr>
              <w:t>土壤及地下水污染防治措施</w:t>
            </w:r>
          </w:p>
        </w:tc>
        <w:tc>
          <w:tcPr>
            <w:tcW w:w="7581" w:type="dxa"/>
            <w:gridSpan w:val="4"/>
            <w:vAlign w:val="center"/>
          </w:tcPr>
          <w:p w14:paraId="54182249">
            <w:pPr>
              <w:keepNext w:val="0"/>
              <w:keepLines w:val="0"/>
              <w:widowControl/>
              <w:suppressLineNumbers w:val="0"/>
              <w:jc w:val="left"/>
              <w:rPr>
                <w:color w:val="auto"/>
                <w:sz w:val="21"/>
                <w:szCs w:val="21"/>
              </w:rPr>
            </w:pPr>
            <w:r>
              <w:rPr>
                <w:color w:val="auto"/>
                <w:sz w:val="21"/>
                <w:szCs w:val="21"/>
              </w:rPr>
              <w:t>重点防渗区：</w:t>
            </w:r>
            <w:r>
              <w:rPr>
                <w:rFonts w:hint="eastAsia" w:ascii="宋体" w:hAnsi="宋体" w:eastAsia="宋体" w:cs="宋体"/>
                <w:color w:val="auto"/>
                <w:kern w:val="0"/>
                <w:sz w:val="21"/>
                <w:szCs w:val="21"/>
                <w:lang w:val="en-US" w:eastAsia="zh-CN" w:bidi="ar"/>
              </w:rPr>
              <w:t>危废暂存间</w:t>
            </w:r>
            <w:r>
              <w:rPr>
                <w:rFonts w:hint="eastAsia" w:ascii="宋体" w:hAnsi="宋体" w:cs="宋体"/>
                <w:color w:val="auto"/>
                <w:kern w:val="0"/>
                <w:sz w:val="21"/>
                <w:szCs w:val="21"/>
                <w:lang w:val="en-US" w:eastAsia="zh-CN" w:bidi="ar"/>
              </w:rPr>
              <w:t>，</w:t>
            </w:r>
            <w:r>
              <w:rPr>
                <w:rFonts w:hint="eastAsia"/>
                <w:color w:val="auto"/>
                <w:spacing w:val="6"/>
                <w:sz w:val="21"/>
                <w:szCs w:val="21"/>
                <w:lang w:val="en-US" w:eastAsia="zh-CN"/>
              </w:rPr>
              <w:t>防渗要求：</w:t>
            </w:r>
            <w:r>
              <w:rPr>
                <w:rFonts w:hint="eastAsia"/>
                <w:color w:val="auto"/>
                <w:spacing w:val="6"/>
                <w:sz w:val="21"/>
                <w:szCs w:val="21"/>
                <w:lang w:eastAsia="zh-CN"/>
              </w:rPr>
              <w:t>至少2mm厚高密度聚乙烯膜等人工防渗材料（</w:t>
            </w:r>
            <w:r>
              <w:rPr>
                <w:rFonts w:hint="eastAsia"/>
                <w:color w:val="auto"/>
                <w:sz w:val="21"/>
                <w:szCs w:val="21"/>
              </w:rPr>
              <w:t>渗透系数≤1</w:t>
            </w:r>
            <w:r>
              <w:rPr>
                <w:rFonts w:hint="eastAsia"/>
                <w:color w:val="auto"/>
                <w:sz w:val="21"/>
                <w:szCs w:val="21"/>
                <w:lang w:val="en-US" w:eastAsia="zh-CN"/>
              </w:rPr>
              <w:t>0</w:t>
            </w:r>
            <w:r>
              <w:rPr>
                <w:rFonts w:hint="eastAsia"/>
                <w:color w:val="auto"/>
                <w:sz w:val="21"/>
                <w:szCs w:val="21"/>
                <w:vertAlign w:val="superscript"/>
              </w:rPr>
              <w:t>-</w:t>
            </w:r>
            <w:r>
              <w:rPr>
                <w:rFonts w:hint="eastAsia"/>
                <w:color w:val="auto"/>
                <w:sz w:val="21"/>
                <w:szCs w:val="21"/>
                <w:vertAlign w:val="superscript"/>
                <w:lang w:val="en-US" w:eastAsia="zh-CN"/>
              </w:rPr>
              <w:t>10</w:t>
            </w:r>
            <w:r>
              <w:rPr>
                <w:rFonts w:hint="eastAsia"/>
                <w:color w:val="auto"/>
                <w:sz w:val="21"/>
                <w:szCs w:val="21"/>
              </w:rPr>
              <w:t>cm/s</w:t>
            </w:r>
            <w:r>
              <w:rPr>
                <w:rFonts w:hint="eastAsia"/>
                <w:color w:val="auto"/>
                <w:spacing w:val="6"/>
                <w:sz w:val="21"/>
                <w:szCs w:val="21"/>
                <w:lang w:eastAsia="zh-CN"/>
              </w:rPr>
              <w:t>），或其他防渗性能等效的材料</w:t>
            </w:r>
            <w:r>
              <w:rPr>
                <w:rFonts w:hint="eastAsia" w:ascii="宋体" w:hAnsi="宋体" w:eastAsia="宋体" w:cs="宋体"/>
                <w:color w:val="auto"/>
                <w:kern w:val="0"/>
                <w:sz w:val="21"/>
                <w:szCs w:val="21"/>
                <w:lang w:val="en-US" w:eastAsia="zh-CN" w:bidi="ar"/>
              </w:rPr>
              <w:t>。</w:t>
            </w:r>
            <w:r>
              <w:rPr>
                <w:rFonts w:hint="eastAsia"/>
                <w:color w:val="auto"/>
                <w:kern w:val="0"/>
                <w:sz w:val="21"/>
                <w:szCs w:val="21"/>
                <w:lang w:bidi="ar"/>
              </w:rPr>
              <w:t>。</w:t>
            </w:r>
          </w:p>
          <w:p w14:paraId="6F346B94">
            <w:pPr>
              <w:adjustRightInd w:val="0"/>
              <w:snapToGrid w:val="0"/>
              <w:jc w:val="left"/>
              <w:rPr>
                <w:color w:val="auto"/>
                <w:sz w:val="21"/>
                <w:szCs w:val="21"/>
              </w:rPr>
            </w:pPr>
            <w:r>
              <w:rPr>
                <w:color w:val="auto"/>
                <w:sz w:val="21"/>
                <w:szCs w:val="21"/>
              </w:rPr>
              <w:t>一般防渗区：</w:t>
            </w:r>
            <w:r>
              <w:rPr>
                <w:rFonts w:hint="eastAsia" w:cs="Times New Roman"/>
                <w:snapToGrid w:val="0"/>
                <w:color w:val="auto"/>
                <w:sz w:val="21"/>
                <w:szCs w:val="21"/>
                <w:highlight w:val="none"/>
                <w:lang w:val="en-US" w:eastAsia="zh-CN"/>
              </w:rPr>
              <w:t>一般固废暂存间</w:t>
            </w:r>
            <w:r>
              <w:rPr>
                <w:rFonts w:hint="eastAsia"/>
                <w:color w:val="auto"/>
                <w:sz w:val="21"/>
                <w:szCs w:val="21"/>
              </w:rPr>
              <w:t>，等效黏土防渗层Mb≥1.5m，</w:t>
            </w:r>
            <w:r>
              <w:rPr>
                <w:rFonts w:hint="eastAsia" w:ascii="Times New Roman" w:hAnsi="Times New Roman" w:cs="Times New Roman"/>
                <w:color w:val="auto"/>
                <w:kern w:val="0"/>
                <w:sz w:val="21"/>
                <w:szCs w:val="21"/>
                <w:lang w:val="en-US" w:eastAsia="zh-CN" w:bidi="ar"/>
              </w:rPr>
              <w:t>防渗</w:t>
            </w:r>
            <w:r>
              <w:rPr>
                <w:color w:val="auto"/>
                <w:sz w:val="21"/>
                <w:szCs w:val="21"/>
              </w:rPr>
              <w:t>系数≤</w:t>
            </w:r>
            <w:r>
              <w:rPr>
                <w:rFonts w:hint="eastAsia" w:cs="Times New Roman"/>
                <w:color w:val="auto"/>
                <w:kern w:val="0"/>
                <w:sz w:val="21"/>
                <w:szCs w:val="21"/>
                <w:lang w:val="en-US" w:eastAsia="zh-CN" w:bidi="ar"/>
              </w:rPr>
              <w:t>1.0×</w:t>
            </w:r>
            <w:r>
              <w:rPr>
                <w:rFonts w:hint="default" w:ascii="Times New Roman" w:hAnsi="Times New Roman" w:eastAsia="宋体" w:cs="Times New Roman"/>
                <w:color w:val="auto"/>
                <w:kern w:val="0"/>
                <w:sz w:val="21"/>
                <w:szCs w:val="21"/>
                <w:lang w:val="en-US" w:eastAsia="zh-CN" w:bidi="ar"/>
              </w:rPr>
              <w:t>10</w:t>
            </w:r>
            <w:r>
              <w:rPr>
                <w:rFonts w:hint="default" w:ascii="Times New Roman" w:hAnsi="Times New Roman" w:eastAsia="宋体" w:cs="Times New Roman"/>
                <w:color w:val="auto"/>
                <w:kern w:val="0"/>
                <w:sz w:val="21"/>
                <w:szCs w:val="21"/>
                <w:vertAlign w:val="superscript"/>
                <w:lang w:val="en-US" w:eastAsia="zh-CN" w:bidi="ar"/>
              </w:rPr>
              <w:t>-7</w:t>
            </w:r>
            <w:r>
              <w:rPr>
                <w:rFonts w:hint="default" w:ascii="Times New Roman" w:hAnsi="Times New Roman" w:eastAsia="宋体" w:cs="Times New Roman"/>
                <w:color w:val="auto"/>
                <w:kern w:val="0"/>
                <w:sz w:val="21"/>
                <w:szCs w:val="21"/>
                <w:lang w:val="en-US" w:eastAsia="zh-CN" w:bidi="ar"/>
              </w:rPr>
              <w:t>cm/s</w:t>
            </w:r>
            <w:r>
              <w:rPr>
                <w:color w:val="auto"/>
                <w:sz w:val="21"/>
                <w:szCs w:val="21"/>
              </w:rPr>
              <w:t>。</w:t>
            </w:r>
          </w:p>
          <w:p w14:paraId="2F9008D6">
            <w:pPr>
              <w:keepNext w:val="0"/>
              <w:keepLines w:val="0"/>
              <w:widowControl/>
              <w:suppressLineNumbers w:val="0"/>
              <w:jc w:val="left"/>
              <w:rPr>
                <w:rFonts w:hint="eastAsia"/>
                <w:color w:val="auto"/>
                <w:szCs w:val="21"/>
              </w:rPr>
            </w:pPr>
            <w:r>
              <w:rPr>
                <w:color w:val="auto"/>
                <w:sz w:val="21"/>
                <w:szCs w:val="21"/>
              </w:rPr>
              <w:t>简单防渗区：</w:t>
            </w:r>
            <w:r>
              <w:rPr>
                <w:rFonts w:hint="eastAsia"/>
                <w:color w:val="auto"/>
                <w:sz w:val="21"/>
                <w:szCs w:val="21"/>
                <w:lang w:val="en-US" w:eastAsia="zh-CN"/>
              </w:rPr>
              <w:t>其他区域</w:t>
            </w:r>
            <w:r>
              <w:rPr>
                <w:color w:val="auto"/>
                <w:sz w:val="21"/>
                <w:szCs w:val="21"/>
              </w:rPr>
              <w:t>防渗措施为</w:t>
            </w:r>
            <w:r>
              <w:rPr>
                <w:rFonts w:hint="eastAsia"/>
                <w:color w:val="auto"/>
                <w:sz w:val="21"/>
                <w:szCs w:val="21"/>
                <w:lang w:val="en-US" w:eastAsia="zh-CN"/>
              </w:rPr>
              <w:t>一般</w:t>
            </w:r>
            <w:r>
              <w:rPr>
                <w:color w:val="auto"/>
                <w:sz w:val="21"/>
                <w:szCs w:val="21"/>
              </w:rPr>
              <w:t>地面硬化</w:t>
            </w:r>
            <w:r>
              <w:rPr>
                <w:rFonts w:hint="eastAsia"/>
                <w:color w:val="auto"/>
                <w:sz w:val="21"/>
                <w:szCs w:val="21"/>
              </w:rPr>
              <w:t>。</w:t>
            </w:r>
          </w:p>
        </w:tc>
      </w:tr>
      <w:tr w14:paraId="1008F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5" w:type="dxa"/>
            <w:vAlign w:val="center"/>
          </w:tcPr>
          <w:p w14:paraId="0061E6E2">
            <w:pPr>
              <w:adjustRightInd w:val="0"/>
              <w:snapToGrid w:val="0"/>
              <w:jc w:val="center"/>
              <w:rPr>
                <w:rFonts w:hint="eastAsia" w:ascii="宋体" w:hAnsi="宋体" w:cs="宋体"/>
                <w:szCs w:val="21"/>
              </w:rPr>
            </w:pPr>
            <w:r>
              <w:rPr>
                <w:rFonts w:hint="eastAsia" w:ascii="宋体" w:hAnsi="宋体" w:cs="宋体"/>
                <w:szCs w:val="21"/>
              </w:rPr>
              <w:t>生态保护措施</w:t>
            </w:r>
          </w:p>
        </w:tc>
        <w:tc>
          <w:tcPr>
            <w:tcW w:w="7581" w:type="dxa"/>
            <w:gridSpan w:val="4"/>
            <w:vAlign w:val="center"/>
          </w:tcPr>
          <w:p w14:paraId="46E310D1">
            <w:pPr>
              <w:pStyle w:val="47"/>
              <w:spacing w:before="35" w:line="225" w:lineRule="auto"/>
              <w:rPr>
                <w:rFonts w:hint="eastAsia" w:ascii="宋体" w:hAnsi="宋体" w:cs="宋体"/>
                <w:color w:val="auto"/>
                <w:szCs w:val="21"/>
              </w:rPr>
            </w:pPr>
            <w:r>
              <w:rPr>
                <w:rFonts w:hint="default" w:ascii="Times New Roman" w:hAnsi="Times New Roman" w:eastAsia="宋体" w:cs="Times New Roman"/>
                <w:color w:val="auto"/>
                <w:spacing w:val="7"/>
                <w:sz w:val="21"/>
                <w:szCs w:val="21"/>
              </w:rPr>
              <w:t>项目位于内蒙古自治区鄂尔多斯市准格尔经济开发区大路产业园新能源基地B3地块12号厂房，项目区域内无生态环境保护目标。项目营运期污染物简单，排放量较小，且“三废”污染物皆可控制和处理，对周围生态环境影响较小。</w:t>
            </w:r>
          </w:p>
        </w:tc>
      </w:tr>
      <w:tr w14:paraId="15F38B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625" w:type="dxa"/>
            <w:vAlign w:val="center"/>
          </w:tcPr>
          <w:p w14:paraId="43B52E01">
            <w:pPr>
              <w:adjustRightInd w:val="0"/>
              <w:snapToGrid w:val="0"/>
              <w:jc w:val="center"/>
              <w:rPr>
                <w:rFonts w:hint="eastAsia" w:ascii="宋体" w:hAnsi="宋体" w:cs="宋体"/>
                <w:color w:val="auto"/>
                <w:szCs w:val="21"/>
              </w:rPr>
            </w:pPr>
            <w:r>
              <w:rPr>
                <w:rFonts w:hint="eastAsia" w:ascii="宋体" w:hAnsi="宋体" w:cs="宋体"/>
                <w:color w:val="auto"/>
                <w:szCs w:val="21"/>
              </w:rPr>
              <w:t>环境风险</w:t>
            </w:r>
          </w:p>
          <w:p w14:paraId="18B2A8B8">
            <w:pPr>
              <w:adjustRightInd w:val="0"/>
              <w:snapToGrid w:val="0"/>
              <w:jc w:val="center"/>
              <w:rPr>
                <w:rFonts w:hint="eastAsia" w:ascii="宋体" w:hAnsi="宋体" w:cs="宋体"/>
                <w:color w:val="1D41D5"/>
                <w:szCs w:val="21"/>
              </w:rPr>
            </w:pPr>
            <w:r>
              <w:rPr>
                <w:rFonts w:hint="eastAsia" w:ascii="宋体" w:hAnsi="宋体" w:cs="宋体"/>
                <w:color w:val="auto"/>
                <w:szCs w:val="21"/>
              </w:rPr>
              <w:t>防范措施</w:t>
            </w:r>
          </w:p>
        </w:tc>
        <w:tc>
          <w:tcPr>
            <w:tcW w:w="7581" w:type="dxa"/>
            <w:gridSpan w:val="4"/>
            <w:vAlign w:val="center"/>
          </w:tcPr>
          <w:p w14:paraId="0A008F23">
            <w:pPr>
              <w:pStyle w:val="47"/>
              <w:spacing w:before="35" w:line="225" w:lineRule="auto"/>
              <w:rPr>
                <w:rFonts w:hint="eastAsia" w:ascii="宋体" w:hAnsi="宋体" w:eastAsia="宋体" w:cs="宋体"/>
                <w:color w:val="auto"/>
                <w:spacing w:val="7"/>
                <w:sz w:val="21"/>
                <w:szCs w:val="21"/>
                <w:lang w:eastAsia="zh-CN"/>
              </w:rPr>
            </w:pPr>
            <w:r>
              <w:rPr>
                <w:rFonts w:hint="eastAsia" w:ascii="宋体" w:hAnsi="宋体" w:eastAsia="宋体" w:cs="宋体"/>
                <w:color w:val="auto"/>
                <w:spacing w:val="7"/>
                <w:sz w:val="21"/>
                <w:szCs w:val="21"/>
              </w:rPr>
              <w:t>①</w:t>
            </w:r>
            <w:r>
              <w:rPr>
                <w:rFonts w:hint="eastAsia" w:ascii="宋体" w:hAnsi="宋体" w:eastAsia="宋体" w:cs="宋体"/>
                <w:color w:val="auto"/>
                <w:spacing w:val="7"/>
                <w:sz w:val="21"/>
                <w:szCs w:val="21"/>
                <w:lang w:val="en-US" w:eastAsia="zh-CN"/>
              </w:rPr>
              <w:t xml:space="preserve"> </w:t>
            </w:r>
            <w:r>
              <w:rPr>
                <w:rFonts w:hint="eastAsia" w:ascii="宋体" w:hAnsi="宋体" w:eastAsia="宋体" w:cs="宋体"/>
                <w:color w:val="auto"/>
                <w:spacing w:val="7"/>
                <w:sz w:val="21"/>
                <w:szCs w:val="21"/>
              </w:rPr>
              <w:t>加强设备的日常管理和维护，及时消除跑、冒、滴、漏，确保设备安全完好。加强对物料储存、使用的安全管理和检查，避免物料出现泄漏</w:t>
            </w:r>
            <w:r>
              <w:rPr>
                <w:rFonts w:hint="eastAsia" w:ascii="宋体" w:hAnsi="宋体" w:eastAsia="宋体" w:cs="宋体"/>
                <w:color w:val="auto"/>
                <w:spacing w:val="7"/>
                <w:sz w:val="21"/>
                <w:szCs w:val="21"/>
                <w:lang w:eastAsia="zh-CN"/>
              </w:rPr>
              <w:t>；</w:t>
            </w:r>
          </w:p>
          <w:p w14:paraId="527FF36D">
            <w:pPr>
              <w:pStyle w:val="47"/>
              <w:spacing w:before="35" w:line="225" w:lineRule="auto"/>
              <w:rPr>
                <w:rFonts w:hint="eastAsia" w:ascii="宋体" w:hAnsi="宋体" w:eastAsia="宋体" w:cs="宋体"/>
                <w:color w:val="auto"/>
                <w:spacing w:val="7"/>
                <w:sz w:val="21"/>
                <w:szCs w:val="21"/>
                <w:lang w:eastAsia="zh-CN"/>
              </w:rPr>
            </w:pPr>
            <w:r>
              <w:rPr>
                <w:rFonts w:hint="eastAsia" w:ascii="宋体" w:hAnsi="宋体" w:eastAsia="宋体" w:cs="宋体"/>
                <w:color w:val="auto"/>
                <w:spacing w:val="7"/>
                <w:sz w:val="21"/>
                <w:szCs w:val="21"/>
              </w:rPr>
              <w:t>②公司按照可能发生的事故点位和事故类型，对应急救援物资进行分类管理，并在各个点位设置专人负责保管应急过程中使用的工具</w:t>
            </w:r>
            <w:r>
              <w:rPr>
                <w:rFonts w:hint="eastAsia" w:ascii="宋体" w:hAnsi="宋体" w:eastAsia="宋体" w:cs="宋体"/>
                <w:color w:val="auto"/>
                <w:spacing w:val="7"/>
                <w:sz w:val="21"/>
                <w:szCs w:val="21"/>
                <w:lang w:eastAsia="zh-CN"/>
              </w:rPr>
              <w:t>；</w:t>
            </w:r>
          </w:p>
          <w:p w14:paraId="4DF6B0B8">
            <w:pPr>
              <w:pStyle w:val="47"/>
              <w:spacing w:before="35" w:line="225" w:lineRule="auto"/>
              <w:rPr>
                <w:rFonts w:hint="eastAsia" w:eastAsia="宋体"/>
                <w:color w:val="auto"/>
                <w:sz w:val="21"/>
                <w:szCs w:val="21"/>
                <w:lang w:eastAsia="zh-CN"/>
              </w:rPr>
            </w:pPr>
            <w:r>
              <w:rPr>
                <w:rFonts w:hint="eastAsia"/>
                <w:color w:val="auto"/>
                <w:spacing w:val="7"/>
                <w:sz w:val="21"/>
                <w:szCs w:val="21"/>
                <w:lang w:val="en-US" w:eastAsia="zh-CN"/>
              </w:rPr>
              <w:t>③</w:t>
            </w:r>
            <w:r>
              <w:rPr>
                <w:color w:val="auto"/>
                <w:spacing w:val="7"/>
                <w:sz w:val="21"/>
                <w:szCs w:val="21"/>
              </w:rPr>
              <w:t>物料分区存放</w:t>
            </w:r>
            <w:r>
              <w:rPr>
                <w:rFonts w:hint="eastAsia"/>
                <w:color w:val="auto"/>
                <w:spacing w:val="7"/>
                <w:sz w:val="21"/>
                <w:szCs w:val="21"/>
                <w:lang w:eastAsia="zh-CN"/>
              </w:rPr>
              <w:t>；</w:t>
            </w:r>
          </w:p>
          <w:p w14:paraId="460B2B09">
            <w:pPr>
              <w:pStyle w:val="47"/>
              <w:spacing w:before="29" w:line="225" w:lineRule="auto"/>
              <w:rPr>
                <w:color w:val="auto"/>
                <w:sz w:val="21"/>
                <w:szCs w:val="21"/>
              </w:rPr>
            </w:pPr>
            <w:r>
              <w:rPr>
                <w:rFonts w:hint="eastAsia"/>
                <w:color w:val="auto"/>
                <w:spacing w:val="9"/>
                <w:sz w:val="21"/>
                <w:szCs w:val="21"/>
                <w:lang w:val="en-US" w:eastAsia="zh-CN"/>
              </w:rPr>
              <w:t>④</w:t>
            </w:r>
            <w:r>
              <w:rPr>
                <w:color w:val="auto"/>
                <w:spacing w:val="9"/>
                <w:sz w:val="21"/>
                <w:szCs w:val="21"/>
              </w:rPr>
              <w:t>存放间与生产区分离布置，其间距需符合有关防火和消防要求；</w:t>
            </w:r>
          </w:p>
          <w:p w14:paraId="2923E8EA">
            <w:pPr>
              <w:pStyle w:val="47"/>
              <w:spacing w:before="27" w:line="225" w:lineRule="auto"/>
              <w:rPr>
                <w:color w:val="auto"/>
                <w:spacing w:val="9"/>
                <w:sz w:val="21"/>
                <w:szCs w:val="21"/>
              </w:rPr>
            </w:pPr>
            <w:r>
              <w:rPr>
                <w:rFonts w:hint="eastAsia"/>
                <w:color w:val="auto"/>
                <w:spacing w:val="9"/>
                <w:sz w:val="21"/>
                <w:szCs w:val="21"/>
                <w:lang w:val="en-US" w:eastAsia="zh-CN"/>
              </w:rPr>
              <w:t>⑤</w:t>
            </w:r>
            <w:r>
              <w:rPr>
                <w:color w:val="auto"/>
                <w:spacing w:val="9"/>
                <w:sz w:val="21"/>
                <w:szCs w:val="21"/>
              </w:rPr>
              <w:t>各存放间需设置明显的标志，由专人管理，入库时进行核查登记，并定期检查；</w:t>
            </w:r>
          </w:p>
          <w:p w14:paraId="1E46C798">
            <w:pPr>
              <w:pStyle w:val="47"/>
              <w:spacing w:before="35" w:line="225" w:lineRule="auto"/>
              <w:rPr>
                <w:rFonts w:hint="eastAsia" w:ascii="宋体" w:hAnsi="宋体" w:eastAsia="宋体" w:cs="宋体"/>
                <w:color w:val="auto"/>
                <w:spacing w:val="7"/>
                <w:sz w:val="21"/>
                <w:szCs w:val="21"/>
              </w:rPr>
            </w:pPr>
            <w:r>
              <w:rPr>
                <w:rFonts w:hint="eastAsia" w:ascii="宋体" w:hAnsi="宋体" w:eastAsia="宋体" w:cs="宋体"/>
                <w:color w:val="auto"/>
                <w:spacing w:val="7"/>
                <w:sz w:val="21"/>
                <w:szCs w:val="21"/>
                <w:lang w:val="en-US" w:eastAsia="zh-CN"/>
              </w:rPr>
              <w:t>⑥</w:t>
            </w:r>
            <w:r>
              <w:rPr>
                <w:rFonts w:hint="eastAsia" w:ascii="宋体" w:hAnsi="宋体" w:eastAsia="宋体" w:cs="宋体"/>
                <w:color w:val="auto"/>
                <w:spacing w:val="7"/>
                <w:sz w:val="21"/>
                <w:szCs w:val="21"/>
              </w:rPr>
              <w:t>企业需建立健全安全操作规程及值勤制度，设置通讯、报警装置，并确保其处于完好状态，落实安全检查制度，定期检查，排除火灾隐患。</w:t>
            </w:r>
          </w:p>
          <w:p w14:paraId="1BA413B4">
            <w:pPr>
              <w:pStyle w:val="47"/>
              <w:spacing w:before="35" w:line="225" w:lineRule="auto"/>
              <w:rPr>
                <w:rFonts w:hint="eastAsia" w:ascii="宋体" w:hAnsi="宋体" w:cs="宋体"/>
                <w:color w:val="auto"/>
                <w:szCs w:val="21"/>
              </w:rPr>
            </w:pPr>
            <w:r>
              <w:rPr>
                <w:rFonts w:hint="eastAsia" w:ascii="宋体" w:hAnsi="宋体" w:eastAsia="宋体" w:cs="宋体"/>
                <w:color w:val="auto"/>
                <w:spacing w:val="7"/>
                <w:sz w:val="21"/>
                <w:szCs w:val="21"/>
                <w:lang w:val="en-US" w:eastAsia="zh-CN"/>
              </w:rPr>
              <w:t>⑦</w:t>
            </w:r>
            <w:r>
              <w:rPr>
                <w:rFonts w:hint="eastAsia" w:ascii="宋体" w:hAnsi="宋体" w:eastAsia="宋体" w:cs="宋体"/>
                <w:color w:val="auto"/>
                <w:spacing w:val="7"/>
                <w:sz w:val="21"/>
                <w:szCs w:val="21"/>
              </w:rPr>
              <w:t>要加强对各岗位员工进行风险意识、风险知识、安全技能、规章制度、应变能力等素质等各方面的培训和教育。建设单位必须严格管理，采取一系列严密的应急防范措施，制定切实可行的消防及安全应急预案。</w:t>
            </w:r>
          </w:p>
        </w:tc>
      </w:tr>
      <w:tr w14:paraId="57BDF7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625" w:type="dxa"/>
            <w:vAlign w:val="center"/>
          </w:tcPr>
          <w:p w14:paraId="3B37061E">
            <w:pPr>
              <w:adjustRightInd w:val="0"/>
              <w:snapToGrid w:val="0"/>
              <w:jc w:val="center"/>
              <w:rPr>
                <w:rFonts w:hint="eastAsia" w:ascii="宋体" w:hAnsi="宋体" w:cs="宋体"/>
                <w:szCs w:val="21"/>
              </w:rPr>
            </w:pPr>
            <w:r>
              <w:rPr>
                <w:rFonts w:hint="eastAsia" w:ascii="宋体" w:hAnsi="宋体" w:cs="宋体"/>
                <w:szCs w:val="21"/>
              </w:rPr>
              <w:t>其他环境</w:t>
            </w:r>
          </w:p>
          <w:p w14:paraId="48F28CBB">
            <w:pPr>
              <w:adjustRightInd w:val="0"/>
              <w:snapToGrid w:val="0"/>
              <w:jc w:val="center"/>
              <w:rPr>
                <w:rFonts w:hint="eastAsia" w:ascii="宋体" w:hAnsi="宋体" w:cs="宋体"/>
                <w:szCs w:val="21"/>
              </w:rPr>
            </w:pPr>
            <w:r>
              <w:rPr>
                <w:rFonts w:hint="eastAsia" w:ascii="宋体" w:hAnsi="宋体" w:cs="宋体"/>
                <w:szCs w:val="21"/>
              </w:rPr>
              <w:t>管理要求</w:t>
            </w:r>
          </w:p>
        </w:tc>
        <w:tc>
          <w:tcPr>
            <w:tcW w:w="7581" w:type="dxa"/>
            <w:gridSpan w:val="4"/>
            <w:vAlign w:val="center"/>
          </w:tcPr>
          <w:p w14:paraId="76EEBE10">
            <w:pPr>
              <w:adjustRightInd w:val="0"/>
              <w:snapToGrid w:val="0"/>
              <w:jc w:val="left"/>
              <w:rPr>
                <w:rFonts w:hint="eastAsia" w:ascii="宋体" w:hAnsi="宋体" w:eastAsia="宋体" w:cs="宋体"/>
                <w:color w:val="auto"/>
                <w:szCs w:val="21"/>
              </w:rPr>
            </w:pPr>
            <w:r>
              <w:rPr>
                <w:rFonts w:hint="eastAsia" w:ascii="宋体" w:hAnsi="宋体" w:eastAsia="宋体" w:cs="宋体"/>
                <w:color w:val="auto"/>
                <w:szCs w:val="21"/>
                <w:lang w:val="en-US" w:eastAsia="zh-CN"/>
              </w:rPr>
              <w:t>①</w:t>
            </w:r>
            <w:r>
              <w:rPr>
                <w:rFonts w:hint="eastAsia" w:ascii="宋体" w:hAnsi="宋体" w:eastAsia="宋体" w:cs="宋体"/>
                <w:color w:val="auto"/>
                <w:szCs w:val="21"/>
              </w:rPr>
              <w:t>制定各环保设施操作规程，定期维修制度，使各项环保设施在生产过程中处于良好的运行状态。</w:t>
            </w:r>
          </w:p>
          <w:p w14:paraId="11A247D3">
            <w:pPr>
              <w:adjustRightInd w:val="0"/>
              <w:snapToGrid w:val="0"/>
              <w:jc w:val="left"/>
              <w:rPr>
                <w:rFonts w:hint="eastAsia" w:ascii="宋体" w:hAnsi="宋体" w:eastAsia="宋体" w:cs="宋体"/>
                <w:color w:val="auto"/>
                <w:szCs w:val="21"/>
              </w:rPr>
            </w:pPr>
            <w:r>
              <w:rPr>
                <w:rFonts w:hint="eastAsia" w:ascii="宋体" w:hAnsi="宋体" w:eastAsia="宋体" w:cs="宋体"/>
                <w:color w:val="auto"/>
                <w:szCs w:val="21"/>
                <w:lang w:val="en-US" w:eastAsia="zh-CN"/>
              </w:rPr>
              <w:t>②</w:t>
            </w:r>
            <w:r>
              <w:rPr>
                <w:rFonts w:hint="eastAsia" w:ascii="宋体" w:hAnsi="宋体" w:eastAsia="宋体" w:cs="宋体"/>
                <w:color w:val="auto"/>
                <w:szCs w:val="21"/>
              </w:rPr>
              <w:t>加强对环保设施的运行管理，如环保设施出现故障，应立即停产检查，严禁非正常排放。</w:t>
            </w:r>
          </w:p>
          <w:p w14:paraId="1C0DC7FD">
            <w:pPr>
              <w:adjustRightInd w:val="0"/>
              <w:snapToGrid w:val="0"/>
              <w:jc w:val="left"/>
              <w:rPr>
                <w:rFonts w:hint="eastAsia" w:ascii="宋体" w:hAnsi="宋体" w:cs="宋体"/>
                <w:szCs w:val="21"/>
              </w:rPr>
            </w:pPr>
            <w:r>
              <w:rPr>
                <w:rFonts w:hint="eastAsia" w:ascii="宋体" w:hAnsi="宋体" w:eastAsia="宋体" w:cs="宋体"/>
                <w:color w:val="auto"/>
                <w:szCs w:val="21"/>
                <w:lang w:val="en-US" w:eastAsia="zh-CN"/>
              </w:rPr>
              <w:t>③</w:t>
            </w:r>
            <w:r>
              <w:rPr>
                <w:rFonts w:hint="eastAsia" w:ascii="宋体" w:hAnsi="宋体" w:eastAsia="宋体" w:cs="宋体"/>
                <w:color w:val="auto"/>
                <w:szCs w:val="21"/>
              </w:rPr>
              <w:t>加强环境监测工作，重点是各污染源的监测，并注意做好记录，不得弄虚作假。监测中如发现异常情况应及时向有关部门通报，及时采取应急措施，防止事故排放。</w:t>
            </w:r>
          </w:p>
        </w:tc>
      </w:tr>
    </w:tbl>
    <w:p w14:paraId="2DCD9584">
      <w:pPr>
        <w:pStyle w:val="19"/>
        <w:spacing w:before="0" w:beforeAutospacing="0" w:after="0" w:afterAutospacing="0"/>
        <w:jc w:val="center"/>
        <w:outlineLvl w:val="0"/>
        <w:rPr>
          <w:rFonts w:ascii="Times New Roman" w:hAnsi="Times New Roman"/>
          <w:snapToGrid w:val="0"/>
          <w:sz w:val="30"/>
          <w:szCs w:val="30"/>
        </w:rPr>
      </w:pPr>
      <w:r>
        <w:rPr>
          <w:snapToGrid w:val="0"/>
        </w:rPr>
        <w:br w:type="page"/>
      </w:r>
      <w:bookmarkStart w:id="7" w:name="_Toc9948"/>
      <w:r>
        <w:rPr>
          <w:rFonts w:hint="eastAsia" w:ascii="Times New Roman" w:hAnsi="Times New Roman"/>
          <w:b/>
          <w:bCs/>
          <w:snapToGrid w:val="0"/>
          <w:sz w:val="30"/>
          <w:szCs w:val="30"/>
        </w:rPr>
        <w:t>六、结论</w:t>
      </w:r>
      <w:bookmarkEnd w:id="7"/>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324066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42EDA785">
            <w:pPr>
              <w:spacing w:before="120" w:beforeLines="50" w:line="360" w:lineRule="auto"/>
              <w:ind w:firstLine="480" w:firstLineChars="200"/>
              <w:rPr>
                <w:rFonts w:ascii="宋体" w:cs="宋体"/>
                <w:sz w:val="24"/>
              </w:rPr>
            </w:pPr>
            <w:r>
              <w:rPr>
                <w:sz w:val="24"/>
              </w:rPr>
              <w:t>综上所述，项目建设符合国家和地方的相关政策，符合</w:t>
            </w:r>
            <w:r>
              <w:rPr>
                <w:rFonts w:hint="eastAsia"/>
                <w:sz w:val="24"/>
              </w:rPr>
              <w:t>生态环境分区管控</w:t>
            </w:r>
            <w:r>
              <w:rPr>
                <w:sz w:val="24"/>
              </w:rPr>
              <w:t>意见，在各项污染防治措施落实后，污染物均能达标排放。因此，本项目符合环境保护要求，从环境保护角度来看，项目建设环境影响可行。</w:t>
            </w:r>
          </w:p>
        </w:tc>
      </w:tr>
    </w:tbl>
    <w:p w14:paraId="6BA8CD0F">
      <w:pPr>
        <w:rPr>
          <w:rFonts w:ascii="宋体"/>
        </w:rPr>
        <w:sectPr>
          <w:pgSz w:w="11906" w:h="16838"/>
          <w:pgMar w:top="1701" w:right="1531" w:bottom="1701" w:left="1531" w:header="851" w:footer="851" w:gutter="0"/>
          <w:cols w:space="720" w:num="1"/>
          <w:docGrid w:linePitch="312" w:charSpace="0"/>
        </w:sectPr>
      </w:pPr>
    </w:p>
    <w:p w14:paraId="45CF97C2">
      <w:pPr>
        <w:pStyle w:val="19"/>
        <w:spacing w:before="0" w:beforeAutospacing="0" w:after="0" w:afterAutospacing="0"/>
        <w:jc w:val="center"/>
        <w:outlineLvl w:val="0"/>
        <w:rPr>
          <w:rFonts w:hint="default" w:ascii="Times New Roman" w:hAnsi="Times New Roman" w:eastAsia="宋体"/>
          <w:b/>
          <w:bCs/>
          <w:snapToGrid w:val="0"/>
          <w:sz w:val="30"/>
          <w:szCs w:val="30"/>
          <w:lang w:val="en-US" w:eastAsia="zh-CN"/>
        </w:rPr>
      </w:pPr>
      <w:bookmarkStart w:id="8" w:name="_Toc27710"/>
      <w:r>
        <w:rPr>
          <w:rFonts w:hint="eastAsia" w:ascii="Times New Roman" w:hAnsi="Times New Roman"/>
          <w:b/>
          <w:bCs/>
          <w:snapToGrid w:val="0"/>
          <w:sz w:val="30"/>
          <w:szCs w:val="30"/>
          <w:lang w:val="en-US" w:eastAsia="zh-CN"/>
        </w:rPr>
        <w:t xml:space="preserve"> </w:t>
      </w:r>
      <w:r>
        <w:rPr>
          <w:rFonts w:hint="eastAsia" w:ascii="Times New Roman" w:hAnsi="Times New Roman"/>
          <w:b/>
          <w:bCs/>
          <w:snapToGrid w:val="0"/>
          <w:sz w:val="30"/>
          <w:szCs w:val="30"/>
        </w:rPr>
        <w:t>建设项目污染物排放量汇总表</w:t>
      </w:r>
      <w:bookmarkEnd w:id="8"/>
      <w:r>
        <w:rPr>
          <w:rFonts w:hint="eastAsia" w:ascii="Times New Roman" w:hAnsi="Times New Roman"/>
          <w:b/>
          <w:bCs/>
          <w:snapToGrid w:val="0"/>
          <w:sz w:val="30"/>
          <w:szCs w:val="30"/>
          <w:lang w:val="en-US" w:eastAsia="zh-CN"/>
        </w:rPr>
        <w:t xml:space="preserve">              单位：t/a</w:t>
      </w:r>
    </w:p>
    <w:tbl>
      <w:tblPr>
        <w:tblStyle w:val="22"/>
        <w:tblW w:w="13741" w:type="dxa"/>
        <w:tblInd w:w="-18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3"/>
        <w:gridCol w:w="1767"/>
        <w:gridCol w:w="1650"/>
        <w:gridCol w:w="1237"/>
        <w:gridCol w:w="1650"/>
        <w:gridCol w:w="1513"/>
        <w:gridCol w:w="1563"/>
        <w:gridCol w:w="1794"/>
        <w:gridCol w:w="1234"/>
      </w:tblGrid>
      <w:tr w14:paraId="29AC16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333" w:type="dxa"/>
            <w:tcBorders>
              <w:tl2br w:val="single" w:color="auto" w:sz="4" w:space="0"/>
            </w:tcBorders>
            <w:tcMar>
              <w:left w:w="28" w:type="dxa"/>
              <w:right w:w="28" w:type="dxa"/>
            </w:tcMar>
            <w:vAlign w:val="center"/>
          </w:tcPr>
          <w:p w14:paraId="47FDC91D">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项目</w:t>
            </w:r>
          </w:p>
          <w:p w14:paraId="6E193CFE">
            <w:pPr>
              <w:pStyle w:val="19"/>
              <w:spacing w:before="0" w:beforeAutospacing="0" w:after="0" w:afterAutospacing="0"/>
              <w:jc w:val="center"/>
              <w:outlineLvl w:val="0"/>
              <w:rPr>
                <w:rFonts w:ascii="Times New Roman" w:hAnsi="Times New Roman"/>
                <w:snapToGrid w:val="0"/>
                <w:color w:val="000000"/>
                <w:kern w:val="21"/>
                <w:sz w:val="21"/>
                <w:szCs w:val="21"/>
              </w:rPr>
            </w:pPr>
          </w:p>
          <w:p w14:paraId="5945C5D9">
            <w:pPr>
              <w:pStyle w:val="19"/>
              <w:spacing w:before="0" w:beforeAutospacing="0" w:after="0" w:afterAutospacing="0"/>
              <w:jc w:val="center"/>
              <w:outlineLvl w:val="0"/>
              <w:rPr>
                <w:rFonts w:ascii="Times New Roman" w:hAnsi="Times New Roman"/>
                <w:snapToGrid w:val="0"/>
                <w:color w:val="000000"/>
                <w:kern w:val="21"/>
                <w:sz w:val="21"/>
                <w:szCs w:val="21"/>
              </w:rPr>
            </w:pPr>
          </w:p>
          <w:p w14:paraId="64C3ED1F">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分类</w:t>
            </w:r>
          </w:p>
        </w:tc>
        <w:tc>
          <w:tcPr>
            <w:tcW w:w="1767" w:type="dxa"/>
            <w:tcMar>
              <w:left w:w="28" w:type="dxa"/>
              <w:right w:w="28" w:type="dxa"/>
            </w:tcMar>
            <w:vAlign w:val="center"/>
          </w:tcPr>
          <w:p w14:paraId="4B6CAF8E">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污染物名称</w:t>
            </w:r>
          </w:p>
        </w:tc>
        <w:tc>
          <w:tcPr>
            <w:tcW w:w="1650" w:type="dxa"/>
            <w:tcMar>
              <w:left w:w="28" w:type="dxa"/>
              <w:right w:w="28" w:type="dxa"/>
            </w:tcMar>
            <w:vAlign w:val="center"/>
          </w:tcPr>
          <w:p w14:paraId="2397A6A4">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现有工程</w:t>
            </w:r>
          </w:p>
          <w:p w14:paraId="0BE0A312">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排放量（固体废物产生量）</w:t>
            </w: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1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①</w:t>
            </w:r>
            <w:r>
              <w:rPr>
                <w:rFonts w:hint="eastAsia" w:ascii="Times New Roman" w:hAnsi="Times New Roman"/>
                <w:snapToGrid w:val="0"/>
                <w:color w:val="000000"/>
                <w:kern w:val="21"/>
                <w:sz w:val="21"/>
                <w:szCs w:val="21"/>
              </w:rPr>
              <w:fldChar w:fldCharType="end"/>
            </w:r>
          </w:p>
        </w:tc>
        <w:tc>
          <w:tcPr>
            <w:tcW w:w="1237" w:type="dxa"/>
            <w:tcMar>
              <w:left w:w="28" w:type="dxa"/>
              <w:right w:w="28" w:type="dxa"/>
            </w:tcMar>
            <w:vAlign w:val="center"/>
          </w:tcPr>
          <w:p w14:paraId="43DC9393">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现有工程</w:t>
            </w:r>
          </w:p>
          <w:p w14:paraId="0016446D">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许可排放量</w:t>
            </w:r>
          </w:p>
          <w:p w14:paraId="714BAACA">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2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②</w:t>
            </w:r>
            <w:r>
              <w:rPr>
                <w:rFonts w:hint="eastAsia" w:ascii="Times New Roman" w:hAnsi="Times New Roman"/>
                <w:snapToGrid w:val="0"/>
                <w:color w:val="000000"/>
                <w:kern w:val="21"/>
                <w:sz w:val="21"/>
                <w:szCs w:val="21"/>
              </w:rPr>
              <w:fldChar w:fldCharType="end"/>
            </w:r>
          </w:p>
        </w:tc>
        <w:tc>
          <w:tcPr>
            <w:tcW w:w="1650" w:type="dxa"/>
            <w:tcMar>
              <w:left w:w="28" w:type="dxa"/>
              <w:right w:w="28" w:type="dxa"/>
            </w:tcMar>
            <w:vAlign w:val="center"/>
          </w:tcPr>
          <w:p w14:paraId="7EE3F321">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在建工程</w:t>
            </w:r>
          </w:p>
          <w:p w14:paraId="09F32843">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排放量（固体废物产生量）</w:t>
            </w: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3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③</w:t>
            </w:r>
            <w:r>
              <w:rPr>
                <w:rFonts w:hint="eastAsia" w:ascii="Times New Roman" w:hAnsi="Times New Roman"/>
                <w:snapToGrid w:val="0"/>
                <w:color w:val="000000"/>
                <w:kern w:val="21"/>
                <w:sz w:val="21"/>
                <w:szCs w:val="21"/>
              </w:rPr>
              <w:fldChar w:fldCharType="end"/>
            </w:r>
          </w:p>
        </w:tc>
        <w:tc>
          <w:tcPr>
            <w:tcW w:w="1513" w:type="dxa"/>
            <w:tcMar>
              <w:left w:w="28" w:type="dxa"/>
              <w:right w:w="28" w:type="dxa"/>
            </w:tcMar>
            <w:vAlign w:val="center"/>
          </w:tcPr>
          <w:p w14:paraId="505C3BC6">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本项目</w:t>
            </w:r>
          </w:p>
          <w:p w14:paraId="7D6E05ED">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排放量（固体废物产生量）</w:t>
            </w: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4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④</w:t>
            </w:r>
            <w:r>
              <w:rPr>
                <w:rFonts w:hint="eastAsia" w:ascii="Times New Roman" w:hAnsi="Times New Roman"/>
                <w:snapToGrid w:val="0"/>
                <w:color w:val="000000"/>
                <w:kern w:val="21"/>
                <w:sz w:val="21"/>
                <w:szCs w:val="21"/>
              </w:rPr>
              <w:fldChar w:fldCharType="end"/>
            </w:r>
          </w:p>
        </w:tc>
        <w:tc>
          <w:tcPr>
            <w:tcW w:w="1563" w:type="dxa"/>
            <w:tcMar>
              <w:left w:w="28" w:type="dxa"/>
              <w:right w:w="28" w:type="dxa"/>
            </w:tcMar>
            <w:vAlign w:val="center"/>
          </w:tcPr>
          <w:p w14:paraId="00E63DA0">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以新带老削减量</w:t>
            </w:r>
          </w:p>
          <w:p w14:paraId="1BD6E597">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（新建项目不填）</w:t>
            </w: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5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⑤</w:t>
            </w:r>
            <w:r>
              <w:rPr>
                <w:rFonts w:hint="eastAsia" w:ascii="Times New Roman" w:hAnsi="Times New Roman"/>
                <w:snapToGrid w:val="0"/>
                <w:color w:val="000000"/>
                <w:kern w:val="21"/>
                <w:sz w:val="21"/>
                <w:szCs w:val="21"/>
              </w:rPr>
              <w:fldChar w:fldCharType="end"/>
            </w:r>
          </w:p>
        </w:tc>
        <w:tc>
          <w:tcPr>
            <w:tcW w:w="1794" w:type="dxa"/>
            <w:tcMar>
              <w:left w:w="28" w:type="dxa"/>
              <w:right w:w="28" w:type="dxa"/>
            </w:tcMar>
            <w:vAlign w:val="center"/>
          </w:tcPr>
          <w:p w14:paraId="1E3289C1">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本项目建成后</w:t>
            </w:r>
          </w:p>
          <w:p w14:paraId="13DB836D">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全厂排放量（固体废物产生量）</w:t>
            </w: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6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⑥</w:t>
            </w:r>
            <w:r>
              <w:rPr>
                <w:rFonts w:hint="eastAsia" w:ascii="Times New Roman" w:hAnsi="Times New Roman"/>
                <w:snapToGrid w:val="0"/>
                <w:color w:val="000000"/>
                <w:kern w:val="21"/>
                <w:sz w:val="21"/>
                <w:szCs w:val="21"/>
              </w:rPr>
              <w:fldChar w:fldCharType="end"/>
            </w:r>
          </w:p>
        </w:tc>
        <w:tc>
          <w:tcPr>
            <w:tcW w:w="1234" w:type="dxa"/>
            <w:tcMar>
              <w:left w:w="28" w:type="dxa"/>
              <w:right w:w="28" w:type="dxa"/>
            </w:tcMar>
            <w:vAlign w:val="center"/>
          </w:tcPr>
          <w:p w14:paraId="674DA14F">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变化量</w:t>
            </w:r>
          </w:p>
          <w:p w14:paraId="28323871">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fldChar w:fldCharType="begin"/>
            </w:r>
            <w:r>
              <w:rPr>
                <w:rFonts w:hint="eastAsia" w:ascii="Times New Roman" w:hAnsi="Times New Roman"/>
                <w:snapToGrid w:val="0"/>
                <w:color w:val="000000"/>
                <w:kern w:val="21"/>
                <w:sz w:val="21"/>
                <w:szCs w:val="21"/>
              </w:rPr>
              <w:instrText xml:space="preserve"> = 7 \* GB3 \* MERGEFORMAT </w:instrText>
            </w:r>
            <w:r>
              <w:rPr>
                <w:rFonts w:hint="eastAsia" w:ascii="Times New Roman" w:hAnsi="Times New Roman"/>
                <w:snapToGrid w:val="0"/>
                <w:color w:val="000000"/>
                <w:kern w:val="21"/>
                <w:sz w:val="21"/>
                <w:szCs w:val="21"/>
              </w:rPr>
              <w:fldChar w:fldCharType="separate"/>
            </w:r>
            <w:r>
              <w:rPr>
                <w:rFonts w:hint="eastAsia" w:ascii="Times New Roman" w:hAnsi="Times New Roman"/>
                <w:snapToGrid w:val="0"/>
                <w:color w:val="000000"/>
                <w:kern w:val="21"/>
                <w:sz w:val="21"/>
                <w:szCs w:val="21"/>
              </w:rPr>
              <w:t>⑦</w:t>
            </w:r>
            <w:r>
              <w:rPr>
                <w:rFonts w:hint="eastAsia" w:ascii="Times New Roman" w:hAnsi="Times New Roman"/>
                <w:snapToGrid w:val="0"/>
                <w:color w:val="000000"/>
                <w:kern w:val="21"/>
                <w:sz w:val="21"/>
                <w:szCs w:val="21"/>
              </w:rPr>
              <w:fldChar w:fldCharType="end"/>
            </w:r>
          </w:p>
        </w:tc>
      </w:tr>
      <w:tr w14:paraId="66E1EB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restart"/>
            <w:vAlign w:val="center"/>
          </w:tcPr>
          <w:p w14:paraId="2A37038B">
            <w:pPr>
              <w:pStyle w:val="19"/>
              <w:spacing w:before="0" w:beforeAutospacing="0" w:after="0" w:afterAutospacing="0"/>
              <w:jc w:val="center"/>
              <w:outlineLvl w:val="0"/>
              <w:rPr>
                <w:rFonts w:hint="default" w:ascii="Times New Roman" w:hAnsi="Times New Roman"/>
                <w:snapToGrid w:val="0"/>
                <w:color w:val="000000"/>
                <w:kern w:val="21"/>
                <w:sz w:val="21"/>
                <w:szCs w:val="21"/>
                <w:lang w:val="en-US" w:eastAsia="zh-CN"/>
              </w:rPr>
            </w:pPr>
            <w:r>
              <w:rPr>
                <w:rFonts w:hint="eastAsia" w:ascii="Times New Roman" w:hAnsi="Times New Roman"/>
                <w:snapToGrid w:val="0"/>
                <w:color w:val="000000"/>
                <w:kern w:val="21"/>
                <w:sz w:val="21"/>
                <w:szCs w:val="21"/>
                <w:lang w:val="en-US" w:eastAsia="zh-CN"/>
              </w:rPr>
              <w:t>废气</w:t>
            </w:r>
          </w:p>
        </w:tc>
        <w:tc>
          <w:tcPr>
            <w:tcW w:w="1767" w:type="dxa"/>
            <w:shd w:val="clear" w:color="auto" w:fill="auto"/>
            <w:vAlign w:val="center"/>
          </w:tcPr>
          <w:p w14:paraId="3BD595AB">
            <w:pPr>
              <w:pStyle w:val="19"/>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颗粒物</w:t>
            </w:r>
          </w:p>
        </w:tc>
        <w:tc>
          <w:tcPr>
            <w:tcW w:w="1650" w:type="dxa"/>
            <w:shd w:val="clear" w:color="auto" w:fill="auto"/>
            <w:vAlign w:val="center"/>
          </w:tcPr>
          <w:p w14:paraId="33860E59">
            <w:pPr>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3BEF4010">
            <w:pPr>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4FF6099E">
            <w:pPr>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vAlign w:val="center"/>
          </w:tcPr>
          <w:p w14:paraId="1E1FD92D">
            <w:pPr>
              <w:jc w:val="center"/>
              <w:outlineLvl w:val="0"/>
              <w:rPr>
                <w:rFonts w:hint="default"/>
                <w:snapToGrid w:val="0"/>
                <w:color w:val="auto"/>
                <w:kern w:val="21"/>
                <w:szCs w:val="21"/>
                <w:lang w:val="en-US" w:eastAsia="zh-CN"/>
              </w:rPr>
            </w:pPr>
            <w:r>
              <w:rPr>
                <w:rFonts w:hint="eastAsia" w:cs="Times New Roman"/>
                <w:i w:val="0"/>
                <w:iCs w:val="0"/>
                <w:color w:val="auto"/>
                <w:kern w:val="0"/>
                <w:sz w:val="21"/>
                <w:szCs w:val="21"/>
                <w:u w:val="none"/>
                <w:lang w:val="en-US" w:eastAsia="zh-CN" w:bidi="ar"/>
              </w:rPr>
              <w:t>0.0168</w:t>
            </w:r>
          </w:p>
        </w:tc>
        <w:tc>
          <w:tcPr>
            <w:tcW w:w="1563" w:type="dxa"/>
            <w:shd w:val="clear" w:color="auto" w:fill="auto"/>
            <w:vAlign w:val="center"/>
          </w:tcPr>
          <w:p w14:paraId="01FFB8DB">
            <w:pPr>
              <w:spacing w:before="0" w:beforeAutospacing="0" w:after="0" w:afterAutospacing="0"/>
              <w:jc w:val="center"/>
              <w:outlineLvl w:val="0"/>
              <w:rPr>
                <w:rFonts w:hint="eastAsia"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c>
          <w:tcPr>
            <w:tcW w:w="1794" w:type="dxa"/>
            <w:shd w:val="clear" w:color="auto" w:fill="auto"/>
            <w:vAlign w:val="center"/>
          </w:tcPr>
          <w:p w14:paraId="3C2B3F93">
            <w:pPr>
              <w:jc w:val="center"/>
              <w:outlineLvl w:val="0"/>
              <w:rPr>
                <w:rFonts w:hint="default"/>
                <w:snapToGrid w:val="0"/>
                <w:color w:val="auto"/>
                <w:kern w:val="21"/>
                <w:szCs w:val="21"/>
                <w:lang w:val="en-US" w:eastAsia="zh-CN"/>
              </w:rPr>
            </w:pPr>
            <w:r>
              <w:rPr>
                <w:rFonts w:hint="eastAsia" w:cs="Times New Roman"/>
                <w:i w:val="0"/>
                <w:iCs w:val="0"/>
                <w:color w:val="auto"/>
                <w:kern w:val="0"/>
                <w:sz w:val="21"/>
                <w:szCs w:val="21"/>
                <w:u w:val="none"/>
                <w:lang w:val="en-US" w:eastAsia="zh-CN" w:bidi="ar"/>
              </w:rPr>
              <w:t>0.0168</w:t>
            </w:r>
          </w:p>
        </w:tc>
        <w:tc>
          <w:tcPr>
            <w:tcW w:w="1234" w:type="dxa"/>
            <w:shd w:val="clear" w:color="auto" w:fill="auto"/>
            <w:vAlign w:val="center"/>
          </w:tcPr>
          <w:p w14:paraId="1DF88959">
            <w:pPr>
              <w:jc w:val="center"/>
              <w:outlineLvl w:val="0"/>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+0.0168</w:t>
            </w:r>
          </w:p>
        </w:tc>
      </w:tr>
      <w:tr w14:paraId="3A14FF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6520FEEA">
            <w:pPr>
              <w:pStyle w:val="19"/>
              <w:spacing w:before="0" w:beforeAutospacing="0" w:after="0" w:afterAutospacing="0"/>
              <w:jc w:val="center"/>
              <w:outlineLvl w:val="0"/>
              <w:rPr>
                <w:rFonts w:hint="eastAsia" w:ascii="Times New Roman" w:hAnsi="Times New Roman"/>
                <w:snapToGrid w:val="0"/>
                <w:color w:val="000000"/>
                <w:kern w:val="21"/>
                <w:sz w:val="21"/>
                <w:szCs w:val="21"/>
                <w:lang w:val="en-US" w:eastAsia="zh-CN"/>
              </w:rPr>
            </w:pPr>
          </w:p>
        </w:tc>
        <w:tc>
          <w:tcPr>
            <w:tcW w:w="1767" w:type="dxa"/>
            <w:shd w:val="clear" w:color="auto" w:fill="auto"/>
            <w:vAlign w:val="center"/>
          </w:tcPr>
          <w:p w14:paraId="485F1B8C">
            <w:pPr>
              <w:pStyle w:val="19"/>
              <w:spacing w:before="0" w:beforeAutospacing="0" w:after="0" w:afterAutospacing="0"/>
              <w:jc w:val="center"/>
              <w:outlineLvl w:val="0"/>
              <w:rPr>
                <w:rFonts w:hint="default" w:ascii="Times New Roman" w:hAnsi="Times New Roman"/>
                <w:snapToGrid w:val="0"/>
                <w:sz w:val="21"/>
                <w:szCs w:val="21"/>
                <w:lang w:val="en-US" w:eastAsia="zh-CN"/>
              </w:rPr>
            </w:pPr>
            <w:r>
              <w:rPr>
                <w:rFonts w:hint="eastAsia" w:ascii="Times New Roman" w:hAnsi="Times New Roman"/>
                <w:snapToGrid w:val="0"/>
                <w:sz w:val="21"/>
                <w:szCs w:val="21"/>
                <w:lang w:val="en-US" w:eastAsia="zh-CN"/>
              </w:rPr>
              <w:t>非甲烷总烃</w:t>
            </w:r>
          </w:p>
        </w:tc>
        <w:tc>
          <w:tcPr>
            <w:tcW w:w="1650" w:type="dxa"/>
            <w:shd w:val="clear" w:color="auto" w:fill="auto"/>
            <w:vAlign w:val="center"/>
          </w:tcPr>
          <w:p w14:paraId="4CFE3F82">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7C785B05">
            <w:pPr>
              <w:spacing w:before="0" w:beforeAutospacing="0" w:after="0" w:afterAutospacing="0"/>
              <w:jc w:val="center"/>
              <w:outlineLvl w:val="0"/>
              <w:rPr>
                <w:rFonts w:hint="eastAsia" w:ascii="Times New Roman" w:hAnsi="Times New Roman"/>
                <w:snapToGrid w:val="0"/>
                <w:color w:val="000000"/>
                <w:kern w:val="21"/>
                <w:sz w:val="21"/>
                <w:szCs w:val="21"/>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127BD41B">
            <w:pPr>
              <w:spacing w:before="0" w:beforeAutospacing="0" w:after="0" w:afterAutospacing="0"/>
              <w:jc w:val="center"/>
              <w:outlineLvl w:val="0"/>
              <w:rPr>
                <w:rFonts w:hint="eastAsia" w:ascii="Times New Roman" w:hAnsi="Times New Roman"/>
                <w:snapToGrid w:val="0"/>
                <w:color w:val="000000"/>
                <w:kern w:val="21"/>
                <w:sz w:val="21"/>
                <w:szCs w:val="21"/>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1CF2A472">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4.23772</w:t>
            </w:r>
          </w:p>
        </w:tc>
        <w:tc>
          <w:tcPr>
            <w:tcW w:w="1563" w:type="dxa"/>
            <w:shd w:val="clear" w:color="auto" w:fill="auto"/>
            <w:vAlign w:val="center"/>
          </w:tcPr>
          <w:p w14:paraId="288D2DE7">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695D8B14">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4.23772</w:t>
            </w:r>
          </w:p>
        </w:tc>
        <w:tc>
          <w:tcPr>
            <w:tcW w:w="1234" w:type="dxa"/>
            <w:shd w:val="clear" w:color="auto" w:fill="auto"/>
            <w:vAlign w:val="center"/>
          </w:tcPr>
          <w:p w14:paraId="0FC110FA">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+4.23772</w:t>
            </w:r>
          </w:p>
        </w:tc>
      </w:tr>
      <w:tr w14:paraId="5EC99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6E69DC3F">
            <w:pPr>
              <w:pStyle w:val="19"/>
              <w:spacing w:before="0" w:beforeAutospacing="0" w:after="0" w:afterAutospacing="0"/>
              <w:jc w:val="center"/>
              <w:outlineLvl w:val="0"/>
              <w:rPr>
                <w:rFonts w:hint="eastAsia" w:ascii="Times New Roman" w:hAnsi="Times New Roman"/>
                <w:snapToGrid w:val="0"/>
                <w:color w:val="000000"/>
                <w:kern w:val="21"/>
                <w:sz w:val="21"/>
                <w:szCs w:val="21"/>
                <w:lang w:val="en-US" w:eastAsia="zh-CN"/>
              </w:rPr>
            </w:pPr>
          </w:p>
        </w:tc>
        <w:tc>
          <w:tcPr>
            <w:tcW w:w="1767" w:type="dxa"/>
            <w:shd w:val="clear" w:color="auto" w:fill="auto"/>
            <w:vAlign w:val="center"/>
          </w:tcPr>
          <w:p w14:paraId="4BCE0A46">
            <w:pPr>
              <w:pStyle w:val="19"/>
              <w:spacing w:before="0" w:beforeAutospacing="0" w:after="0" w:afterAutospacing="0"/>
              <w:jc w:val="center"/>
              <w:outlineLvl w:val="0"/>
              <w:rPr>
                <w:rFonts w:hint="default" w:ascii="Times New Roman" w:hAnsi="Times New Roman"/>
                <w:snapToGrid w:val="0"/>
                <w:sz w:val="21"/>
                <w:szCs w:val="21"/>
                <w:lang w:val="en-US" w:eastAsia="zh-CN"/>
              </w:rPr>
            </w:pPr>
            <w:r>
              <w:rPr>
                <w:rFonts w:hint="eastAsia" w:ascii="Times New Roman" w:hAnsi="Times New Roman"/>
                <w:snapToGrid w:val="0"/>
                <w:sz w:val="21"/>
                <w:szCs w:val="21"/>
                <w:lang w:val="en-US" w:eastAsia="zh-CN"/>
              </w:rPr>
              <w:t>臭气浓度</w:t>
            </w:r>
          </w:p>
        </w:tc>
        <w:tc>
          <w:tcPr>
            <w:tcW w:w="1650" w:type="dxa"/>
            <w:shd w:val="clear" w:color="auto" w:fill="auto"/>
            <w:vAlign w:val="center"/>
          </w:tcPr>
          <w:p w14:paraId="6DCB79AA">
            <w:pPr>
              <w:spacing w:before="0" w:beforeAutospacing="0" w:after="0" w:afterAutospacing="0"/>
              <w:jc w:val="center"/>
              <w:outlineLvl w:val="0"/>
              <w:rPr>
                <w:rFonts w:hint="default" w:ascii="Times New Roman" w:hAnsi="Times New Roman"/>
                <w:snapToGrid w:val="0"/>
                <w:sz w:val="21"/>
                <w:szCs w:val="21"/>
                <w:lang w:val="en-US" w:eastAsia="zh-CN"/>
              </w:rPr>
            </w:pPr>
            <w:r>
              <w:rPr>
                <w:rFonts w:hint="eastAsia"/>
                <w:snapToGrid w:val="0"/>
                <w:sz w:val="21"/>
                <w:szCs w:val="21"/>
                <w:lang w:val="en-US" w:eastAsia="zh-CN"/>
              </w:rPr>
              <w:t>0</w:t>
            </w:r>
          </w:p>
        </w:tc>
        <w:tc>
          <w:tcPr>
            <w:tcW w:w="1237" w:type="dxa"/>
            <w:shd w:val="clear" w:color="auto" w:fill="auto"/>
            <w:vAlign w:val="center"/>
          </w:tcPr>
          <w:p w14:paraId="1910B667">
            <w:pPr>
              <w:spacing w:before="0" w:beforeAutospacing="0" w:after="0" w:afterAutospacing="0"/>
              <w:jc w:val="center"/>
              <w:outlineLvl w:val="0"/>
              <w:rPr>
                <w:rFonts w:hint="default" w:ascii="Times New Roman" w:hAnsi="Times New Roman"/>
                <w:snapToGrid w:val="0"/>
                <w:sz w:val="21"/>
                <w:szCs w:val="21"/>
                <w:lang w:val="en-US" w:eastAsia="zh-CN"/>
              </w:rPr>
            </w:pPr>
            <w:r>
              <w:rPr>
                <w:rFonts w:hint="eastAsia"/>
                <w:snapToGrid w:val="0"/>
                <w:sz w:val="21"/>
                <w:szCs w:val="21"/>
                <w:lang w:val="en-US" w:eastAsia="zh-CN"/>
              </w:rPr>
              <w:t>0</w:t>
            </w:r>
          </w:p>
        </w:tc>
        <w:tc>
          <w:tcPr>
            <w:tcW w:w="1650" w:type="dxa"/>
            <w:shd w:val="clear" w:color="auto" w:fill="auto"/>
            <w:vAlign w:val="center"/>
          </w:tcPr>
          <w:p w14:paraId="40DF0042">
            <w:pPr>
              <w:spacing w:before="0" w:beforeAutospacing="0" w:after="0" w:afterAutospacing="0"/>
              <w:jc w:val="center"/>
              <w:outlineLvl w:val="0"/>
              <w:rPr>
                <w:rFonts w:hint="default" w:ascii="Times New Roman" w:hAnsi="Times New Roman"/>
                <w:snapToGrid w:val="0"/>
                <w:sz w:val="21"/>
                <w:szCs w:val="21"/>
                <w:lang w:val="en-US" w:eastAsia="zh-CN"/>
              </w:rPr>
            </w:pPr>
            <w:r>
              <w:rPr>
                <w:rFonts w:hint="eastAsia"/>
                <w:snapToGrid w:val="0"/>
                <w:sz w:val="21"/>
                <w:szCs w:val="21"/>
                <w:lang w:val="en-US" w:eastAsia="zh-CN"/>
              </w:rPr>
              <w:t>0</w:t>
            </w:r>
          </w:p>
        </w:tc>
        <w:tc>
          <w:tcPr>
            <w:tcW w:w="1513" w:type="dxa"/>
            <w:vAlign w:val="center"/>
          </w:tcPr>
          <w:p w14:paraId="1A9A8E04">
            <w:pPr>
              <w:jc w:val="center"/>
              <w:outlineLvl w:val="0"/>
              <w:rPr>
                <w:rFonts w:hint="default"/>
                <w:snapToGrid w:val="0"/>
                <w:color w:val="auto"/>
                <w:kern w:val="21"/>
                <w:szCs w:val="21"/>
                <w:lang w:val="en-US" w:eastAsia="zh-CN"/>
              </w:rPr>
            </w:pPr>
            <w:r>
              <w:rPr>
                <w:rFonts w:hint="eastAsia"/>
                <w:snapToGrid w:val="0"/>
                <w:color w:val="auto"/>
                <w:sz w:val="21"/>
                <w:szCs w:val="21"/>
                <w:lang w:val="en-US" w:eastAsia="zh-CN"/>
              </w:rPr>
              <w:t>/</w:t>
            </w:r>
          </w:p>
        </w:tc>
        <w:tc>
          <w:tcPr>
            <w:tcW w:w="1563" w:type="dxa"/>
            <w:shd w:val="clear" w:color="auto" w:fill="auto"/>
            <w:vAlign w:val="center"/>
          </w:tcPr>
          <w:p w14:paraId="125FBD4C">
            <w:pPr>
              <w:spacing w:before="0" w:beforeAutospacing="0" w:after="0" w:afterAutospacing="0"/>
              <w:jc w:val="center"/>
              <w:outlineLvl w:val="0"/>
              <w:rPr>
                <w:rFonts w:hint="default" w:ascii="Times New Roman" w:hAnsi="Times New Roman" w:eastAsia="宋体" w:cs="Times New Roman"/>
                <w:snapToGrid w:val="0"/>
                <w:color w:val="auto"/>
                <w:kern w:val="2"/>
                <w:sz w:val="21"/>
                <w:szCs w:val="21"/>
                <w:lang w:val="en-US" w:eastAsia="zh-CN" w:bidi="ar-SA"/>
              </w:rPr>
            </w:pPr>
            <w:r>
              <w:rPr>
                <w:rFonts w:hint="eastAsia"/>
                <w:snapToGrid w:val="0"/>
                <w:color w:val="auto"/>
                <w:sz w:val="21"/>
                <w:szCs w:val="21"/>
                <w:lang w:val="en-US" w:eastAsia="zh-CN"/>
              </w:rPr>
              <w:t>0</w:t>
            </w:r>
          </w:p>
        </w:tc>
        <w:tc>
          <w:tcPr>
            <w:tcW w:w="1794" w:type="dxa"/>
            <w:shd w:val="clear" w:color="auto" w:fill="auto"/>
            <w:vAlign w:val="center"/>
          </w:tcPr>
          <w:p w14:paraId="3CC26CF1">
            <w:pPr>
              <w:jc w:val="center"/>
              <w:outlineLvl w:val="0"/>
              <w:rPr>
                <w:rFonts w:hint="default"/>
                <w:snapToGrid w:val="0"/>
                <w:color w:val="auto"/>
                <w:kern w:val="21"/>
                <w:szCs w:val="21"/>
                <w:lang w:val="en-US" w:eastAsia="zh-CN"/>
              </w:rPr>
            </w:pPr>
            <w:r>
              <w:rPr>
                <w:rFonts w:hint="eastAsia"/>
                <w:snapToGrid w:val="0"/>
                <w:color w:val="auto"/>
                <w:sz w:val="21"/>
                <w:szCs w:val="21"/>
                <w:lang w:val="en-US" w:eastAsia="zh-CN"/>
              </w:rPr>
              <w:t>/</w:t>
            </w:r>
          </w:p>
        </w:tc>
        <w:tc>
          <w:tcPr>
            <w:tcW w:w="1234" w:type="dxa"/>
            <w:shd w:val="clear" w:color="auto" w:fill="auto"/>
            <w:vAlign w:val="center"/>
          </w:tcPr>
          <w:p w14:paraId="45F70594">
            <w:pPr>
              <w:jc w:val="center"/>
              <w:outlineLvl w:val="0"/>
              <w:rPr>
                <w:rFonts w:hint="default" w:ascii="Times New Roman" w:hAnsi="Times New Roman" w:eastAsia="宋体" w:cs="Times New Roman"/>
                <w:snapToGrid w:val="0"/>
                <w:color w:val="auto"/>
                <w:kern w:val="21"/>
                <w:szCs w:val="21"/>
                <w:lang w:val="en-US" w:eastAsia="zh-CN"/>
              </w:rPr>
            </w:pPr>
            <w:r>
              <w:rPr>
                <w:rFonts w:hint="eastAsia"/>
                <w:snapToGrid w:val="0"/>
                <w:color w:val="auto"/>
                <w:sz w:val="21"/>
                <w:szCs w:val="21"/>
                <w:lang w:val="en-US" w:eastAsia="zh-CN"/>
              </w:rPr>
              <w:t>/</w:t>
            </w:r>
          </w:p>
        </w:tc>
      </w:tr>
      <w:tr w14:paraId="76AFB0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restart"/>
            <w:vAlign w:val="center"/>
          </w:tcPr>
          <w:p w14:paraId="26C6F14D">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废水</w:t>
            </w:r>
          </w:p>
        </w:tc>
        <w:tc>
          <w:tcPr>
            <w:tcW w:w="1767" w:type="dxa"/>
            <w:vAlign w:val="center"/>
          </w:tcPr>
          <w:p w14:paraId="3923E80C">
            <w:pPr>
              <w:pStyle w:val="19"/>
              <w:spacing w:before="0" w:beforeAutospacing="0" w:after="0" w:afterAutospacing="0"/>
              <w:jc w:val="center"/>
              <w:outlineLvl w:val="0"/>
              <w:rPr>
                <w:rFonts w:ascii="Times New Roman" w:hAnsi="Times New Roman"/>
                <w:snapToGrid w:val="0"/>
                <w:color w:val="000000"/>
                <w:kern w:val="21"/>
                <w:sz w:val="21"/>
                <w:szCs w:val="21"/>
              </w:rPr>
            </w:pPr>
            <w:bookmarkStart w:id="9" w:name="_Toc20600"/>
            <w:r>
              <w:rPr>
                <w:rFonts w:hint="eastAsia" w:ascii="Times New Roman" w:hAnsi="Times New Roman"/>
                <w:snapToGrid w:val="0"/>
                <w:color w:val="000000"/>
                <w:kern w:val="21"/>
                <w:sz w:val="21"/>
                <w:szCs w:val="21"/>
              </w:rPr>
              <w:t>CODcr</w:t>
            </w:r>
            <w:bookmarkEnd w:id="9"/>
          </w:p>
        </w:tc>
        <w:tc>
          <w:tcPr>
            <w:tcW w:w="1650" w:type="dxa"/>
            <w:shd w:val="clear" w:color="auto" w:fill="auto"/>
            <w:vAlign w:val="center"/>
          </w:tcPr>
          <w:p w14:paraId="3189DC5E">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10D7CAFB">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4192C7F0">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vAlign w:val="center"/>
          </w:tcPr>
          <w:p w14:paraId="370D2A57">
            <w:pPr>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563" w:type="dxa"/>
            <w:shd w:val="clear" w:color="auto" w:fill="auto"/>
            <w:vAlign w:val="center"/>
          </w:tcPr>
          <w:p w14:paraId="0F1E1184">
            <w:pPr>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c>
          <w:tcPr>
            <w:tcW w:w="1794" w:type="dxa"/>
            <w:vAlign w:val="center"/>
          </w:tcPr>
          <w:p w14:paraId="0F92BA7D">
            <w:pPr>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234" w:type="dxa"/>
            <w:shd w:val="clear" w:color="auto" w:fill="auto"/>
            <w:vAlign w:val="center"/>
          </w:tcPr>
          <w:p w14:paraId="0B091678">
            <w:pPr>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r>
      <w:tr w14:paraId="5443D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4D21F69D">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2AFED282">
            <w:pPr>
              <w:pStyle w:val="19"/>
              <w:spacing w:before="0" w:beforeAutospacing="0" w:after="0" w:afterAutospacing="0"/>
              <w:jc w:val="center"/>
              <w:outlineLvl w:val="0"/>
              <w:rPr>
                <w:rFonts w:ascii="Times New Roman" w:hAnsi="Times New Roman"/>
                <w:snapToGrid w:val="0"/>
                <w:color w:val="000000"/>
                <w:kern w:val="21"/>
                <w:sz w:val="21"/>
                <w:szCs w:val="21"/>
              </w:rPr>
            </w:pPr>
            <w:bookmarkStart w:id="10" w:name="_Toc6923"/>
            <w:r>
              <w:rPr>
                <w:rFonts w:hint="eastAsia" w:ascii="Times New Roman" w:hAnsi="Times New Roman"/>
                <w:snapToGrid w:val="0"/>
                <w:color w:val="000000"/>
                <w:kern w:val="21"/>
                <w:sz w:val="21"/>
                <w:szCs w:val="21"/>
              </w:rPr>
              <w:t>BOD5</w:t>
            </w:r>
            <w:bookmarkEnd w:id="10"/>
          </w:p>
        </w:tc>
        <w:tc>
          <w:tcPr>
            <w:tcW w:w="1650" w:type="dxa"/>
            <w:shd w:val="clear" w:color="auto" w:fill="auto"/>
            <w:vAlign w:val="center"/>
          </w:tcPr>
          <w:p w14:paraId="0CDE872B">
            <w:pPr>
              <w:spacing w:before="0" w:beforeAutospacing="0" w:after="0" w:afterAutospacing="0"/>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4FF42A1A">
            <w:pPr>
              <w:spacing w:before="0" w:beforeAutospacing="0" w:after="0" w:afterAutospacing="0"/>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65000B19">
            <w:pPr>
              <w:spacing w:before="0" w:beforeAutospacing="0" w:after="0" w:afterAutospacing="0"/>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vAlign w:val="center"/>
          </w:tcPr>
          <w:p w14:paraId="4DB6AE40">
            <w:pPr>
              <w:spacing w:before="0" w:beforeAutospacing="0" w:after="0" w:afterAutospacing="0"/>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563" w:type="dxa"/>
            <w:shd w:val="clear" w:color="auto" w:fill="auto"/>
            <w:vAlign w:val="center"/>
          </w:tcPr>
          <w:p w14:paraId="7447A3DD">
            <w:pPr>
              <w:spacing w:before="0" w:beforeAutospacing="0" w:after="0" w:afterAutospacing="0"/>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c>
          <w:tcPr>
            <w:tcW w:w="1794" w:type="dxa"/>
            <w:vAlign w:val="center"/>
          </w:tcPr>
          <w:p w14:paraId="7B665496">
            <w:pPr>
              <w:spacing w:before="0" w:beforeAutospacing="0" w:after="0" w:afterAutospacing="0"/>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234" w:type="dxa"/>
            <w:shd w:val="clear" w:color="auto" w:fill="auto"/>
            <w:vAlign w:val="center"/>
          </w:tcPr>
          <w:p w14:paraId="1FC7EFB6">
            <w:pPr>
              <w:spacing w:before="0" w:beforeAutospacing="0" w:after="0" w:afterAutospacing="0"/>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r>
      <w:tr w14:paraId="1A7E3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4AB3165F">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536E066A">
            <w:pPr>
              <w:pStyle w:val="19"/>
              <w:spacing w:before="0" w:beforeAutospacing="0" w:after="0" w:afterAutospacing="0"/>
              <w:jc w:val="center"/>
              <w:outlineLvl w:val="0"/>
              <w:rPr>
                <w:rFonts w:ascii="Times New Roman" w:hAnsi="Times New Roman"/>
                <w:snapToGrid w:val="0"/>
                <w:color w:val="000000"/>
                <w:kern w:val="21"/>
                <w:sz w:val="21"/>
                <w:szCs w:val="21"/>
              </w:rPr>
            </w:pPr>
            <w:bookmarkStart w:id="11" w:name="_Toc11443"/>
            <w:r>
              <w:rPr>
                <w:rFonts w:hint="eastAsia" w:ascii="Times New Roman" w:hAnsi="Times New Roman"/>
                <w:snapToGrid w:val="0"/>
                <w:color w:val="000000"/>
                <w:kern w:val="21"/>
                <w:sz w:val="21"/>
                <w:szCs w:val="21"/>
              </w:rPr>
              <w:t>SS</w:t>
            </w:r>
            <w:bookmarkEnd w:id="11"/>
          </w:p>
        </w:tc>
        <w:tc>
          <w:tcPr>
            <w:tcW w:w="1650" w:type="dxa"/>
            <w:shd w:val="clear" w:color="auto" w:fill="auto"/>
            <w:vAlign w:val="center"/>
          </w:tcPr>
          <w:p w14:paraId="3EF8EA6C">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6E4609DF">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0FF5ABA6">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vAlign w:val="center"/>
          </w:tcPr>
          <w:p w14:paraId="5EC6A7B1">
            <w:pPr>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563" w:type="dxa"/>
            <w:shd w:val="clear" w:color="auto" w:fill="auto"/>
            <w:vAlign w:val="center"/>
          </w:tcPr>
          <w:p w14:paraId="061C0779">
            <w:pPr>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c>
          <w:tcPr>
            <w:tcW w:w="1794" w:type="dxa"/>
            <w:vAlign w:val="center"/>
          </w:tcPr>
          <w:p w14:paraId="7C575C15">
            <w:pPr>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234" w:type="dxa"/>
            <w:shd w:val="clear" w:color="auto" w:fill="auto"/>
            <w:vAlign w:val="center"/>
          </w:tcPr>
          <w:p w14:paraId="3E749B7F">
            <w:pPr>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r>
      <w:tr w14:paraId="0C4177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776BAA01">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7865E6EA">
            <w:pPr>
              <w:pStyle w:val="19"/>
              <w:spacing w:before="0" w:beforeAutospacing="0" w:after="0" w:afterAutospacing="0"/>
              <w:jc w:val="center"/>
              <w:outlineLvl w:val="0"/>
              <w:rPr>
                <w:rFonts w:ascii="Times New Roman" w:hAnsi="Times New Roman"/>
                <w:snapToGrid w:val="0"/>
                <w:color w:val="000000"/>
                <w:kern w:val="21"/>
                <w:sz w:val="21"/>
                <w:szCs w:val="21"/>
              </w:rPr>
            </w:pPr>
            <w:bookmarkStart w:id="12" w:name="_Toc32328"/>
            <w:r>
              <w:rPr>
                <w:rFonts w:hint="eastAsia" w:ascii="Times New Roman" w:hAnsi="Times New Roman"/>
                <w:snapToGrid w:val="0"/>
                <w:color w:val="000000"/>
                <w:kern w:val="21"/>
                <w:sz w:val="21"/>
                <w:szCs w:val="21"/>
              </w:rPr>
              <w:t>氨氮</w:t>
            </w:r>
            <w:bookmarkEnd w:id="12"/>
          </w:p>
        </w:tc>
        <w:tc>
          <w:tcPr>
            <w:tcW w:w="1650" w:type="dxa"/>
            <w:vAlign w:val="center"/>
          </w:tcPr>
          <w:p w14:paraId="78589744">
            <w:pPr>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79AFFA12">
            <w:pPr>
              <w:spacing w:before="0" w:beforeAutospacing="0" w:after="0" w:afterAutospacing="0"/>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6F1973CE">
            <w:pPr>
              <w:spacing w:before="0" w:beforeAutospacing="0" w:after="0" w:afterAutospacing="0"/>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vAlign w:val="center"/>
          </w:tcPr>
          <w:p w14:paraId="3E7C9C00">
            <w:pPr>
              <w:spacing w:before="0" w:beforeAutospacing="0" w:after="0" w:afterAutospacing="0"/>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563" w:type="dxa"/>
            <w:shd w:val="clear" w:color="auto" w:fill="auto"/>
            <w:vAlign w:val="center"/>
          </w:tcPr>
          <w:p w14:paraId="4D7970B5">
            <w:pPr>
              <w:spacing w:before="0" w:beforeAutospacing="0" w:after="0" w:afterAutospacing="0"/>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c>
          <w:tcPr>
            <w:tcW w:w="1794" w:type="dxa"/>
            <w:vAlign w:val="center"/>
          </w:tcPr>
          <w:p w14:paraId="46E5BF3F">
            <w:pPr>
              <w:spacing w:before="0" w:beforeAutospacing="0" w:after="0" w:afterAutospacing="0"/>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234" w:type="dxa"/>
            <w:shd w:val="clear" w:color="auto" w:fill="auto"/>
            <w:vAlign w:val="center"/>
          </w:tcPr>
          <w:p w14:paraId="76E6B883">
            <w:pPr>
              <w:spacing w:before="0" w:beforeAutospacing="0" w:after="0" w:afterAutospacing="0"/>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r>
      <w:tr w14:paraId="5526D4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4696D651">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23A8CD2D">
            <w:pPr>
              <w:pStyle w:val="19"/>
              <w:spacing w:before="0" w:beforeAutospacing="0" w:after="0" w:afterAutospacing="0"/>
              <w:jc w:val="center"/>
              <w:outlineLvl w:val="0"/>
              <w:rPr>
                <w:rFonts w:ascii="Times New Roman" w:hAnsi="Times New Roman"/>
                <w:snapToGrid w:val="0"/>
                <w:color w:val="000000"/>
                <w:kern w:val="21"/>
                <w:sz w:val="21"/>
                <w:szCs w:val="21"/>
              </w:rPr>
            </w:pPr>
            <w:bookmarkStart w:id="13" w:name="_Toc14129"/>
            <w:r>
              <w:rPr>
                <w:rFonts w:hint="eastAsia" w:ascii="Times New Roman" w:hAnsi="Times New Roman"/>
                <w:snapToGrid w:val="0"/>
                <w:color w:val="000000"/>
                <w:kern w:val="21"/>
                <w:sz w:val="21"/>
                <w:szCs w:val="21"/>
              </w:rPr>
              <w:t>动植物油</w:t>
            </w:r>
            <w:bookmarkEnd w:id="13"/>
          </w:p>
        </w:tc>
        <w:tc>
          <w:tcPr>
            <w:tcW w:w="1650" w:type="dxa"/>
            <w:vAlign w:val="center"/>
          </w:tcPr>
          <w:p w14:paraId="1DD3F278">
            <w:pPr>
              <w:jc w:val="center"/>
              <w:outlineLvl w:val="0"/>
              <w:rPr>
                <w:snapToGrid w:val="0"/>
                <w:color w:val="000000"/>
                <w:kern w:val="21"/>
                <w:szCs w:val="21"/>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6709A522">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7810E463">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vAlign w:val="center"/>
          </w:tcPr>
          <w:p w14:paraId="3B169E67">
            <w:pPr>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563" w:type="dxa"/>
            <w:shd w:val="clear" w:color="auto" w:fill="auto"/>
            <w:vAlign w:val="center"/>
          </w:tcPr>
          <w:p w14:paraId="6DC7B9BF">
            <w:pPr>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c>
          <w:tcPr>
            <w:tcW w:w="1794" w:type="dxa"/>
            <w:vAlign w:val="center"/>
          </w:tcPr>
          <w:p w14:paraId="222DB68C">
            <w:pPr>
              <w:jc w:val="center"/>
              <w:outlineLvl w:val="0"/>
              <w:rPr>
                <w:rFonts w:ascii="Times New Roman" w:hAnsi="Times New Roman"/>
                <w:bCs/>
                <w:color w:val="auto"/>
                <w:sz w:val="21"/>
                <w:szCs w:val="21"/>
              </w:rPr>
            </w:pPr>
            <w:r>
              <w:rPr>
                <w:rFonts w:hint="eastAsia" w:ascii="Times New Roman" w:hAnsi="Times New Roman"/>
                <w:snapToGrid w:val="0"/>
                <w:color w:val="auto"/>
                <w:sz w:val="21"/>
                <w:szCs w:val="21"/>
                <w:lang w:val="en-US" w:eastAsia="zh-CN"/>
              </w:rPr>
              <w:t>0</w:t>
            </w:r>
          </w:p>
        </w:tc>
        <w:tc>
          <w:tcPr>
            <w:tcW w:w="1234" w:type="dxa"/>
            <w:shd w:val="clear" w:color="auto" w:fill="auto"/>
            <w:vAlign w:val="center"/>
          </w:tcPr>
          <w:p w14:paraId="4EC0CA89">
            <w:pPr>
              <w:jc w:val="center"/>
              <w:outlineLvl w:val="0"/>
              <w:rPr>
                <w:rFonts w:ascii="Times New Roman" w:hAnsi="Times New Roman" w:eastAsia="宋体" w:cs="Times New Roman"/>
                <w:snapToGrid w:val="0"/>
                <w:color w:val="auto"/>
                <w:kern w:val="21"/>
                <w:sz w:val="21"/>
                <w:szCs w:val="21"/>
                <w:lang w:val="en-US" w:eastAsia="zh-CN" w:bidi="ar-SA"/>
              </w:rPr>
            </w:pPr>
            <w:r>
              <w:rPr>
                <w:rFonts w:hint="eastAsia" w:ascii="Times New Roman" w:hAnsi="Times New Roman"/>
                <w:snapToGrid w:val="0"/>
                <w:color w:val="auto"/>
                <w:sz w:val="21"/>
                <w:szCs w:val="21"/>
                <w:lang w:val="en-US" w:eastAsia="zh-CN"/>
              </w:rPr>
              <w:t>0</w:t>
            </w:r>
          </w:p>
        </w:tc>
      </w:tr>
      <w:tr w14:paraId="5E661D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restart"/>
            <w:vAlign w:val="center"/>
          </w:tcPr>
          <w:p w14:paraId="4DA08D05">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一般工业</w:t>
            </w:r>
          </w:p>
          <w:p w14:paraId="234EE46A">
            <w:pPr>
              <w:pStyle w:val="19"/>
              <w:spacing w:before="0" w:beforeAutospacing="0" w:after="0" w:afterAutospacing="0"/>
              <w:jc w:val="center"/>
              <w:outlineLvl w:val="0"/>
              <w:rPr>
                <w:rFonts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固体废物</w:t>
            </w:r>
          </w:p>
        </w:tc>
        <w:tc>
          <w:tcPr>
            <w:tcW w:w="1767" w:type="dxa"/>
            <w:vAlign w:val="center"/>
          </w:tcPr>
          <w:p w14:paraId="249D8A0E">
            <w:pPr>
              <w:snapToGrid w:val="0"/>
              <w:jc w:val="center"/>
              <w:rPr>
                <w:rFonts w:ascii="Times New Roman" w:hAnsi="Times New Roman"/>
                <w:snapToGrid w:val="0"/>
                <w:sz w:val="21"/>
                <w:szCs w:val="21"/>
              </w:rPr>
            </w:pPr>
            <w:r>
              <w:rPr>
                <w:rFonts w:hint="eastAsia" w:cs="Times New Roman"/>
                <w:bCs/>
                <w:color w:val="auto"/>
                <w:szCs w:val="21"/>
                <w:lang w:val="en-US" w:eastAsia="zh-CN"/>
              </w:rPr>
              <w:t>切割粉尘</w:t>
            </w:r>
          </w:p>
        </w:tc>
        <w:tc>
          <w:tcPr>
            <w:tcW w:w="1650" w:type="dxa"/>
            <w:shd w:val="clear" w:color="auto" w:fill="auto"/>
            <w:vAlign w:val="center"/>
          </w:tcPr>
          <w:p w14:paraId="4AC602DE">
            <w:pPr>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2968D8F0">
            <w:pPr>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3657444F">
            <w:pPr>
              <w:spacing w:before="0" w:beforeAutospacing="0" w:after="0" w:afterAutospacing="0"/>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4CE44B5D">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79.128</w:t>
            </w:r>
          </w:p>
        </w:tc>
        <w:tc>
          <w:tcPr>
            <w:tcW w:w="1563" w:type="dxa"/>
            <w:shd w:val="clear" w:color="auto" w:fill="auto"/>
            <w:vAlign w:val="center"/>
          </w:tcPr>
          <w:p w14:paraId="6D2BFF41">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4BEC63F6">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79.128</w:t>
            </w:r>
          </w:p>
        </w:tc>
        <w:tc>
          <w:tcPr>
            <w:tcW w:w="1234" w:type="dxa"/>
            <w:shd w:val="clear" w:color="auto" w:fill="auto"/>
            <w:vAlign w:val="center"/>
          </w:tcPr>
          <w:p w14:paraId="46C3BE3E">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+79.128</w:t>
            </w:r>
          </w:p>
        </w:tc>
      </w:tr>
      <w:tr w14:paraId="5FF3DA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0E7CFA18">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6B931606">
            <w:pPr>
              <w:snapToGrid w:val="0"/>
              <w:jc w:val="center"/>
              <w:rPr>
                <w:rFonts w:ascii="Times New Roman" w:hAnsi="Times New Roman"/>
                <w:snapToGrid w:val="0"/>
                <w:sz w:val="21"/>
                <w:szCs w:val="21"/>
              </w:rPr>
            </w:pPr>
            <w:r>
              <w:rPr>
                <w:rFonts w:hint="eastAsia" w:cs="Times New Roman"/>
                <w:bCs/>
                <w:color w:val="auto"/>
                <w:szCs w:val="21"/>
                <w:lang w:val="en-US" w:eastAsia="zh-CN"/>
              </w:rPr>
              <w:t>打磨粉尘</w:t>
            </w:r>
          </w:p>
        </w:tc>
        <w:tc>
          <w:tcPr>
            <w:tcW w:w="1650" w:type="dxa"/>
            <w:shd w:val="clear" w:color="auto" w:fill="auto"/>
            <w:vAlign w:val="center"/>
          </w:tcPr>
          <w:p w14:paraId="04C0E3F0">
            <w:pPr>
              <w:jc w:val="center"/>
              <w:outlineLvl w:val="0"/>
              <w:rPr>
                <w:rFonts w:hint="default"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76F5161F">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335E9C59">
            <w:pPr>
              <w:jc w:val="center"/>
              <w:outlineLvl w:val="0"/>
              <w:rPr>
                <w:rFonts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4FA0CA30">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90.432</w:t>
            </w:r>
          </w:p>
        </w:tc>
        <w:tc>
          <w:tcPr>
            <w:tcW w:w="1563" w:type="dxa"/>
            <w:shd w:val="clear" w:color="auto" w:fill="auto"/>
            <w:vAlign w:val="center"/>
          </w:tcPr>
          <w:p w14:paraId="667974B1">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5C7EA1A9">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90.432</w:t>
            </w:r>
          </w:p>
        </w:tc>
        <w:tc>
          <w:tcPr>
            <w:tcW w:w="1234" w:type="dxa"/>
            <w:shd w:val="clear" w:color="auto" w:fill="auto"/>
            <w:vAlign w:val="center"/>
          </w:tcPr>
          <w:p w14:paraId="010CB7CD">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+90.432</w:t>
            </w:r>
          </w:p>
        </w:tc>
      </w:tr>
      <w:tr w14:paraId="53C712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27758DE6">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4D0B42BE">
            <w:pPr>
              <w:snapToGrid w:val="0"/>
              <w:jc w:val="center"/>
              <w:rPr>
                <w:rFonts w:hint="default" w:cs="Times New Roman"/>
                <w:bCs/>
                <w:color w:val="auto"/>
                <w:szCs w:val="21"/>
                <w:lang w:val="en-US" w:eastAsia="zh-CN"/>
              </w:rPr>
            </w:pPr>
            <w:r>
              <w:rPr>
                <w:rFonts w:hint="eastAsia" w:cs="Times New Roman"/>
                <w:bCs/>
                <w:color w:val="auto"/>
                <w:szCs w:val="21"/>
                <w:lang w:val="en-US" w:eastAsia="zh-CN"/>
              </w:rPr>
              <w:t>静电喷涂粉尘</w:t>
            </w:r>
          </w:p>
        </w:tc>
        <w:tc>
          <w:tcPr>
            <w:tcW w:w="1650" w:type="dxa"/>
            <w:shd w:val="clear" w:color="auto" w:fill="auto"/>
            <w:vAlign w:val="center"/>
          </w:tcPr>
          <w:p w14:paraId="42BF0948">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055626FB">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46CAB477">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4A635247">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0.1512</w:t>
            </w:r>
          </w:p>
        </w:tc>
        <w:tc>
          <w:tcPr>
            <w:tcW w:w="1563" w:type="dxa"/>
            <w:shd w:val="clear" w:color="auto" w:fill="auto"/>
            <w:vAlign w:val="center"/>
          </w:tcPr>
          <w:p w14:paraId="1AD209CD">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1AAADE66">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0.1512</w:t>
            </w:r>
          </w:p>
        </w:tc>
        <w:tc>
          <w:tcPr>
            <w:tcW w:w="1234" w:type="dxa"/>
            <w:shd w:val="clear" w:color="auto" w:fill="auto"/>
            <w:vAlign w:val="center"/>
          </w:tcPr>
          <w:p w14:paraId="579827C7">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+0.1512</w:t>
            </w:r>
          </w:p>
        </w:tc>
      </w:tr>
      <w:tr w14:paraId="78533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312CFA5A">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53021D8F">
            <w:pPr>
              <w:snapToGrid w:val="0"/>
              <w:jc w:val="center"/>
              <w:rPr>
                <w:rFonts w:hint="default" w:ascii="Times New Roman" w:hAnsi="Times New Roman" w:eastAsia="宋体"/>
                <w:snapToGrid w:val="0"/>
                <w:sz w:val="21"/>
                <w:szCs w:val="21"/>
                <w:lang w:val="en-US" w:eastAsia="zh-CN"/>
              </w:rPr>
            </w:pPr>
            <w:r>
              <w:rPr>
                <w:rFonts w:hint="eastAsia" w:ascii="Times New Roman" w:hAnsi="Times New Roman" w:eastAsia="宋体" w:cs="Times New Roman"/>
                <w:bCs/>
                <w:color w:val="auto"/>
                <w:szCs w:val="21"/>
                <w:lang w:val="en-US" w:eastAsia="zh-CN"/>
              </w:rPr>
              <w:t>不合格产品</w:t>
            </w:r>
          </w:p>
        </w:tc>
        <w:tc>
          <w:tcPr>
            <w:tcW w:w="1650" w:type="dxa"/>
            <w:shd w:val="clear" w:color="auto" w:fill="auto"/>
            <w:vAlign w:val="center"/>
          </w:tcPr>
          <w:p w14:paraId="2FC57856">
            <w:pPr>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29F18AC7">
            <w:pPr>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02CBCD80">
            <w:pPr>
              <w:jc w:val="center"/>
              <w:outlineLvl w:val="0"/>
              <w:rPr>
                <w:rFonts w:hint="eastAsia" w:ascii="Times New Roman" w:hAnsi="Times New Roman" w:eastAsia="宋体" w:cs="Times New Roman"/>
                <w:snapToGrid w:val="0"/>
                <w:color w:val="000000"/>
                <w:kern w:val="21"/>
                <w:sz w:val="21"/>
                <w:szCs w:val="21"/>
                <w:lang w:val="en-US" w:eastAsia="zh-CN" w:bidi="ar-SA"/>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1B1C70EF">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2.2608</w:t>
            </w:r>
          </w:p>
        </w:tc>
        <w:tc>
          <w:tcPr>
            <w:tcW w:w="1563" w:type="dxa"/>
            <w:shd w:val="clear" w:color="auto" w:fill="auto"/>
            <w:vAlign w:val="center"/>
          </w:tcPr>
          <w:p w14:paraId="59E6BDC3">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1800E000">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2.2608</w:t>
            </w:r>
          </w:p>
        </w:tc>
        <w:tc>
          <w:tcPr>
            <w:tcW w:w="1234" w:type="dxa"/>
            <w:shd w:val="clear" w:color="auto" w:fill="auto"/>
            <w:vAlign w:val="center"/>
          </w:tcPr>
          <w:p w14:paraId="340DEBA4">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+2.2608</w:t>
            </w:r>
          </w:p>
        </w:tc>
      </w:tr>
      <w:tr w14:paraId="236E2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1DC3FD81">
            <w:pPr>
              <w:pStyle w:val="19"/>
              <w:spacing w:before="0" w:beforeAutospacing="0" w:after="0" w:afterAutospacing="0"/>
              <w:jc w:val="center"/>
              <w:outlineLvl w:val="0"/>
              <w:rPr>
                <w:rFonts w:ascii="Times New Roman" w:hAnsi="Times New Roman"/>
                <w:snapToGrid w:val="0"/>
                <w:color w:val="000000"/>
                <w:kern w:val="21"/>
                <w:sz w:val="21"/>
                <w:szCs w:val="21"/>
              </w:rPr>
            </w:pPr>
          </w:p>
        </w:tc>
        <w:tc>
          <w:tcPr>
            <w:tcW w:w="1767" w:type="dxa"/>
            <w:vAlign w:val="center"/>
          </w:tcPr>
          <w:p w14:paraId="1E2AD848">
            <w:pPr>
              <w:widowControl/>
              <w:jc w:val="center"/>
              <w:textAlignment w:val="center"/>
              <w:rPr>
                <w:rFonts w:hint="eastAsia" w:ascii="Times New Roman" w:hAnsi="Times New Roman"/>
                <w:snapToGrid w:val="0"/>
                <w:sz w:val="21"/>
                <w:szCs w:val="21"/>
                <w:lang w:val="en-US" w:eastAsia="zh-CN"/>
              </w:rPr>
            </w:pPr>
            <w:r>
              <w:rPr>
                <w:rFonts w:hint="eastAsia"/>
                <w:color w:val="auto"/>
                <w:kern w:val="0"/>
                <w:szCs w:val="21"/>
                <w:lang w:bidi="ar"/>
              </w:rPr>
              <w:t>生活垃圾</w:t>
            </w:r>
          </w:p>
        </w:tc>
        <w:tc>
          <w:tcPr>
            <w:tcW w:w="1650" w:type="dxa"/>
            <w:shd w:val="clear" w:color="auto" w:fill="auto"/>
            <w:vAlign w:val="center"/>
          </w:tcPr>
          <w:p w14:paraId="59407060">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51C9C280">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37F1FA0A">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3B3791CC">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10.56</w:t>
            </w:r>
          </w:p>
        </w:tc>
        <w:tc>
          <w:tcPr>
            <w:tcW w:w="1563" w:type="dxa"/>
            <w:shd w:val="clear" w:color="auto" w:fill="auto"/>
            <w:vAlign w:val="center"/>
          </w:tcPr>
          <w:p w14:paraId="400B9745">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2CACA258">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10.56</w:t>
            </w:r>
          </w:p>
        </w:tc>
        <w:tc>
          <w:tcPr>
            <w:tcW w:w="1234" w:type="dxa"/>
            <w:shd w:val="clear" w:color="auto" w:fill="auto"/>
            <w:vAlign w:val="center"/>
          </w:tcPr>
          <w:p w14:paraId="127E2529">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+10.56</w:t>
            </w:r>
          </w:p>
        </w:tc>
      </w:tr>
      <w:tr w14:paraId="5E7FBD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restart"/>
            <w:vAlign w:val="center"/>
          </w:tcPr>
          <w:p w14:paraId="17C0AF43">
            <w:pPr>
              <w:pStyle w:val="19"/>
              <w:spacing w:before="0" w:beforeAutospacing="0" w:after="0" w:afterAutospacing="0"/>
              <w:jc w:val="center"/>
              <w:outlineLvl w:val="0"/>
              <w:rPr>
                <w:rFonts w:hint="eastAsia" w:ascii="Times New Roman" w:hAnsi="Times New Roman"/>
                <w:snapToGrid w:val="0"/>
                <w:color w:val="000000"/>
                <w:kern w:val="21"/>
                <w:sz w:val="21"/>
                <w:szCs w:val="21"/>
              </w:rPr>
            </w:pPr>
            <w:r>
              <w:rPr>
                <w:rFonts w:hint="eastAsia" w:ascii="Times New Roman" w:hAnsi="Times New Roman"/>
                <w:snapToGrid w:val="0"/>
                <w:color w:val="000000"/>
                <w:kern w:val="21"/>
                <w:sz w:val="21"/>
                <w:szCs w:val="21"/>
              </w:rPr>
              <w:t>危险废物</w:t>
            </w:r>
          </w:p>
        </w:tc>
        <w:tc>
          <w:tcPr>
            <w:tcW w:w="1767" w:type="dxa"/>
            <w:shd w:val="clear" w:color="auto" w:fill="auto"/>
            <w:vAlign w:val="center"/>
          </w:tcPr>
          <w:p w14:paraId="03DCCFB6">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val="en-US" w:eastAsia="zh-CN" w:bidi="ar"/>
              </w:rPr>
              <w:t>废包装桶</w:t>
            </w:r>
          </w:p>
        </w:tc>
        <w:tc>
          <w:tcPr>
            <w:tcW w:w="1650" w:type="dxa"/>
            <w:shd w:val="clear" w:color="auto" w:fill="auto"/>
            <w:vAlign w:val="center"/>
          </w:tcPr>
          <w:p w14:paraId="13B66C01">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12D035D0">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4956F507">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02DFA7D8">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214.72</w:t>
            </w:r>
          </w:p>
        </w:tc>
        <w:tc>
          <w:tcPr>
            <w:tcW w:w="1563" w:type="dxa"/>
            <w:shd w:val="clear" w:color="auto" w:fill="auto"/>
            <w:vAlign w:val="center"/>
          </w:tcPr>
          <w:p w14:paraId="77499543">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44B341C1">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214.72</w:t>
            </w:r>
          </w:p>
        </w:tc>
        <w:tc>
          <w:tcPr>
            <w:tcW w:w="1234" w:type="dxa"/>
            <w:shd w:val="clear" w:color="auto" w:fill="auto"/>
            <w:vAlign w:val="center"/>
          </w:tcPr>
          <w:p w14:paraId="31A6029C">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+214.72</w:t>
            </w:r>
          </w:p>
        </w:tc>
      </w:tr>
      <w:tr w14:paraId="2D3D6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5410DD14">
            <w:pPr>
              <w:pStyle w:val="19"/>
              <w:spacing w:before="0" w:beforeAutospacing="0" w:after="0" w:afterAutospacing="0"/>
              <w:jc w:val="center"/>
              <w:outlineLvl w:val="0"/>
              <w:rPr>
                <w:rFonts w:hint="eastAsia" w:ascii="Times New Roman" w:hAnsi="Times New Roman"/>
                <w:snapToGrid w:val="0"/>
                <w:color w:val="000000"/>
                <w:kern w:val="21"/>
                <w:sz w:val="21"/>
                <w:szCs w:val="21"/>
              </w:rPr>
            </w:pPr>
          </w:p>
        </w:tc>
        <w:tc>
          <w:tcPr>
            <w:tcW w:w="1767" w:type="dxa"/>
            <w:shd w:val="clear" w:color="auto" w:fill="auto"/>
            <w:vAlign w:val="center"/>
          </w:tcPr>
          <w:p w14:paraId="7EEDD12B">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废活性炭</w:t>
            </w:r>
          </w:p>
        </w:tc>
        <w:tc>
          <w:tcPr>
            <w:tcW w:w="1650" w:type="dxa"/>
            <w:shd w:val="clear" w:color="auto" w:fill="auto"/>
            <w:vAlign w:val="center"/>
          </w:tcPr>
          <w:p w14:paraId="110CF5AE">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65FE2F65">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0A5AEF3C">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176E0153">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35.3288</w:t>
            </w:r>
          </w:p>
        </w:tc>
        <w:tc>
          <w:tcPr>
            <w:tcW w:w="1563" w:type="dxa"/>
            <w:shd w:val="clear" w:color="auto" w:fill="auto"/>
            <w:vAlign w:val="center"/>
          </w:tcPr>
          <w:p w14:paraId="2BB38D25">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05C521EB">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35.3288</w:t>
            </w:r>
          </w:p>
        </w:tc>
        <w:tc>
          <w:tcPr>
            <w:tcW w:w="1234" w:type="dxa"/>
            <w:shd w:val="clear" w:color="auto" w:fill="auto"/>
            <w:vAlign w:val="center"/>
          </w:tcPr>
          <w:p w14:paraId="780E024A">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+35.3288</w:t>
            </w:r>
          </w:p>
        </w:tc>
      </w:tr>
      <w:tr w14:paraId="34E512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33" w:type="dxa"/>
            <w:vMerge w:val="continue"/>
            <w:vAlign w:val="center"/>
          </w:tcPr>
          <w:p w14:paraId="0545B146">
            <w:pPr>
              <w:pStyle w:val="19"/>
              <w:spacing w:before="0" w:beforeAutospacing="0" w:after="0" w:afterAutospacing="0"/>
              <w:jc w:val="center"/>
              <w:outlineLvl w:val="0"/>
              <w:rPr>
                <w:rFonts w:hint="eastAsia" w:ascii="Times New Roman" w:hAnsi="Times New Roman"/>
                <w:snapToGrid w:val="0"/>
                <w:color w:val="000000"/>
                <w:kern w:val="21"/>
                <w:sz w:val="21"/>
                <w:szCs w:val="21"/>
              </w:rPr>
            </w:pPr>
          </w:p>
        </w:tc>
        <w:tc>
          <w:tcPr>
            <w:tcW w:w="1767" w:type="dxa"/>
            <w:shd w:val="clear" w:color="auto" w:fill="auto"/>
            <w:vAlign w:val="center"/>
          </w:tcPr>
          <w:p w14:paraId="7510242F">
            <w:pPr>
              <w:snapToGrid w:val="0"/>
              <w:jc w:val="center"/>
              <w:rPr>
                <w:rFonts w:hint="eastAsia" w:ascii="Times New Roman" w:hAnsi="Times New Roman" w:eastAsia="宋体" w:cs="Times New Roman"/>
                <w:bCs/>
                <w:color w:val="auto"/>
                <w:kern w:val="2"/>
                <w:sz w:val="21"/>
                <w:szCs w:val="21"/>
                <w:lang w:val="en-US" w:eastAsia="zh-CN" w:bidi="ar-SA"/>
              </w:rPr>
            </w:pPr>
            <w:r>
              <w:rPr>
                <w:rFonts w:hint="eastAsia" w:ascii="Times New Roman" w:hAnsi="Times New Roman" w:eastAsia="宋体" w:cs="Times New Roman"/>
                <w:bCs/>
                <w:color w:val="auto"/>
                <w:szCs w:val="21"/>
                <w:lang w:val="en-US" w:eastAsia="zh-CN"/>
              </w:rPr>
              <w:t>沾染树脂的手套及玻璃纤维</w:t>
            </w:r>
          </w:p>
        </w:tc>
        <w:tc>
          <w:tcPr>
            <w:tcW w:w="1650" w:type="dxa"/>
            <w:shd w:val="clear" w:color="auto" w:fill="auto"/>
            <w:vAlign w:val="center"/>
          </w:tcPr>
          <w:p w14:paraId="7DA77118">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695EC28D">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4D25EEAD">
            <w:pPr>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2F4F3C27">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0.22608</w:t>
            </w:r>
          </w:p>
        </w:tc>
        <w:tc>
          <w:tcPr>
            <w:tcW w:w="1563" w:type="dxa"/>
            <w:shd w:val="clear" w:color="auto" w:fill="auto"/>
            <w:vAlign w:val="center"/>
          </w:tcPr>
          <w:p w14:paraId="2CAD2FEB">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066CC755">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0.22608</w:t>
            </w:r>
          </w:p>
        </w:tc>
        <w:tc>
          <w:tcPr>
            <w:tcW w:w="1234" w:type="dxa"/>
            <w:shd w:val="clear" w:color="auto" w:fill="auto"/>
            <w:vAlign w:val="center"/>
          </w:tcPr>
          <w:p w14:paraId="0FA86122">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+0.22608</w:t>
            </w:r>
          </w:p>
        </w:tc>
      </w:tr>
      <w:tr w14:paraId="3A629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333" w:type="dxa"/>
            <w:vMerge w:val="continue"/>
            <w:vAlign w:val="center"/>
          </w:tcPr>
          <w:p w14:paraId="593D9867">
            <w:pPr>
              <w:pStyle w:val="19"/>
              <w:spacing w:before="0" w:beforeAutospacing="0" w:after="0" w:afterAutospacing="0"/>
              <w:jc w:val="center"/>
              <w:outlineLvl w:val="0"/>
              <w:rPr>
                <w:rFonts w:hint="eastAsia" w:ascii="Times New Roman" w:hAnsi="Times New Roman"/>
                <w:snapToGrid w:val="0"/>
                <w:color w:val="000000"/>
                <w:kern w:val="21"/>
                <w:sz w:val="21"/>
                <w:szCs w:val="21"/>
              </w:rPr>
            </w:pPr>
          </w:p>
        </w:tc>
        <w:tc>
          <w:tcPr>
            <w:tcW w:w="1767" w:type="dxa"/>
            <w:shd w:val="clear" w:color="auto" w:fill="auto"/>
            <w:vAlign w:val="center"/>
          </w:tcPr>
          <w:p w14:paraId="617CF1E1">
            <w:pPr>
              <w:widowControl/>
              <w:jc w:val="center"/>
              <w:textAlignment w:val="center"/>
              <w:rPr>
                <w:rFonts w:hint="eastAsia" w:ascii="Times New Roman" w:hAnsi="Times New Roman" w:eastAsia="宋体" w:cs="Times New Roman"/>
                <w:color w:val="auto"/>
                <w:kern w:val="0"/>
                <w:sz w:val="21"/>
                <w:szCs w:val="21"/>
                <w:lang w:val="en-US" w:eastAsia="zh-CN" w:bidi="ar"/>
              </w:rPr>
            </w:pPr>
            <w:r>
              <w:rPr>
                <w:rFonts w:hint="eastAsia"/>
                <w:color w:val="auto"/>
                <w:kern w:val="0"/>
                <w:szCs w:val="21"/>
                <w:lang w:bidi="ar"/>
              </w:rPr>
              <w:t>废润滑油</w:t>
            </w:r>
          </w:p>
        </w:tc>
        <w:tc>
          <w:tcPr>
            <w:tcW w:w="1650" w:type="dxa"/>
            <w:shd w:val="clear" w:color="auto" w:fill="auto"/>
            <w:vAlign w:val="center"/>
          </w:tcPr>
          <w:p w14:paraId="2B89A242">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237" w:type="dxa"/>
            <w:shd w:val="clear" w:color="auto" w:fill="auto"/>
            <w:vAlign w:val="center"/>
          </w:tcPr>
          <w:p w14:paraId="2920A9C5">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650" w:type="dxa"/>
            <w:shd w:val="clear" w:color="auto" w:fill="auto"/>
            <w:vAlign w:val="center"/>
          </w:tcPr>
          <w:p w14:paraId="2B2AFBED">
            <w:pPr>
              <w:spacing w:before="0" w:beforeAutospacing="0" w:after="0" w:afterAutospacing="0"/>
              <w:jc w:val="center"/>
              <w:outlineLvl w:val="0"/>
              <w:rPr>
                <w:rFonts w:hint="eastAsia" w:ascii="Times New Roman" w:hAnsi="Times New Roman"/>
                <w:snapToGrid w:val="0"/>
                <w:sz w:val="21"/>
                <w:szCs w:val="21"/>
                <w:lang w:val="en-US" w:eastAsia="zh-CN"/>
              </w:rPr>
            </w:pPr>
            <w:r>
              <w:rPr>
                <w:rFonts w:hint="eastAsia" w:ascii="Times New Roman" w:hAnsi="Times New Roman"/>
                <w:snapToGrid w:val="0"/>
                <w:sz w:val="21"/>
                <w:szCs w:val="21"/>
                <w:lang w:val="en-US" w:eastAsia="zh-CN"/>
              </w:rPr>
              <w:t>0</w:t>
            </w:r>
          </w:p>
        </w:tc>
        <w:tc>
          <w:tcPr>
            <w:tcW w:w="1513" w:type="dxa"/>
            <w:shd w:val="clear" w:color="auto" w:fill="auto"/>
            <w:vAlign w:val="center"/>
          </w:tcPr>
          <w:p w14:paraId="6B962B05">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0.7</w:t>
            </w:r>
          </w:p>
        </w:tc>
        <w:tc>
          <w:tcPr>
            <w:tcW w:w="1563" w:type="dxa"/>
            <w:shd w:val="clear" w:color="auto" w:fill="auto"/>
            <w:vAlign w:val="center"/>
          </w:tcPr>
          <w:p w14:paraId="5B4C048F">
            <w:pPr>
              <w:jc w:val="center"/>
              <w:outlineLvl w:val="0"/>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w:t>
            </w:r>
          </w:p>
        </w:tc>
        <w:tc>
          <w:tcPr>
            <w:tcW w:w="1794" w:type="dxa"/>
            <w:shd w:val="clear" w:color="auto" w:fill="auto"/>
            <w:vAlign w:val="center"/>
          </w:tcPr>
          <w:p w14:paraId="23633B9F">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0.7</w:t>
            </w:r>
          </w:p>
        </w:tc>
        <w:tc>
          <w:tcPr>
            <w:tcW w:w="1234" w:type="dxa"/>
            <w:shd w:val="clear" w:color="auto" w:fill="auto"/>
            <w:vAlign w:val="center"/>
          </w:tcPr>
          <w:p w14:paraId="3C46AC82">
            <w:pPr>
              <w:jc w:val="center"/>
              <w:outlineLvl w:val="0"/>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+0.7</w:t>
            </w:r>
          </w:p>
        </w:tc>
      </w:tr>
    </w:tbl>
    <w:p w14:paraId="29E87F83">
      <w:pPr>
        <w:pStyle w:val="41"/>
        <w:keepNext w:val="0"/>
        <w:keepLines/>
        <w:pageBreakBefore w:val="0"/>
        <w:widowControl w:val="0"/>
        <w:kinsoku/>
        <w:wordWrap/>
        <w:overflowPunct/>
        <w:topLinePunct w:val="0"/>
        <w:autoSpaceDE/>
        <w:autoSpaceDN/>
        <w:bidi w:val="0"/>
        <w:adjustRightInd w:val="0"/>
        <w:snapToGrid w:val="0"/>
        <w:spacing w:before="192" w:beforeLines="80" w:after="24" w:line="240" w:lineRule="auto"/>
        <w:ind w:firstLine="560"/>
        <w:jc w:val="left"/>
        <w:textAlignment w:val="auto"/>
        <w:rPr>
          <w:rFonts w:hint="default" w:hAnsi="宋体" w:eastAsia="宋体"/>
          <w:snapToGrid w:val="0"/>
          <w:color w:val="000000"/>
          <w:spacing w:val="-6"/>
          <w:kern w:val="21"/>
          <w:szCs w:val="21"/>
          <w:lang w:val="en-US" w:eastAsia="zh-CN"/>
        </w:rPr>
        <w:sectPr>
          <w:footerReference r:id="rId7" w:type="default"/>
          <w:pgSz w:w="16838" w:h="11906" w:orient="landscape"/>
          <w:pgMar w:top="1134" w:right="1701" w:bottom="1134" w:left="1701" w:header="851" w:footer="851" w:gutter="0"/>
          <w:cols w:space="720" w:num="1"/>
          <w:docGrid w:linePitch="312" w:charSpace="0"/>
        </w:sectPr>
      </w:pPr>
      <w:r>
        <w:rPr>
          <w:rFonts w:hint="eastAsia" w:ascii="Times New Roman" w:hAnsi="Times New Roman" w:eastAsia="宋体" w:cs="Times New Roman"/>
          <w:bCs/>
          <w:color w:val="auto"/>
          <w:kern w:val="2"/>
          <w:sz w:val="24"/>
          <w:szCs w:val="24"/>
          <w:lang w:val="en-US" w:eastAsia="zh-CN" w:bidi="ar-SA"/>
        </w:rPr>
        <w:t>注：</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6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⑥</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1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①</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3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③</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4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④</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5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⑤</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7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⑦</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6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⑥</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w:t>
      </w:r>
      <w:r>
        <w:rPr>
          <w:rFonts w:hint="eastAsia" w:ascii="Times New Roman" w:hAnsi="Times New Roman" w:eastAsia="宋体" w:cs="Times New Roman"/>
          <w:bCs/>
          <w:color w:val="auto"/>
          <w:kern w:val="2"/>
          <w:sz w:val="24"/>
          <w:szCs w:val="24"/>
          <w:lang w:val="en-US" w:eastAsia="zh-CN" w:bidi="ar-SA"/>
        </w:rPr>
        <w:fldChar w:fldCharType="begin"/>
      </w:r>
      <w:r>
        <w:rPr>
          <w:rFonts w:hint="eastAsia" w:ascii="Times New Roman" w:hAnsi="Times New Roman" w:eastAsia="宋体" w:cs="Times New Roman"/>
          <w:bCs/>
          <w:color w:val="auto"/>
          <w:kern w:val="2"/>
          <w:sz w:val="24"/>
          <w:szCs w:val="24"/>
          <w:lang w:val="en-US" w:eastAsia="zh-CN" w:bidi="ar-SA"/>
        </w:rPr>
        <w:instrText xml:space="preserve"> = 1 \* GB3 \* MERGEFORMAT </w:instrText>
      </w:r>
      <w:r>
        <w:rPr>
          <w:rFonts w:hint="eastAsia" w:ascii="Times New Roman" w:hAnsi="Times New Roman" w:eastAsia="宋体" w:cs="Times New Roman"/>
          <w:bCs/>
          <w:color w:val="auto"/>
          <w:kern w:val="2"/>
          <w:sz w:val="24"/>
          <w:szCs w:val="24"/>
          <w:lang w:val="en-US" w:eastAsia="zh-CN" w:bidi="ar-SA"/>
        </w:rPr>
        <w:fldChar w:fldCharType="separate"/>
      </w:r>
      <w:r>
        <w:rPr>
          <w:rFonts w:hint="eastAsia" w:ascii="Times New Roman" w:hAnsi="Times New Roman" w:eastAsia="宋体" w:cs="Times New Roman"/>
          <w:bCs/>
          <w:color w:val="auto"/>
          <w:kern w:val="2"/>
          <w:sz w:val="24"/>
          <w:szCs w:val="24"/>
          <w:lang w:val="en-US" w:eastAsia="zh-CN" w:bidi="ar-SA"/>
        </w:rPr>
        <w:t>①</w:t>
      </w:r>
      <w:r>
        <w:rPr>
          <w:rFonts w:hint="eastAsia" w:ascii="Times New Roman" w:hAnsi="Times New Roman" w:eastAsia="宋体" w:cs="Times New Roman"/>
          <w:bCs/>
          <w:color w:val="auto"/>
          <w:kern w:val="2"/>
          <w:sz w:val="24"/>
          <w:szCs w:val="24"/>
          <w:lang w:val="en-US" w:eastAsia="zh-CN" w:bidi="ar-SA"/>
        </w:rPr>
        <w:fldChar w:fldCharType="end"/>
      </w:r>
      <w:r>
        <w:rPr>
          <w:rFonts w:hint="eastAsia" w:ascii="Times New Roman" w:hAnsi="Times New Roman" w:eastAsia="宋体" w:cs="Times New Roman"/>
          <w:bCs/>
          <w:color w:val="auto"/>
          <w:kern w:val="2"/>
          <w:sz w:val="24"/>
          <w:szCs w:val="24"/>
          <w:lang w:val="en-US" w:eastAsia="zh-CN" w:bidi="ar-SA"/>
        </w:rPr>
        <w:t xml:space="preserve"> </w:t>
      </w:r>
      <w:r>
        <w:rPr>
          <w:rFonts w:hint="eastAsia" w:ascii="Times New Roman" w:hAnsi="Times New Roman" w:eastAsia="宋体" w:cs="Times New Roman"/>
          <w:bCs/>
          <w:color w:val="auto"/>
          <w:kern w:val="2"/>
          <w:sz w:val="21"/>
          <w:szCs w:val="21"/>
          <w:lang w:val="en-US" w:eastAsia="zh-CN" w:bidi="ar-SA"/>
        </w:rPr>
        <w:t xml:space="preserve"> </w:t>
      </w:r>
      <w:r>
        <w:rPr>
          <w:rFonts w:hint="eastAsia" w:hAnsi="宋体"/>
          <w:snapToGrid w:val="0"/>
          <w:color w:val="000000"/>
          <w:spacing w:val="-6"/>
          <w:kern w:val="21"/>
          <w:szCs w:val="21"/>
          <w:lang w:val="en-US" w:eastAsia="zh-CN"/>
        </w:rPr>
        <w:t xml:space="preserve">   </w:t>
      </w:r>
    </w:p>
    <w:p w14:paraId="57708E65">
      <w:pPr>
        <w:pStyle w:val="19"/>
        <w:adjustRightInd w:val="0"/>
        <w:snapToGrid w:val="0"/>
        <w:spacing w:before="0" w:beforeAutospacing="0" w:after="0" w:afterAutospacing="0"/>
        <w:outlineLvl w:val="0"/>
        <w:rPr>
          <w:rFonts w:ascii="Times New Roman" w:hAnsi="Times New Roman"/>
          <w:b/>
          <w:bCs/>
          <w:snapToGrid w:val="0"/>
          <w:sz w:val="28"/>
          <w:szCs w:val="28"/>
        </w:rPr>
      </w:pPr>
      <w:bookmarkStart w:id="14" w:name="_Toc10572"/>
      <w:r>
        <w:rPr>
          <w:rFonts w:hint="eastAsia" w:ascii="Times New Roman" w:hAnsi="Times New Roman"/>
          <w:b/>
          <w:bCs/>
          <w:snapToGrid w:val="0"/>
          <w:sz w:val="28"/>
          <w:szCs w:val="28"/>
        </w:rPr>
        <w:t>附图1 项目地理位置图</w:t>
      </w:r>
      <w:bookmarkEnd w:id="14"/>
      <w:bookmarkStart w:id="15" w:name="_Toc199"/>
    </w:p>
    <w:p w14:paraId="14138F50">
      <w:pPr>
        <w:pStyle w:val="19"/>
        <w:adjustRightInd w:val="0"/>
        <w:snapToGrid w:val="0"/>
        <w:spacing w:before="0" w:beforeAutospacing="0" w:after="0" w:afterAutospacing="0"/>
        <w:outlineLvl w:val="0"/>
        <w:rPr>
          <w:rFonts w:hint="eastAsia" w:ascii="Times New Roman" w:hAnsi="Times New Roman" w:eastAsia="宋体"/>
          <w:b/>
          <w:bCs/>
          <w:snapToGrid w:val="0"/>
          <w:sz w:val="28"/>
          <w:szCs w:val="28"/>
          <w:lang w:eastAsia="zh-CN"/>
        </w:rPr>
        <w:sectPr>
          <w:pgSz w:w="16838" w:h="11906" w:orient="landscape"/>
          <w:pgMar w:top="1020" w:right="1701" w:bottom="1531" w:left="1701" w:header="851" w:footer="851" w:gutter="0"/>
          <w:cols w:space="720" w:num="1"/>
          <w:docGrid w:linePitch="312" w:charSpace="0"/>
        </w:sectPr>
      </w:pPr>
      <w:r>
        <w:rPr>
          <w:sz w:val="28"/>
        </w:rPr>
        <mc:AlternateContent>
          <mc:Choice Requires="wps">
            <w:drawing>
              <wp:anchor distT="0" distB="0" distL="114300" distR="114300" simplePos="0" relativeHeight="251660288" behindDoc="0" locked="0" layoutInCell="1" allowOverlap="1">
                <wp:simplePos x="0" y="0"/>
                <wp:positionH relativeFrom="column">
                  <wp:posOffset>5377180</wp:posOffset>
                </wp:positionH>
                <wp:positionV relativeFrom="paragraph">
                  <wp:posOffset>885190</wp:posOffset>
                </wp:positionV>
                <wp:extent cx="904875" cy="412750"/>
                <wp:effectExtent l="122555" t="5080" r="20320" b="248920"/>
                <wp:wrapNone/>
                <wp:docPr id="2" name="自选图形 3"/>
                <wp:cNvGraphicFramePr/>
                <a:graphic xmlns:a="http://schemas.openxmlformats.org/drawingml/2006/main">
                  <a:graphicData uri="http://schemas.microsoft.com/office/word/2010/wordprocessingShape">
                    <wps:wsp>
                      <wps:cNvSpPr/>
                      <wps:spPr>
                        <a:xfrm>
                          <a:off x="0" y="0"/>
                          <a:ext cx="904875" cy="412750"/>
                        </a:xfrm>
                        <a:prstGeom prst="wedgeRoundRectCallout">
                          <a:avLst>
                            <a:gd name="adj1" fmla="val -60596"/>
                            <a:gd name="adj2" fmla="val 104615"/>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7BE230C0">
                            <w:pPr>
                              <w:ind w:firstLine="240" w:firstLineChars="100"/>
                              <w:rPr>
                                <w:sz w:val="24"/>
                                <w:szCs w:val="24"/>
                              </w:rPr>
                            </w:pPr>
                            <w:r>
                              <w:rPr>
                                <w:rFonts w:hint="eastAsia"/>
                                <w:sz w:val="24"/>
                                <w:szCs w:val="24"/>
                              </w:rPr>
                              <w:t>本项目</w:t>
                            </w:r>
                          </w:p>
                        </w:txbxContent>
                      </wps:txbx>
                      <wps:bodyPr vert="horz" wrap="square" anchor="t" anchorCtr="0" upright="1"/>
                    </wps:wsp>
                  </a:graphicData>
                </a:graphic>
              </wp:anchor>
            </w:drawing>
          </mc:Choice>
          <mc:Fallback>
            <w:pict>
              <v:shape id="自选图形 3" o:spid="_x0000_s1026" o:spt="62" type="#_x0000_t62" style="position:absolute;left:0pt;margin-left:423.4pt;margin-top:69.7pt;height:32.5pt;width:71.25pt;z-index:251660288;mso-width-relative:page;mso-height-relative:page;" fillcolor="#FFFFFF" filled="t" stroked="t" coordsize="21600,21600" o:gfxdata="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Q489zcAAAACwEAAA8AAAAAAAAAAQAgAAAAIgAAAGRycy9kb3ducmV2Lnht&#10;bFBLAQIUABQAAAAIAIdO4kDotn+JZwIAAOkEAAAOAAAAAAAAAAEAIAAAACsBAABkcnMvZTJvRG9j&#10;LnhtbFBLBQYAAAAABgAGAFkBAAAEBgAAAAA=&#10;" adj="-2289,33397,14400">
                <v:fill on="t" focussize="0,0"/>
                <v:stroke color="#000000" joinstyle="miter"/>
                <v:imagedata o:title=""/>
                <o:lock v:ext="edit" aspectratio="f"/>
                <v:textbox>
                  <w:txbxContent>
                    <w:p w14:paraId="7BE230C0">
                      <w:pPr>
                        <w:ind w:firstLine="240" w:firstLineChars="100"/>
                        <w:rPr>
                          <w:sz w:val="24"/>
                          <w:szCs w:val="24"/>
                        </w:rPr>
                      </w:pPr>
                      <w:r>
                        <w:rPr>
                          <w:rFonts w:hint="eastAsia"/>
                          <w:sz w:val="24"/>
                          <w:szCs w:val="24"/>
                        </w:rPr>
                        <w:t>本项目</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5106670</wp:posOffset>
                </wp:positionH>
                <wp:positionV relativeFrom="paragraph">
                  <wp:posOffset>1362075</wp:posOffset>
                </wp:positionV>
                <wp:extent cx="190500" cy="198755"/>
                <wp:effectExtent l="13335" t="16510" r="24765" b="13335"/>
                <wp:wrapNone/>
                <wp:docPr id="1" name="自选图形 2"/>
                <wp:cNvGraphicFramePr/>
                <a:graphic xmlns:a="http://schemas.openxmlformats.org/drawingml/2006/main">
                  <a:graphicData uri="http://schemas.microsoft.com/office/word/2010/wordprocessingShape">
                    <wps:wsp>
                      <wps:cNvSpPr/>
                      <wps:spPr>
                        <a:xfrm>
                          <a:off x="0" y="0"/>
                          <a:ext cx="190500" cy="198755"/>
                        </a:xfrm>
                        <a:prstGeom prst="star5">
                          <a:avLst/>
                        </a:prstGeom>
                        <a:solidFill>
                          <a:srgbClr val="FF0000"/>
                        </a:solidFill>
                        <a:ln w="9525"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shape id="自选图形 2" o:spid="_x0000_s1026" style="position:absolute;left:0pt;margin-left:402.1pt;margin-top:107.25pt;height:15.65pt;width:15pt;z-index:251659264;mso-width-relative:page;mso-height-relative:page;" fillcolor="#FF0000" filled="t" stroked="t" coordsize="190500,198755" o:gfxdata="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Z7&#10;PqfZAAAACwEAAA8AAAAAAAAAAQAgAAAAIgAAAGRycy9kb3ducmV2LnhtbFBLAQIUABQAAAAIAIdO&#10;4kCKam2UIgIAAFcEAAAOAAAAAAAAAAEAIAAAACgBAABkcnMvZTJvRG9jLnhtbFBLBQYAAAAABgAG&#10;AFkBAAC8BQAAAAA=&#10;" path="m0,75917l72764,75917,95250,0,117735,75917,190499,75917,131631,122836,154117,198754,95250,151834,36382,198754,58868,122836xe">
                <v:path o:connectlocs="95250,0;0,75917;36382,198754;154117,198754;190499,75917" o:connectangles="247,164,82,82,0"/>
                <v:fill on="t" focussize="0,0"/>
                <v:stroke color="#FF0000" joinstyle="miter"/>
                <v:imagedata o:title=""/>
                <o:lock v:ext="edit" aspectratio="f"/>
              </v:shape>
            </w:pict>
          </mc:Fallback>
        </mc:AlternateContent>
      </w:r>
      <w:bookmarkEnd w:id="15"/>
      <w:r>
        <w:rPr>
          <w:rFonts w:hint="eastAsia" w:ascii="Times New Roman" w:hAnsi="Times New Roman" w:eastAsia="宋体"/>
          <w:b/>
          <w:bCs/>
          <w:snapToGrid w:val="0"/>
          <w:sz w:val="28"/>
          <w:szCs w:val="28"/>
          <w:lang w:eastAsia="zh-CN"/>
        </w:rPr>
        <w:drawing>
          <wp:inline distT="0" distB="0" distL="114300" distR="114300">
            <wp:extent cx="7865110" cy="5561965"/>
            <wp:effectExtent l="0" t="0" r="2540" b="635"/>
            <wp:docPr id="17" name="图片 17" descr="274-275准恪尔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74-275准恪尔旗"/>
                    <pic:cNvPicPr>
                      <a:picLocks noChangeAspect="1"/>
                    </pic:cNvPicPr>
                  </pic:nvPicPr>
                  <pic:blipFill>
                    <a:blip r:embed="rId32"/>
                    <a:stretch>
                      <a:fillRect/>
                    </a:stretch>
                  </pic:blipFill>
                  <pic:spPr>
                    <a:xfrm>
                      <a:off x="0" y="0"/>
                      <a:ext cx="7865110" cy="5561965"/>
                    </a:xfrm>
                    <a:prstGeom prst="rect">
                      <a:avLst/>
                    </a:prstGeom>
                  </pic:spPr>
                </pic:pic>
              </a:graphicData>
            </a:graphic>
          </wp:inline>
        </w:drawing>
      </w:r>
    </w:p>
    <w:p w14:paraId="4E337CD7">
      <w:pPr>
        <w:pStyle w:val="19"/>
        <w:adjustRightInd w:val="0"/>
        <w:snapToGrid w:val="0"/>
        <w:spacing w:before="0" w:beforeAutospacing="0" w:after="0" w:afterAutospacing="0"/>
        <w:outlineLvl w:val="0"/>
        <w:rPr>
          <w:rFonts w:hint="eastAsia" w:ascii="Times New Roman" w:hAnsi="Times New Roman"/>
          <w:b/>
          <w:bCs/>
          <w:snapToGrid w:val="0"/>
          <w:sz w:val="28"/>
          <w:szCs w:val="28"/>
        </w:rPr>
      </w:pPr>
      <w:bookmarkStart w:id="16" w:name="_Toc6704"/>
      <w:r>
        <w:rPr>
          <w:rFonts w:hint="eastAsia" w:ascii="Times New Roman" w:hAnsi="Times New Roman"/>
          <w:b/>
          <w:bCs/>
          <w:snapToGrid w:val="0"/>
          <w:sz w:val="28"/>
          <w:szCs w:val="28"/>
        </w:rPr>
        <w:t>附图2 “三线一单”查询图</w:t>
      </w:r>
      <w:bookmarkEnd w:id="16"/>
    </w:p>
    <w:p w14:paraId="0205385C">
      <w:pPr>
        <w:sectPr>
          <w:footerReference r:id="rId8" w:type="default"/>
          <w:pgSz w:w="16838" w:h="11906" w:orient="landscape"/>
          <w:pgMar w:top="1531" w:right="1701" w:bottom="1531" w:left="1701" w:header="851" w:footer="851" w:gutter="0"/>
          <w:cols w:space="720" w:num="1"/>
          <w:docGrid w:linePitch="312" w:charSpace="0"/>
        </w:sectPr>
      </w:pPr>
      <w:r>
        <w:rPr>
          <w:sz w:val="21"/>
        </w:rPr>
        <mc:AlternateContent>
          <mc:Choice Requires="wps">
            <w:drawing>
              <wp:anchor distT="0" distB="0" distL="114300" distR="114300" simplePos="0" relativeHeight="251676672" behindDoc="0" locked="0" layoutInCell="1" allowOverlap="1">
                <wp:simplePos x="0" y="0"/>
                <wp:positionH relativeFrom="column">
                  <wp:posOffset>3776345</wp:posOffset>
                </wp:positionH>
                <wp:positionV relativeFrom="paragraph">
                  <wp:posOffset>1409700</wp:posOffset>
                </wp:positionV>
                <wp:extent cx="881380" cy="400050"/>
                <wp:effectExtent l="12700" t="12700" r="20320" b="273050"/>
                <wp:wrapNone/>
                <wp:docPr id="95" name="圆角矩形标注 95"/>
                <wp:cNvGraphicFramePr/>
                <a:graphic xmlns:a="http://schemas.openxmlformats.org/drawingml/2006/main">
                  <a:graphicData uri="http://schemas.microsoft.com/office/word/2010/wordprocessingShape">
                    <wps:wsp>
                      <wps:cNvSpPr/>
                      <wps:spPr>
                        <a:xfrm>
                          <a:off x="4856480" y="2816860"/>
                          <a:ext cx="881380" cy="400050"/>
                        </a:xfrm>
                        <a:prstGeom prst="wedgeRoundRectCallout">
                          <a:avLst>
                            <a:gd name="adj1" fmla="val 6484"/>
                            <a:gd name="adj2" fmla="val 113650"/>
                            <a:gd name="adj3" fmla="val 16667"/>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6D0D1B97">
                            <w:pPr>
                              <w:jc w:val="cente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97.35pt;margin-top:111pt;height:31.5pt;width:69.4pt;z-index:251676672;v-text-anchor:middle;mso-width-relative:page;mso-height-relative:page;" fillcolor="#FFFFFF [3212]" filled="t" stroked="t" coordsize="21600,21600" o:gfxdata="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BkqG//2AAAAAsB&#10;AAAPAAAAAAAAAAEAIAAAACIAAABkcnMvZG93bnJldi54bWxQSwECFAAUAAAACACHTuJAx9j4PMYC&#10;AACHBQAADgAAAAAAAAABACAAAAAnAQAAZHJzL2Uyb0RvYy54bWxQSwUGAAAAAAYABgBZAQAAXwYA&#10;AAAA&#10;" adj="12201,35348,14400">
                <v:fill on="t" focussize="0,0"/>
                <v:stroke weight="2pt" color="#000000 [3213]" joinstyle="round"/>
                <v:imagedata o:title=""/>
                <o:lock v:ext="edit" aspectratio="f"/>
                <v:textbox>
                  <w:txbxContent>
                    <w:p w14:paraId="6D0D1B97">
                      <w:pPr>
                        <w:jc w:val="center"/>
                        <w:rPr>
                          <w:rFonts w:hint="eastAsia" w:eastAsia="宋体"/>
                          <w:lang w:val="en-US" w:eastAsia="zh-CN"/>
                        </w:rPr>
                      </w:pPr>
                      <w:r>
                        <w:rPr>
                          <w:rFonts w:hint="eastAsia"/>
                          <w:lang w:val="en-US" w:eastAsia="zh-CN"/>
                        </w:rPr>
                        <w:t>本项目</w:t>
                      </w:r>
                    </w:p>
                  </w:txbxContent>
                </v:textbox>
              </v:shape>
            </w:pict>
          </mc:Fallback>
        </mc:AlternateContent>
      </w:r>
      <w:r>
        <w:drawing>
          <wp:inline distT="0" distB="0" distL="114300" distR="114300">
            <wp:extent cx="8522970" cy="4225925"/>
            <wp:effectExtent l="0" t="0" r="11430" b="3175"/>
            <wp:docPr id="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pic:cNvPicPr>
                      <a:picLocks noChangeAspect="1"/>
                    </pic:cNvPicPr>
                  </pic:nvPicPr>
                  <pic:blipFill>
                    <a:blip r:embed="rId33"/>
                    <a:stretch>
                      <a:fillRect/>
                    </a:stretch>
                  </pic:blipFill>
                  <pic:spPr>
                    <a:xfrm>
                      <a:off x="0" y="0"/>
                      <a:ext cx="8522970" cy="4225925"/>
                    </a:xfrm>
                    <a:prstGeom prst="rect">
                      <a:avLst/>
                    </a:prstGeom>
                    <a:noFill/>
                    <a:ln>
                      <a:noFill/>
                    </a:ln>
                  </pic:spPr>
                </pic:pic>
              </a:graphicData>
            </a:graphic>
          </wp:inline>
        </w:drawing>
      </w:r>
    </w:p>
    <w:p w14:paraId="1D4FDF8A">
      <w:pPr>
        <w:pStyle w:val="19"/>
        <w:adjustRightInd w:val="0"/>
        <w:snapToGrid w:val="0"/>
        <w:spacing w:before="0" w:beforeAutospacing="0" w:after="0" w:afterAutospacing="0"/>
        <w:outlineLvl w:val="0"/>
        <w:rPr>
          <w:rFonts w:hint="eastAsia" w:ascii="Times New Roman" w:hAnsi="Times New Roman"/>
          <w:b/>
          <w:bCs/>
          <w:snapToGrid w:val="0"/>
          <w:sz w:val="28"/>
          <w:szCs w:val="28"/>
        </w:rPr>
      </w:pPr>
      <w:r>
        <w:rPr>
          <w:rFonts w:hint="eastAsia" w:ascii="Times New Roman" w:hAnsi="Times New Roman"/>
          <w:b/>
          <w:bCs/>
          <w:snapToGrid w:val="0"/>
          <w:sz w:val="28"/>
          <w:szCs w:val="28"/>
        </w:rPr>
        <w:t>附图3 本项目在园区规划布局图中的位置</w:t>
      </w:r>
    </w:p>
    <w:p w14:paraId="1C3F7ADE">
      <w:pPr>
        <w:sectPr>
          <w:pgSz w:w="16838" w:h="11906" w:orient="landscape"/>
          <w:pgMar w:top="964" w:right="1417" w:bottom="1531" w:left="1417" w:header="851" w:footer="851" w:gutter="0"/>
          <w:cols w:space="720" w:num="1"/>
          <w:docGrid w:linePitch="312" w:charSpace="0"/>
        </w:sectPr>
      </w:pPr>
      <w:r>
        <mc:AlternateContent>
          <mc:Choice Requires="wps">
            <w:drawing>
              <wp:anchor distT="0" distB="0" distL="114300" distR="114300" simplePos="0" relativeHeight="251668480" behindDoc="0" locked="0" layoutInCell="1" allowOverlap="1">
                <wp:simplePos x="0" y="0"/>
                <wp:positionH relativeFrom="column">
                  <wp:posOffset>7119620</wp:posOffset>
                </wp:positionH>
                <wp:positionV relativeFrom="paragraph">
                  <wp:posOffset>1230630</wp:posOffset>
                </wp:positionV>
                <wp:extent cx="717550" cy="446405"/>
                <wp:effectExtent l="116840" t="12700" r="22860" b="321945"/>
                <wp:wrapNone/>
                <wp:docPr id="78" name="圆角矩形标注 78"/>
                <wp:cNvGraphicFramePr/>
                <a:graphic xmlns:a="http://schemas.openxmlformats.org/drawingml/2006/main">
                  <a:graphicData uri="http://schemas.microsoft.com/office/word/2010/wordprocessingShape">
                    <wps:wsp>
                      <wps:cNvSpPr/>
                      <wps:spPr>
                        <a:xfrm>
                          <a:off x="5649595" y="2838450"/>
                          <a:ext cx="717550" cy="446405"/>
                        </a:xfrm>
                        <a:prstGeom prst="wedgeRoundRectCallout">
                          <a:avLst>
                            <a:gd name="adj1" fmla="val -64556"/>
                            <a:gd name="adj2" fmla="val 116714"/>
                            <a:gd name="adj3" fmla="val 16667"/>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2D706675">
                            <w:pPr>
                              <w:jc w:val="center"/>
                            </w:pPr>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60.6pt;margin-top:96.9pt;height:35.15pt;width:56.5pt;z-index:251668480;v-text-anchor:middle;mso-width-relative:page;mso-height-relative:page;" fillcolor="#FFFFFF [3212]" filled="t" stroked="t" coordsize="21600,21600" o:gfxdata="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JGt1UNgAAAAN&#10;AQAADwAAAAAAAAABACAAAAAiAAAAZHJzL2Rvd25yZXYueG1sUEsBAhQAFAAAAAgAh07iQOZtH1fH&#10;AgAAiQUAAA4AAAAAAAAAAQAgAAAAJwEAAGRycy9lMm9Eb2MueG1sUEsFBgAAAAAGAAYAWQEAAGAG&#10;AAAAAA==&#10;" adj="-3144,36010,14400">
                <v:fill on="t" focussize="0,0"/>
                <v:stroke weight="2pt" color="#000000 [3213]" joinstyle="round"/>
                <v:imagedata o:title=""/>
                <o:lock v:ext="edit" aspectratio="f"/>
                <v:textbox>
                  <w:txbxContent>
                    <w:p w14:paraId="2D706675">
                      <w:pPr>
                        <w:jc w:val="center"/>
                      </w:pPr>
                      <w:r>
                        <w:rPr>
                          <w:rFonts w:hint="eastAsia"/>
                        </w:rPr>
                        <w:t>本项目</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6869430</wp:posOffset>
                </wp:positionH>
                <wp:positionV relativeFrom="paragraph">
                  <wp:posOffset>1916430</wp:posOffset>
                </wp:positionV>
                <wp:extent cx="146685" cy="146050"/>
                <wp:effectExtent l="12700" t="12700" r="31115" b="12700"/>
                <wp:wrapNone/>
                <wp:docPr id="77" name="五角星 77"/>
                <wp:cNvGraphicFramePr/>
                <a:graphic xmlns:a="http://schemas.openxmlformats.org/drawingml/2006/main">
                  <a:graphicData uri="http://schemas.microsoft.com/office/word/2010/wordprocessingShape">
                    <wps:wsp>
                      <wps:cNvSpPr/>
                      <wps:spPr>
                        <a:xfrm>
                          <a:off x="5671185" y="3482975"/>
                          <a:ext cx="146685" cy="14605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40.9pt;margin-top:150.9pt;height:11.5pt;width:11.55pt;z-index:251667456;v-text-anchor:middle;mso-width-relative:page;mso-height-relative:page;" fillcolor="#FF0000" filled="t" stroked="t" coordsize="146685,146050" o:gfxdata="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QHuRf2wAAAA0BAAAPAAAAAAAAAAEAIAAAACIAAABk&#10;cnMvZG93bnJldi54bWxQSwECFAAUAAAACACHTuJAatkxY3UCAADuBAAADgAAAAAAAAABACAAAAAq&#10;AQAAZHJzL2Uyb0RvYy54bWxQSwUGAAAAAAYABgBZAQAAEQYAAAAA&#10;" path="m0,55785l56028,55786,73342,0,90656,55786,146684,55785,101356,90263,118670,146049,73342,111571,28014,146049,45328,90263xe">
                <v:path o:connectlocs="73342,0;0,55785;28014,146049;118670,146049;146684,55785" o:connectangles="247,164,82,82,0"/>
                <v:fill on="t" focussize="0,0"/>
                <v:stroke weight="2pt" color="#FF0000 [2404]" joinstyle="round"/>
                <v:imagedata o:title=""/>
                <o:lock v:ext="edit" aspectratio="f"/>
              </v:shape>
            </w:pict>
          </mc:Fallback>
        </mc:AlternateContent>
      </w:r>
      <w:r>
        <w:rPr>
          <w:rFonts w:hint="eastAsia"/>
        </w:rPr>
        <w:t xml:space="preserve">       </w:t>
      </w:r>
      <w:r>
        <w:drawing>
          <wp:inline distT="0" distB="0" distL="114300" distR="114300">
            <wp:extent cx="7858760" cy="4480560"/>
            <wp:effectExtent l="0" t="0" r="8890" b="15240"/>
            <wp:docPr id="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
                    <pic:cNvPicPr>
                      <a:picLocks noChangeAspect="1"/>
                    </pic:cNvPicPr>
                  </pic:nvPicPr>
                  <pic:blipFill>
                    <a:blip r:embed="rId34"/>
                    <a:stretch>
                      <a:fillRect/>
                    </a:stretch>
                  </pic:blipFill>
                  <pic:spPr>
                    <a:xfrm>
                      <a:off x="0" y="0"/>
                      <a:ext cx="7858760" cy="4480560"/>
                    </a:xfrm>
                    <a:prstGeom prst="rect">
                      <a:avLst/>
                    </a:prstGeom>
                    <a:noFill/>
                    <a:ln>
                      <a:noFill/>
                    </a:ln>
                  </pic:spPr>
                </pic:pic>
              </a:graphicData>
            </a:graphic>
          </wp:inline>
        </w:drawing>
      </w:r>
    </w:p>
    <w:p w14:paraId="4A5956F0">
      <w:pPr>
        <w:pStyle w:val="19"/>
        <w:adjustRightInd w:val="0"/>
        <w:snapToGrid w:val="0"/>
        <w:spacing w:before="0" w:beforeAutospacing="0" w:after="0" w:afterAutospacing="0"/>
        <w:outlineLvl w:val="0"/>
        <w:rPr>
          <w:rFonts w:hint="eastAsia" w:ascii="Times New Roman" w:hAnsi="Times New Roman"/>
          <w:b/>
          <w:bCs/>
          <w:snapToGrid w:val="0"/>
          <w:sz w:val="28"/>
          <w:szCs w:val="28"/>
        </w:rPr>
      </w:pPr>
      <w:bookmarkStart w:id="17" w:name="_Toc2712"/>
      <w:r>
        <w:rPr>
          <w:rFonts w:hint="eastAsia" w:ascii="Times New Roman" w:hAnsi="Times New Roman"/>
          <w:b/>
          <w:bCs/>
          <w:snapToGrid w:val="0"/>
          <w:sz w:val="28"/>
          <w:szCs w:val="28"/>
        </w:rPr>
        <w:t xml:space="preserve">附图4 </w:t>
      </w:r>
      <w:bookmarkEnd w:id="17"/>
      <w:r>
        <w:rPr>
          <w:rFonts w:hint="eastAsia" w:ascii="Times New Roman" w:hAnsi="Times New Roman"/>
          <w:b/>
          <w:bCs/>
          <w:snapToGrid w:val="0"/>
          <w:sz w:val="28"/>
          <w:szCs w:val="28"/>
        </w:rPr>
        <w:t>本项目在园区国土空间用地规划图中的位置</w:t>
      </w:r>
    </w:p>
    <w:p w14:paraId="749DCDC6">
      <w:pPr>
        <w:pStyle w:val="19"/>
        <w:adjustRightInd w:val="0"/>
        <w:snapToGrid w:val="0"/>
        <w:spacing w:before="0" w:beforeAutospacing="0" w:after="0" w:afterAutospacing="0"/>
        <w:outlineLvl w:val="9"/>
        <w:rPr>
          <w:rFonts w:hint="eastAsia" w:ascii="Times New Roman" w:hAnsi="Times New Roman"/>
          <w:b/>
          <w:bCs/>
          <w:snapToGrid w:val="0"/>
          <w:sz w:val="28"/>
          <w:szCs w:val="28"/>
        </w:rPr>
      </w:pPr>
      <w:r>
        <w:rPr>
          <w:sz w:val="24"/>
        </w:rPr>
        <mc:AlternateContent>
          <mc:Choice Requires="wps">
            <w:drawing>
              <wp:anchor distT="0" distB="0" distL="114300" distR="114300" simplePos="0" relativeHeight="251678720" behindDoc="0" locked="0" layoutInCell="1" allowOverlap="1">
                <wp:simplePos x="0" y="0"/>
                <wp:positionH relativeFrom="column">
                  <wp:posOffset>6538595</wp:posOffset>
                </wp:positionH>
                <wp:positionV relativeFrom="paragraph">
                  <wp:posOffset>2251075</wp:posOffset>
                </wp:positionV>
                <wp:extent cx="177800" cy="177800"/>
                <wp:effectExtent l="12700" t="12700" r="19050" b="19050"/>
                <wp:wrapNone/>
                <wp:docPr id="102" name="五角星 102"/>
                <wp:cNvGraphicFramePr/>
                <a:graphic xmlns:a="http://schemas.openxmlformats.org/drawingml/2006/main">
                  <a:graphicData uri="http://schemas.microsoft.com/office/word/2010/wordprocessingShape">
                    <wps:wsp>
                      <wps:cNvSpPr/>
                      <wps:spPr>
                        <a:xfrm>
                          <a:off x="7173595" y="3703320"/>
                          <a:ext cx="177800" cy="177800"/>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14.85pt;margin-top:177.25pt;height:14pt;width:14pt;z-index:251678720;v-text-anchor:middle;mso-width-relative:page;mso-height-relative:page;" fillcolor="#FF0000" filled="t" stroked="t" coordsize="177800,177800" o:gfxdata="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89kjL2AAAAA0BAAAPAAAAAAAAAAEAIAAAACIAAABkcnMvZG93&#10;bnJldi54bWxQSwECFAAUAAAACACHTuJA6S309XICAADwBAAADgAAAAAAAAABACAAAAAnAQAAZHJz&#10;L2Uyb0RvYy54bWxQSwUGAAAAAAYABgBZAQAACwYAAAAA&#10;" path="m0,67913l67913,67913,88900,0,109886,67913,177799,67913,122856,109885,143843,177799,88900,135826,33956,177799,54943,109885xe">
                <v:path o:connectlocs="88900,0;0,67913;33956,177799;143843,177799;177799,67913" o:connectangles="247,164,82,82,0"/>
                <v:fill on="t" focussize="0,0"/>
                <v:stroke weight="2pt" color="#FF0000 [2404]" joinstyle="round"/>
                <v:imagedata o:title=""/>
                <o:lock v:ext="edit" aspectratio="f"/>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6814820</wp:posOffset>
                </wp:positionH>
                <wp:positionV relativeFrom="paragraph">
                  <wp:posOffset>1576705</wp:posOffset>
                </wp:positionV>
                <wp:extent cx="717550" cy="446405"/>
                <wp:effectExtent l="116840" t="12700" r="22860" b="321945"/>
                <wp:wrapNone/>
                <wp:docPr id="100" name="圆角矩形标注 100"/>
                <wp:cNvGraphicFramePr/>
                <a:graphic xmlns:a="http://schemas.openxmlformats.org/drawingml/2006/main">
                  <a:graphicData uri="http://schemas.microsoft.com/office/word/2010/wordprocessingShape">
                    <wps:wsp>
                      <wps:cNvSpPr/>
                      <wps:spPr>
                        <a:xfrm>
                          <a:off x="0" y="0"/>
                          <a:ext cx="717550" cy="446405"/>
                        </a:xfrm>
                        <a:prstGeom prst="wedgeRoundRectCallout">
                          <a:avLst>
                            <a:gd name="adj1" fmla="val -64556"/>
                            <a:gd name="adj2" fmla="val 116714"/>
                            <a:gd name="adj3" fmla="val 16667"/>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18E87934">
                            <w:pPr>
                              <w:jc w:val="center"/>
                            </w:pPr>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536.6pt;margin-top:124.15pt;height:35.15pt;width:56.5pt;z-index:251677696;v-text-anchor:middle;mso-width-relative:page;mso-height-relative:page;" fillcolor="#FFFFFF [3212]" filled="t" stroked="t" coordsize="21600,21600" o:gfxdata="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K+AjejXAAAADQEAAA8AAAAAAAAAAQAg&#10;AAAAIgAAAGRycy9kb3ducmV2LnhtbFBLAQIUABQAAAAIAIdO4kCT3zy6ugIAAH8FAAAOAAAAAAAA&#10;AAEAIAAAACYBAABkcnMvZTJvRG9jLnhtbFBLBQYAAAAABgAGAFkBAABSBgAAAAA=&#10;" adj="-3144,36010,14400">
                <v:fill on="t" focussize="0,0"/>
                <v:stroke weight="2pt" color="#000000 [3213]" joinstyle="round"/>
                <v:imagedata o:title=""/>
                <o:lock v:ext="edit" aspectratio="f"/>
                <v:textbox>
                  <w:txbxContent>
                    <w:p w14:paraId="18E87934">
                      <w:pPr>
                        <w:jc w:val="center"/>
                      </w:pPr>
                      <w:r>
                        <w:rPr>
                          <w:rFonts w:hint="eastAsia"/>
                        </w:rPr>
                        <w:t>本项目</w:t>
                      </w:r>
                    </w:p>
                  </w:txbxContent>
                </v:textbox>
              </v:shape>
            </w:pict>
          </mc:Fallback>
        </mc:AlternateContent>
      </w:r>
      <w:r>
        <w:drawing>
          <wp:inline distT="0" distB="0" distL="114300" distR="114300">
            <wp:extent cx="7570470" cy="5346700"/>
            <wp:effectExtent l="0" t="0" r="11430" b="6350"/>
            <wp:docPr id="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
                    <pic:cNvPicPr>
                      <a:picLocks noChangeAspect="1"/>
                    </pic:cNvPicPr>
                  </pic:nvPicPr>
                  <pic:blipFill>
                    <a:blip r:embed="rId35"/>
                    <a:stretch>
                      <a:fillRect/>
                    </a:stretch>
                  </pic:blipFill>
                  <pic:spPr>
                    <a:xfrm>
                      <a:off x="0" y="0"/>
                      <a:ext cx="7570470" cy="5346700"/>
                    </a:xfrm>
                    <a:prstGeom prst="rect">
                      <a:avLst/>
                    </a:prstGeom>
                    <a:noFill/>
                    <a:ln>
                      <a:noFill/>
                    </a:ln>
                  </pic:spPr>
                </pic:pic>
              </a:graphicData>
            </a:graphic>
          </wp:inline>
        </w:drawing>
      </w:r>
    </w:p>
    <w:p w14:paraId="33A29418">
      <w:pPr>
        <w:pStyle w:val="2"/>
        <w:rPr>
          <w:rFonts w:hint="eastAsia" w:eastAsia="宋体"/>
          <w:snapToGrid w:val="0"/>
          <w:color w:val="auto"/>
          <w:kern w:val="0"/>
          <w:sz w:val="28"/>
          <w:szCs w:val="28"/>
          <w:lang w:val="en-US" w:eastAsia="zh-CN"/>
        </w:rPr>
      </w:pPr>
      <w:r>
        <w:rPr>
          <w:rFonts w:hint="eastAsia" w:eastAsia="宋体"/>
          <w:snapToGrid w:val="0"/>
          <w:color w:val="auto"/>
          <w:kern w:val="0"/>
          <w:sz w:val="28"/>
          <w:szCs w:val="28"/>
        </w:rPr>
        <w:t>附图</w:t>
      </w:r>
      <w:r>
        <w:rPr>
          <w:rFonts w:hint="eastAsia" w:eastAsia="宋体"/>
          <w:snapToGrid w:val="0"/>
          <w:color w:val="auto"/>
          <w:kern w:val="0"/>
          <w:sz w:val="28"/>
          <w:szCs w:val="28"/>
          <w:lang w:val="en-US" w:eastAsia="zh-CN"/>
        </w:rPr>
        <w:t>5</w:t>
      </w:r>
      <w:r>
        <w:rPr>
          <w:rFonts w:hint="eastAsia" w:eastAsia="宋体"/>
          <w:snapToGrid w:val="0"/>
          <w:color w:val="auto"/>
          <w:kern w:val="0"/>
          <w:sz w:val="28"/>
          <w:szCs w:val="28"/>
        </w:rPr>
        <w:t xml:space="preserve"> </w:t>
      </w:r>
      <w:r>
        <w:rPr>
          <w:rFonts w:hint="eastAsia" w:eastAsia="宋体"/>
          <w:snapToGrid w:val="0"/>
          <w:color w:val="auto"/>
          <w:kern w:val="0"/>
          <w:sz w:val="28"/>
          <w:szCs w:val="28"/>
          <w:lang w:val="en-US" w:eastAsia="zh-CN"/>
        </w:rPr>
        <w:t>项目在准格尔旗（大路区）声环境功能区划中的位置</w:t>
      </w:r>
    </w:p>
    <w:p w14:paraId="1F08F533">
      <w:pPr>
        <w:jc w:val="center"/>
        <w:rPr>
          <w:rFonts w:hint="eastAsia" w:eastAsia="宋体"/>
          <w:snapToGrid w:val="0"/>
          <w:color w:val="auto"/>
          <w:kern w:val="0"/>
          <w:sz w:val="28"/>
          <w:szCs w:val="28"/>
          <w:lang w:val="en-US" w:eastAsia="zh-CN"/>
        </w:rPr>
        <w:sectPr>
          <w:pgSz w:w="16838" w:h="11906" w:orient="landscape"/>
          <w:pgMar w:top="1531" w:right="1701" w:bottom="1531" w:left="1701" w:header="851" w:footer="851" w:gutter="0"/>
          <w:cols w:space="720" w:num="1"/>
          <w:docGrid w:linePitch="312" w:charSpace="0"/>
        </w:sectPr>
      </w:pPr>
      <w:r>
        <w:rPr>
          <w:sz w:val="28"/>
        </w:rPr>
        <mc:AlternateContent>
          <mc:Choice Requires="wps">
            <w:drawing>
              <wp:anchor distT="0" distB="0" distL="114300" distR="114300" simplePos="0" relativeHeight="251670528" behindDoc="0" locked="0" layoutInCell="1" allowOverlap="1">
                <wp:simplePos x="0" y="0"/>
                <wp:positionH relativeFrom="column">
                  <wp:posOffset>5942965</wp:posOffset>
                </wp:positionH>
                <wp:positionV relativeFrom="paragraph">
                  <wp:posOffset>1332230</wp:posOffset>
                </wp:positionV>
                <wp:extent cx="1130935" cy="407035"/>
                <wp:effectExtent l="337185" t="12700" r="17780" b="513715"/>
                <wp:wrapNone/>
                <wp:docPr id="57" name="圆角矩形标注 57"/>
                <wp:cNvGraphicFramePr/>
                <a:graphic xmlns:a="http://schemas.openxmlformats.org/drawingml/2006/main">
                  <a:graphicData uri="http://schemas.microsoft.com/office/word/2010/wordprocessingShape">
                    <wps:wsp>
                      <wps:cNvSpPr/>
                      <wps:spPr>
                        <a:xfrm>
                          <a:off x="6298565" y="2933065"/>
                          <a:ext cx="1130935" cy="407035"/>
                        </a:xfrm>
                        <a:prstGeom prst="wedgeRoundRectCallout">
                          <a:avLst>
                            <a:gd name="adj1" fmla="val -78691"/>
                            <a:gd name="adj2" fmla="val 171528"/>
                            <a:gd name="adj3" fmla="val 16667"/>
                          </a:avLst>
                        </a:prstGeom>
                        <a:solidFill>
                          <a:schemeClr val="bg1"/>
                        </a:solidFill>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7A9CDC5A">
                            <w:pPr>
                              <w:jc w:val="center"/>
                              <w:rPr>
                                <w:rFonts w:hint="default" w:eastAsia="宋体"/>
                                <w:lang w:val="en-US" w:eastAsia="zh-CN"/>
                              </w:rPr>
                            </w:pPr>
                            <w:r>
                              <w:rPr>
                                <w:rFonts w:hint="eastAsia"/>
                                <w:lang w:val="en-US" w:eastAsia="zh-CN"/>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67.95pt;margin-top:104.9pt;height:32.05pt;width:89.05pt;z-index:251670528;v-text-anchor:middle;mso-width-relative:page;mso-height-relative:page;" fillcolor="#FFFFFF [3212]" filled="t" stroked="t" coordsize="21600,21600" o:gfxdata="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gj5X7ZAAAA&#10;DAEAAA8AAAAAAAAAAQAgAAAAIgAAAGRycy9kb3ducmV2LnhtbFBLAQIUABQAAAAIAIdO4kB6258F&#10;xwIAAIoFAAAOAAAAAAAAAAEAIAAAACgBAABkcnMvZTJvRG9jLnhtbFBLBQYAAAAABgAGAFkBAABh&#10;BgAAAAA=&#10;" adj="-6197,47850,14400">
                <v:fill on="t" focussize="0,0"/>
                <v:stroke weight="2pt" color="#000000 [3213]" joinstyle="round"/>
                <v:imagedata o:title=""/>
                <o:lock v:ext="edit" aspectratio="f"/>
                <v:textbox>
                  <w:txbxContent>
                    <w:p w14:paraId="7A9CDC5A">
                      <w:pPr>
                        <w:jc w:val="center"/>
                        <w:rPr>
                          <w:rFonts w:hint="default" w:eastAsia="宋体"/>
                          <w:lang w:val="en-US" w:eastAsia="zh-CN"/>
                        </w:rPr>
                      </w:pPr>
                      <w:r>
                        <w:rPr>
                          <w:rFonts w:hint="eastAsia"/>
                          <w:lang w:val="en-US" w:eastAsia="zh-CN"/>
                        </w:rPr>
                        <w:t>本项目位置</w:t>
                      </w:r>
                    </w:p>
                  </w:txbxContent>
                </v:textbox>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5536565</wp:posOffset>
                </wp:positionH>
                <wp:positionV relativeFrom="paragraph">
                  <wp:posOffset>2121535</wp:posOffset>
                </wp:positionV>
                <wp:extent cx="154305" cy="162560"/>
                <wp:effectExtent l="12700" t="12700" r="23495" b="15240"/>
                <wp:wrapNone/>
                <wp:docPr id="53" name="五角星 53"/>
                <wp:cNvGraphicFramePr/>
                <a:graphic xmlns:a="http://schemas.openxmlformats.org/drawingml/2006/main">
                  <a:graphicData uri="http://schemas.microsoft.com/office/word/2010/wordprocessingShape">
                    <wps:wsp>
                      <wps:cNvSpPr/>
                      <wps:spPr>
                        <a:xfrm>
                          <a:off x="6624320" y="3552190"/>
                          <a:ext cx="154305" cy="162560"/>
                        </a:xfrm>
                        <a:prstGeom prst="star5">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35.95pt;margin-top:167.05pt;height:12.8pt;width:12.15pt;z-index:251669504;v-text-anchor:middle;mso-width-relative:page;mso-height-relative:page;" fillcolor="#FFFF00" filled="t" stroked="t" coordsize="154305,162560" o:gfxdata="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&#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BDLppDbAAAACwEAAA8AAAAAAAAAAQAgAAAAIgAAAGRy&#10;cy9kb3ducmV2LnhtbFBLAQIUABQAAAAIAIdO4kBoG1hcdAIAAO4EAAAOAAAAAAAAAAEAIAAAACoB&#10;AABkcnMvZTJvRG9jLnhtbFBLBQYAAAAABgAGAFkBAAAQBgAAAAA=&#10;" path="m0,62092l58939,62092,77152,0,95365,62092,154304,62092,106621,100467,124835,162559,77152,124183,29469,162559,47683,100467xe">
                <v:path o:connectlocs="77152,0;0,62092;29469,162559;124835,162559;154304,62092" o:connectangles="247,164,82,82,0"/>
                <v:fill on="t" focussize="0,0"/>
                <v:stroke weight="2pt" color="#FFFF00 [2404]" joinstyle="round"/>
                <v:imagedata o:title=""/>
                <o:lock v:ext="edit" aspectratio="f"/>
              </v:shape>
            </w:pict>
          </mc:Fallback>
        </mc:AlternateContent>
      </w:r>
      <w:r>
        <w:rPr>
          <w:rFonts w:hint="eastAsia" w:eastAsia="宋体"/>
          <w:snapToGrid w:val="0"/>
          <w:color w:val="auto"/>
          <w:kern w:val="0"/>
          <w:sz w:val="28"/>
          <w:szCs w:val="28"/>
          <w:lang w:val="en-US" w:eastAsia="zh-CN"/>
        </w:rPr>
        <w:drawing>
          <wp:inline distT="0" distB="0" distL="114300" distR="114300">
            <wp:extent cx="6907530" cy="5180965"/>
            <wp:effectExtent l="0" t="0" r="7620" b="635"/>
            <wp:docPr id="52" name="图片 52" descr="dd2bbd9893624361c9381ec629b549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dd2bbd9893624361c9381ec629b549ed"/>
                    <pic:cNvPicPr>
                      <a:picLocks noChangeAspect="1"/>
                    </pic:cNvPicPr>
                  </pic:nvPicPr>
                  <pic:blipFill>
                    <a:blip r:embed="rId36"/>
                    <a:stretch>
                      <a:fillRect/>
                    </a:stretch>
                  </pic:blipFill>
                  <pic:spPr>
                    <a:xfrm>
                      <a:off x="0" y="0"/>
                      <a:ext cx="6907530" cy="5180965"/>
                    </a:xfrm>
                    <a:prstGeom prst="rect">
                      <a:avLst/>
                    </a:prstGeom>
                  </pic:spPr>
                </pic:pic>
              </a:graphicData>
            </a:graphic>
          </wp:inline>
        </w:drawing>
      </w:r>
    </w:p>
    <w:p w14:paraId="123076A5">
      <w:pPr>
        <w:pStyle w:val="2"/>
        <w:rPr>
          <w:rFonts w:hint="eastAsia" w:eastAsia="宋体"/>
          <w:snapToGrid w:val="0"/>
          <w:color w:val="auto"/>
          <w:kern w:val="0"/>
          <w:sz w:val="28"/>
          <w:szCs w:val="28"/>
        </w:rPr>
      </w:pPr>
      <w:r>
        <w:rPr>
          <w:rFonts w:hint="eastAsia" w:eastAsia="宋体"/>
          <w:lang w:eastAsia="zh-CN"/>
        </w:rPr>
        <w:drawing>
          <wp:anchor distT="0" distB="0" distL="114300" distR="114300" simplePos="0" relativeHeight="251673600" behindDoc="0" locked="0" layoutInCell="1" allowOverlap="1">
            <wp:simplePos x="0" y="0"/>
            <wp:positionH relativeFrom="column">
              <wp:posOffset>253365</wp:posOffset>
            </wp:positionH>
            <wp:positionV relativeFrom="paragraph">
              <wp:posOffset>400685</wp:posOffset>
            </wp:positionV>
            <wp:extent cx="619125" cy="828675"/>
            <wp:effectExtent l="0" t="0" r="9525" b="9525"/>
            <wp:wrapNone/>
            <wp:docPr id="76" name="图片 76" descr="0dfc7aaa5fd0e9c2cd000195931bc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0dfc7aaa5fd0e9c2cd000195931bc0b0"/>
                    <pic:cNvPicPr>
                      <a:picLocks noChangeAspect="1"/>
                    </pic:cNvPicPr>
                  </pic:nvPicPr>
                  <pic:blipFill>
                    <a:blip r:embed="rId26"/>
                    <a:stretch>
                      <a:fillRect/>
                    </a:stretch>
                  </pic:blipFill>
                  <pic:spPr>
                    <a:xfrm>
                      <a:off x="0" y="0"/>
                      <a:ext cx="619125" cy="828675"/>
                    </a:xfrm>
                    <a:prstGeom prst="rect">
                      <a:avLst/>
                    </a:prstGeom>
                  </pic:spPr>
                </pic:pic>
              </a:graphicData>
            </a:graphic>
          </wp:anchor>
        </w:drawing>
      </w:r>
      <w:r>
        <w:rPr>
          <w:rFonts w:hint="eastAsia" w:eastAsia="宋体"/>
          <w:snapToGrid w:val="0"/>
          <w:color w:val="auto"/>
          <w:kern w:val="0"/>
          <w:sz w:val="28"/>
          <w:szCs w:val="28"/>
        </w:rPr>
        <w:t>附图</w:t>
      </w:r>
      <w:r>
        <w:rPr>
          <w:rFonts w:hint="eastAsia" w:eastAsia="宋体"/>
          <w:snapToGrid w:val="0"/>
          <w:color w:val="auto"/>
          <w:kern w:val="0"/>
          <w:sz w:val="28"/>
          <w:szCs w:val="28"/>
          <w:lang w:val="en-US" w:eastAsia="zh-CN"/>
        </w:rPr>
        <w:t>6</w:t>
      </w:r>
      <w:r>
        <w:rPr>
          <w:rFonts w:hint="eastAsia" w:eastAsia="宋体"/>
          <w:snapToGrid w:val="0"/>
          <w:color w:val="auto"/>
          <w:kern w:val="0"/>
          <w:sz w:val="28"/>
          <w:szCs w:val="28"/>
        </w:rPr>
        <w:t xml:space="preserve"> 项目四邻</w:t>
      </w:r>
      <w:r>
        <w:rPr>
          <w:rFonts w:hint="eastAsia" w:eastAsia="宋体"/>
          <w:snapToGrid w:val="0"/>
          <w:color w:val="auto"/>
          <w:kern w:val="0"/>
          <w:sz w:val="28"/>
          <w:szCs w:val="28"/>
          <w:lang w:val="en-US" w:eastAsia="zh-CN"/>
        </w:rPr>
        <w:t>关系</w:t>
      </w:r>
      <w:r>
        <w:rPr>
          <w:rFonts w:hint="eastAsia" w:eastAsia="宋体"/>
          <w:snapToGrid w:val="0"/>
          <w:color w:val="auto"/>
          <w:kern w:val="0"/>
          <w:sz w:val="28"/>
          <w:szCs w:val="28"/>
        </w:rPr>
        <w:t>图</w:t>
      </w:r>
    </w:p>
    <w:p w14:paraId="4F04BE6C">
      <w:pPr>
        <w:jc w:val="center"/>
      </w:pPr>
      <w:r>
        <mc:AlternateContent>
          <mc:Choice Requires="wps">
            <w:drawing>
              <wp:anchor distT="0" distB="0" distL="114300" distR="114300" simplePos="0" relativeHeight="251675648" behindDoc="0" locked="0" layoutInCell="1" allowOverlap="1">
                <wp:simplePos x="0" y="0"/>
                <wp:positionH relativeFrom="column">
                  <wp:posOffset>4114800</wp:posOffset>
                </wp:positionH>
                <wp:positionV relativeFrom="paragraph">
                  <wp:posOffset>1804670</wp:posOffset>
                </wp:positionV>
                <wp:extent cx="923290" cy="361950"/>
                <wp:effectExtent l="4445" t="4445" r="5715" b="14605"/>
                <wp:wrapNone/>
                <wp:docPr id="81" name="文本框 81"/>
                <wp:cNvGraphicFramePr/>
                <a:graphic xmlns:a="http://schemas.openxmlformats.org/drawingml/2006/main">
                  <a:graphicData uri="http://schemas.microsoft.com/office/word/2010/wordprocessingShape">
                    <wps:wsp>
                      <wps:cNvSpPr txBox="1"/>
                      <wps:spPr>
                        <a:xfrm>
                          <a:off x="0" y="0"/>
                          <a:ext cx="923290" cy="3619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EF2618">
                            <w:r>
                              <w:rPr>
                                <w:rFonts w:hint="eastAsia"/>
                                <w:sz w:val="24"/>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4pt;margin-top:142.1pt;height:28.5pt;width:72.7pt;z-index:251675648;mso-width-relative:page;mso-height-relative:page;" fillcolor="#FFFFFF [3201]" filled="t" stroked="t" coordsize="21600,21600" o:gfxdata="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23GJRtgA&#10;AAALAQAADwAAAAAAAAABACAAAAAiAAAAZHJzL2Rvd25yZXYueG1sUEsBAhQAFAAAAAgAh07iQPMj&#10;tpxYAgAAuAQAAA4AAAAAAAAAAQAgAAAAJwEAAGRycy9lMm9Eb2MueG1sUEsFBgAAAAAGAAYAWQEA&#10;APEFAAAAAA==&#10;">
                <v:fill on="t" focussize="0,0"/>
                <v:stroke weight="0.5pt" color="#000000 [3204]" joinstyle="round"/>
                <v:imagedata o:title=""/>
                <o:lock v:ext="edit" aspectratio="f"/>
                <v:textbox>
                  <w:txbxContent>
                    <w:p w14:paraId="2FEF2618">
                      <w:r>
                        <w:rPr>
                          <w:rFonts w:hint="eastAsia"/>
                          <w:sz w:val="24"/>
                        </w:rPr>
                        <w:t>空地</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1469390</wp:posOffset>
                </wp:positionH>
                <wp:positionV relativeFrom="paragraph">
                  <wp:posOffset>1830705</wp:posOffset>
                </wp:positionV>
                <wp:extent cx="923290" cy="361950"/>
                <wp:effectExtent l="4445" t="4445" r="5715" b="14605"/>
                <wp:wrapNone/>
                <wp:docPr id="79" name="文本框 79"/>
                <wp:cNvGraphicFramePr/>
                <a:graphic xmlns:a="http://schemas.openxmlformats.org/drawingml/2006/main">
                  <a:graphicData uri="http://schemas.microsoft.com/office/word/2010/wordprocessingShape">
                    <wps:wsp>
                      <wps:cNvSpPr txBox="1"/>
                      <wps:spPr>
                        <a:xfrm>
                          <a:off x="0" y="0"/>
                          <a:ext cx="923290" cy="3619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4EAB68">
                            <w:r>
                              <w:rPr>
                                <w:rFonts w:hint="eastAsia"/>
                                <w:sz w:val="24"/>
                              </w:rPr>
                              <w:t>空地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7pt;margin-top:144.15pt;height:28.5pt;width:72.7pt;z-index:251674624;mso-width-relative:page;mso-height-relative:page;" fillcolor="#FFFFFF [3201]" filled="t" stroked="t" coordsize="21600,21600" o:gfxdata="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XV7/VtcA&#10;AAALAQAADwAAAAAAAAABACAAAAAiAAAAZHJzL2Rvd25yZXYueG1sUEsBAhQAFAAAAAgAh07iQFWt&#10;vZdZAgAAuAQAAA4AAAAAAAAAAQAgAAAAJgEAAGRycy9lMm9Eb2MueG1sUEsFBgAAAAAGAAYAWQEA&#10;APEFAAAAAA==&#10;">
                <v:fill on="t" focussize="0,0"/>
                <v:stroke weight="0.5pt" color="#000000 [3204]" joinstyle="round"/>
                <v:imagedata o:title=""/>
                <o:lock v:ext="edit" aspectratio="f"/>
                <v:textbox>
                  <w:txbxContent>
                    <w:p w14:paraId="354EAB68">
                      <w:r>
                        <w:rPr>
                          <w:rFonts w:hint="eastAsia"/>
                          <w:sz w:val="24"/>
                        </w:rPr>
                        <w:t>空地</w:t>
                      </w:r>
                    </w:p>
                  </w:txbxContent>
                </v:textbox>
              </v:shape>
            </w:pict>
          </mc:Fallback>
        </mc:AlternateContent>
      </w:r>
      <w:r>
        <w:drawing>
          <wp:inline distT="0" distB="0" distL="114300" distR="114300">
            <wp:extent cx="8029575" cy="4619625"/>
            <wp:effectExtent l="0" t="0" r="9525" b="952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37"/>
                    <a:stretch>
                      <a:fillRect/>
                    </a:stretch>
                  </pic:blipFill>
                  <pic:spPr>
                    <a:xfrm>
                      <a:off x="0" y="0"/>
                      <a:ext cx="8029575" cy="4619625"/>
                    </a:xfrm>
                    <a:prstGeom prst="rect">
                      <a:avLst/>
                    </a:prstGeom>
                    <a:noFill/>
                    <a:ln>
                      <a:noFill/>
                    </a:ln>
                  </pic:spPr>
                </pic:pic>
              </a:graphicData>
            </a:graphic>
          </wp:inline>
        </w:drawing>
      </w:r>
    </w:p>
    <w:p w14:paraId="70BDA5C0"/>
    <w:p w14:paraId="3180E4D1">
      <w:pPr>
        <w:rPr>
          <w:b/>
          <w:bCs/>
          <w:snapToGrid w:val="0"/>
          <w:kern w:val="0"/>
          <w:sz w:val="24"/>
        </w:rPr>
        <w:sectPr>
          <w:pgSz w:w="16838" w:h="11906" w:orient="landscape"/>
          <w:pgMar w:top="1531" w:right="1701" w:bottom="1531" w:left="1701" w:header="851" w:footer="851" w:gutter="0"/>
          <w:cols w:space="720" w:num="1"/>
          <w:docGrid w:linePitch="312" w:charSpace="0"/>
        </w:sectPr>
      </w:pPr>
    </w:p>
    <w:p w14:paraId="476EE744">
      <w:pPr>
        <w:pStyle w:val="2"/>
        <w:rPr>
          <w:rFonts w:hint="eastAsia" w:eastAsia="宋体"/>
          <w:snapToGrid w:val="0"/>
          <w:color w:val="auto"/>
          <w:kern w:val="0"/>
          <w:sz w:val="28"/>
          <w:szCs w:val="28"/>
          <w:lang w:val="en-US" w:eastAsia="zh-CN"/>
        </w:rPr>
      </w:pPr>
      <w:r>
        <w:rPr>
          <w:rFonts w:hint="eastAsia" w:eastAsia="宋体"/>
          <w:snapToGrid w:val="0"/>
          <w:color w:val="auto"/>
          <w:kern w:val="0"/>
          <w:sz w:val="28"/>
          <w:szCs w:val="28"/>
          <w:lang w:val="en-US" w:eastAsia="zh-CN"/>
        </w:rPr>
        <w:t>附图7 本项目评价范围图</w:t>
      </w:r>
    </w:p>
    <w:p w14:paraId="4847BD23">
      <w:pPr>
        <w:jc w:val="center"/>
        <w:sectPr>
          <w:pgSz w:w="16838" w:h="11906" w:orient="landscape"/>
          <w:pgMar w:top="1531" w:right="1701" w:bottom="1531" w:left="1701" w:header="851" w:footer="851" w:gutter="0"/>
          <w:cols w:space="720" w:num="1"/>
          <w:docGrid w:linePitch="312" w:charSpace="0"/>
        </w:sectPr>
      </w:pPr>
      <w:r>
        <w:rPr>
          <w:rFonts w:hint="eastAsia" w:eastAsia="宋体"/>
          <w:lang w:eastAsia="zh-CN"/>
        </w:rPr>
        <w:drawing>
          <wp:anchor distT="0" distB="0" distL="114300" distR="114300" simplePos="0" relativeHeight="251672576" behindDoc="0" locked="0" layoutInCell="1" allowOverlap="1">
            <wp:simplePos x="0" y="0"/>
            <wp:positionH relativeFrom="column">
              <wp:posOffset>815975</wp:posOffset>
            </wp:positionH>
            <wp:positionV relativeFrom="paragraph">
              <wp:posOffset>11430</wp:posOffset>
            </wp:positionV>
            <wp:extent cx="619125" cy="828675"/>
            <wp:effectExtent l="0" t="0" r="9525" b="9525"/>
            <wp:wrapNone/>
            <wp:docPr id="74" name="图片 74" descr="0dfc7aaa5fd0e9c2cd000195931bc0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0dfc7aaa5fd0e9c2cd000195931bc0b0"/>
                    <pic:cNvPicPr>
                      <a:picLocks noChangeAspect="1"/>
                    </pic:cNvPicPr>
                  </pic:nvPicPr>
                  <pic:blipFill>
                    <a:blip r:embed="rId26"/>
                    <a:stretch>
                      <a:fillRect/>
                    </a:stretch>
                  </pic:blipFill>
                  <pic:spPr>
                    <a:xfrm>
                      <a:off x="0" y="0"/>
                      <a:ext cx="619125" cy="828675"/>
                    </a:xfrm>
                    <a:prstGeom prst="rect">
                      <a:avLst/>
                    </a:prstGeom>
                  </pic:spPr>
                </pic:pic>
              </a:graphicData>
            </a:graphic>
          </wp:anchor>
        </w:drawing>
      </w:r>
      <w:r>
        <w:drawing>
          <wp:inline distT="0" distB="0" distL="114300" distR="114300">
            <wp:extent cx="6912610" cy="4734560"/>
            <wp:effectExtent l="0" t="0" r="2540" b="889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38"/>
                    <a:stretch>
                      <a:fillRect/>
                    </a:stretch>
                  </pic:blipFill>
                  <pic:spPr>
                    <a:xfrm>
                      <a:off x="0" y="0"/>
                      <a:ext cx="6912610" cy="4734560"/>
                    </a:xfrm>
                    <a:prstGeom prst="rect">
                      <a:avLst/>
                    </a:prstGeom>
                    <a:noFill/>
                    <a:ln>
                      <a:noFill/>
                    </a:ln>
                  </pic:spPr>
                </pic:pic>
              </a:graphicData>
            </a:graphic>
          </wp:inline>
        </w:drawing>
      </w:r>
    </w:p>
    <w:p w14:paraId="06D9D1CA">
      <w:pPr>
        <w:pStyle w:val="2"/>
        <w:jc w:val="left"/>
        <w:rPr>
          <w:rFonts w:hint="eastAsia"/>
          <w:lang w:eastAsia="zh-CN"/>
        </w:rPr>
      </w:pPr>
      <w:r>
        <w:rPr>
          <w:rFonts w:hint="eastAsia" w:eastAsia="宋体"/>
          <w:snapToGrid w:val="0"/>
          <w:color w:val="auto"/>
          <w:kern w:val="0"/>
          <w:sz w:val="28"/>
          <w:szCs w:val="28"/>
          <w:lang w:val="en-US" w:eastAsia="zh-CN"/>
        </w:rPr>
        <w:t>附图8 厂区平面布置图</w:t>
      </w:r>
    </w:p>
    <w:p w14:paraId="47541A0C">
      <w:pPr>
        <w:jc w:val="center"/>
        <w:rPr>
          <w:rFonts w:hint="eastAsia"/>
          <w:lang w:eastAsia="zh-CN"/>
        </w:rPr>
        <w:sectPr>
          <w:pgSz w:w="16838" w:h="11906" w:orient="landscape"/>
          <w:pgMar w:top="1531" w:right="1701" w:bottom="1531" w:left="1701" w:header="851" w:footer="851" w:gutter="0"/>
          <w:cols w:space="720" w:num="1"/>
          <w:docGrid w:linePitch="312" w:charSpace="0"/>
        </w:sectPr>
      </w:pPr>
      <w:r>
        <w:drawing>
          <wp:inline distT="0" distB="0" distL="114300" distR="114300">
            <wp:extent cx="7440930" cy="5034280"/>
            <wp:effectExtent l="0" t="0" r="7620" b="13970"/>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39"/>
                    <a:stretch>
                      <a:fillRect/>
                    </a:stretch>
                  </pic:blipFill>
                  <pic:spPr>
                    <a:xfrm>
                      <a:off x="0" y="0"/>
                      <a:ext cx="7440930" cy="5034280"/>
                    </a:xfrm>
                    <a:prstGeom prst="rect">
                      <a:avLst/>
                    </a:prstGeom>
                    <a:noFill/>
                    <a:ln>
                      <a:noFill/>
                    </a:ln>
                  </pic:spPr>
                </pic:pic>
              </a:graphicData>
            </a:graphic>
          </wp:inline>
        </w:drawing>
      </w:r>
    </w:p>
    <w:p w14:paraId="549BAF62">
      <w:pPr>
        <w:pStyle w:val="19"/>
        <w:adjustRightInd w:val="0"/>
        <w:snapToGrid w:val="0"/>
        <w:spacing w:before="0" w:beforeAutospacing="0" w:after="0" w:afterAutospacing="0"/>
        <w:outlineLvl w:val="0"/>
        <w:rPr>
          <w:rFonts w:hint="eastAsia"/>
        </w:rPr>
      </w:pPr>
      <w:bookmarkStart w:id="18" w:name="_Toc28387"/>
      <w:r>
        <w:rPr>
          <w:rFonts w:hint="eastAsia" w:ascii="Times New Roman" w:hAnsi="Times New Roman"/>
          <w:b/>
          <w:bCs/>
          <w:snapToGrid w:val="0"/>
          <w:sz w:val="28"/>
          <w:szCs w:val="28"/>
        </w:rPr>
        <w:t>附件1 委托书</w:t>
      </w:r>
      <w:bookmarkEnd w:id="18"/>
    </w:p>
    <w:p w14:paraId="6E51C4D9">
      <w:pPr>
        <w:pStyle w:val="19"/>
        <w:adjustRightInd w:val="0"/>
        <w:snapToGrid w:val="0"/>
        <w:spacing w:before="0" w:beforeAutospacing="0" w:after="0" w:afterAutospacing="0"/>
        <w:outlineLvl w:val="0"/>
        <w:rPr>
          <w:rFonts w:hint="eastAsia" w:eastAsia="宋体"/>
          <w:lang w:eastAsia="zh-CN"/>
        </w:rPr>
        <w:sectPr>
          <w:footerReference r:id="rId9" w:type="default"/>
          <w:pgSz w:w="11906" w:h="16838"/>
          <w:pgMar w:top="1701" w:right="1531" w:bottom="1701" w:left="1531" w:header="851" w:footer="851" w:gutter="0"/>
          <w:cols w:space="720" w:num="1"/>
          <w:docGrid w:linePitch="312" w:charSpace="0"/>
        </w:sectPr>
      </w:pPr>
      <w:r>
        <w:rPr>
          <w:rFonts w:hint="eastAsia" w:eastAsia="宋体"/>
          <w:lang w:eastAsia="zh-CN"/>
        </w:rPr>
        <w:drawing>
          <wp:inline distT="0" distB="0" distL="114300" distR="114300">
            <wp:extent cx="5612765" cy="7706360"/>
            <wp:effectExtent l="0" t="0" r="6985" b="8890"/>
            <wp:docPr id="19" name="图片 19" descr="869f1e8a8ccff543b60841575fb409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69f1e8a8ccff543b60841575fb409ba"/>
                    <pic:cNvPicPr>
                      <a:picLocks noChangeAspect="1"/>
                    </pic:cNvPicPr>
                  </pic:nvPicPr>
                  <pic:blipFill>
                    <a:blip r:embed="rId40"/>
                    <a:stretch>
                      <a:fillRect/>
                    </a:stretch>
                  </pic:blipFill>
                  <pic:spPr>
                    <a:xfrm>
                      <a:off x="0" y="0"/>
                      <a:ext cx="5612765" cy="7706360"/>
                    </a:xfrm>
                    <a:prstGeom prst="rect">
                      <a:avLst/>
                    </a:prstGeom>
                  </pic:spPr>
                </pic:pic>
              </a:graphicData>
            </a:graphic>
          </wp:inline>
        </w:drawing>
      </w:r>
    </w:p>
    <w:p w14:paraId="692C2D59">
      <w:pPr>
        <w:pStyle w:val="19"/>
        <w:adjustRightInd w:val="0"/>
        <w:snapToGrid w:val="0"/>
        <w:spacing w:before="0" w:beforeAutospacing="0" w:after="0" w:afterAutospacing="0"/>
        <w:outlineLvl w:val="0"/>
        <w:rPr>
          <w:rFonts w:hint="eastAsia" w:ascii="Times New Roman" w:hAnsi="Times New Roman"/>
          <w:b/>
          <w:bCs/>
          <w:snapToGrid w:val="0"/>
          <w:sz w:val="28"/>
          <w:szCs w:val="28"/>
        </w:rPr>
      </w:pPr>
      <w:bookmarkStart w:id="19" w:name="_Toc7976"/>
      <w:r>
        <w:rPr>
          <w:rFonts w:hint="eastAsia" w:ascii="Times New Roman" w:hAnsi="Times New Roman"/>
          <w:b/>
          <w:bCs/>
          <w:snapToGrid w:val="0"/>
          <w:sz w:val="28"/>
          <w:szCs w:val="28"/>
        </w:rPr>
        <w:t xml:space="preserve">附件2 </w:t>
      </w:r>
      <w:r>
        <w:rPr>
          <w:rFonts w:hint="eastAsia" w:ascii="Times New Roman" w:hAnsi="Times New Roman"/>
          <w:b/>
          <w:bCs/>
          <w:snapToGrid w:val="0"/>
          <w:sz w:val="28"/>
          <w:szCs w:val="28"/>
          <w:lang w:val="en-US" w:eastAsia="zh-CN"/>
        </w:rPr>
        <w:t>备案</w:t>
      </w:r>
      <w:r>
        <w:rPr>
          <w:rFonts w:hint="eastAsia" w:ascii="Times New Roman" w:hAnsi="Times New Roman"/>
          <w:b/>
          <w:bCs/>
          <w:snapToGrid w:val="0"/>
          <w:sz w:val="28"/>
          <w:szCs w:val="28"/>
        </w:rPr>
        <w:t>文件</w:t>
      </w:r>
    </w:p>
    <w:p w14:paraId="4514D20C">
      <w:pPr>
        <w:pStyle w:val="19"/>
        <w:adjustRightInd w:val="0"/>
        <w:snapToGrid w:val="0"/>
        <w:spacing w:before="0" w:beforeAutospacing="0" w:after="0" w:afterAutospacing="0"/>
        <w:outlineLvl w:val="9"/>
        <w:rPr>
          <w:rFonts w:hint="eastAsia" w:ascii="Times New Roman" w:hAnsi="Times New Roman" w:eastAsia="宋体"/>
          <w:b/>
          <w:bCs/>
          <w:snapToGrid w:val="0"/>
          <w:sz w:val="28"/>
          <w:szCs w:val="28"/>
          <w:lang w:eastAsia="zh-CN"/>
        </w:rPr>
      </w:pPr>
      <w:r>
        <w:rPr>
          <w:rFonts w:hint="eastAsia" w:ascii="Times New Roman" w:hAnsi="Times New Roman" w:eastAsia="宋体"/>
          <w:b/>
          <w:bCs/>
          <w:snapToGrid w:val="0"/>
          <w:sz w:val="28"/>
          <w:szCs w:val="28"/>
          <w:lang w:eastAsia="zh-CN"/>
        </w:rPr>
        <w:drawing>
          <wp:inline distT="0" distB="0" distL="114300" distR="114300">
            <wp:extent cx="5589270" cy="7908290"/>
            <wp:effectExtent l="0" t="0" r="11430" b="16510"/>
            <wp:docPr id="5" name="图片 5" descr="备案告知书 变更(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备案告知书 变更(1)_01"/>
                    <pic:cNvPicPr>
                      <a:picLocks noChangeAspect="1"/>
                    </pic:cNvPicPr>
                  </pic:nvPicPr>
                  <pic:blipFill>
                    <a:blip r:embed="rId41"/>
                    <a:stretch>
                      <a:fillRect/>
                    </a:stretch>
                  </pic:blipFill>
                  <pic:spPr>
                    <a:xfrm>
                      <a:off x="0" y="0"/>
                      <a:ext cx="5589270" cy="7908290"/>
                    </a:xfrm>
                    <a:prstGeom prst="rect">
                      <a:avLst/>
                    </a:prstGeom>
                  </pic:spPr>
                </pic:pic>
              </a:graphicData>
            </a:graphic>
          </wp:inline>
        </w:drawing>
      </w:r>
    </w:p>
    <w:p w14:paraId="1D1FE938">
      <w:pPr>
        <w:pStyle w:val="19"/>
        <w:adjustRightInd w:val="0"/>
        <w:snapToGrid w:val="0"/>
        <w:spacing w:before="0" w:beforeAutospacing="0" w:after="0" w:afterAutospacing="0"/>
        <w:outlineLvl w:val="0"/>
        <w:rPr>
          <w:rFonts w:hint="eastAsia" w:ascii="Times New Roman" w:hAnsi="Times New Roman" w:eastAsia="宋体"/>
          <w:b/>
          <w:bCs/>
          <w:snapToGrid w:val="0"/>
          <w:sz w:val="28"/>
          <w:szCs w:val="28"/>
          <w:lang w:eastAsia="zh-CN"/>
        </w:rPr>
        <w:sectPr>
          <w:pgSz w:w="11906" w:h="16838"/>
          <w:pgMar w:top="1701" w:right="1531" w:bottom="1701" w:left="1531" w:header="851" w:footer="851" w:gutter="0"/>
          <w:cols w:space="720" w:num="1"/>
          <w:docGrid w:linePitch="312" w:charSpace="0"/>
        </w:sectPr>
      </w:pPr>
    </w:p>
    <w:bookmarkEnd w:id="19"/>
    <w:p w14:paraId="667EB603">
      <w:pPr>
        <w:pStyle w:val="19"/>
        <w:adjustRightInd w:val="0"/>
        <w:snapToGrid w:val="0"/>
        <w:spacing w:before="0" w:beforeAutospacing="0" w:after="0" w:afterAutospacing="0"/>
        <w:outlineLvl w:val="0"/>
        <w:rPr>
          <w:rFonts w:hint="eastAsia" w:ascii="Times New Roman" w:hAnsi="Times New Roman"/>
          <w:b/>
          <w:bCs/>
          <w:snapToGrid w:val="0"/>
          <w:sz w:val="28"/>
          <w:szCs w:val="28"/>
        </w:rPr>
      </w:pPr>
      <w:r>
        <w:rPr>
          <w:rFonts w:hint="eastAsia" w:ascii="Times New Roman" w:hAnsi="Times New Roman"/>
          <w:b/>
          <w:bCs/>
          <w:snapToGrid w:val="0"/>
          <w:sz w:val="28"/>
          <w:szCs w:val="28"/>
          <w:lang w:val="en-US" w:eastAsia="zh-CN"/>
        </w:rPr>
        <w:t>附件3</w:t>
      </w:r>
      <w:r>
        <w:rPr>
          <w:rFonts w:hint="eastAsia" w:ascii="Times New Roman" w:hAnsi="Times New Roman"/>
          <w:b/>
          <w:bCs/>
          <w:snapToGrid w:val="0"/>
          <w:sz w:val="28"/>
          <w:szCs w:val="28"/>
        </w:rPr>
        <w:t>《内蒙古鄂尔多斯准格尔经济开发区国土空间总体规划</w:t>
      </w:r>
      <w:r>
        <w:rPr>
          <w:rFonts w:hint="eastAsia" w:ascii="Times New Roman" w:hAnsi="Times New Roman"/>
          <w:b/>
          <w:bCs/>
          <w:snapToGrid w:val="0"/>
          <w:sz w:val="28"/>
          <w:szCs w:val="28"/>
          <w:lang w:eastAsia="zh-CN"/>
        </w:rPr>
        <w:t>（</w:t>
      </w:r>
      <w:r>
        <w:rPr>
          <w:rFonts w:hint="eastAsia" w:ascii="Times New Roman" w:hAnsi="Times New Roman"/>
          <w:b/>
          <w:bCs/>
          <w:snapToGrid w:val="0"/>
          <w:sz w:val="28"/>
          <w:szCs w:val="28"/>
        </w:rPr>
        <w:t>大路产业园分区规划</w:t>
      </w:r>
      <w:r>
        <w:rPr>
          <w:rFonts w:hint="eastAsia" w:ascii="Times New Roman" w:hAnsi="Times New Roman"/>
          <w:b/>
          <w:bCs/>
          <w:snapToGrid w:val="0"/>
          <w:sz w:val="28"/>
          <w:szCs w:val="28"/>
          <w:lang w:eastAsia="zh-CN"/>
        </w:rPr>
        <w:t>）</w:t>
      </w:r>
      <w:r>
        <w:rPr>
          <w:rFonts w:hint="eastAsia" w:ascii="Times New Roman" w:hAnsi="Times New Roman"/>
          <w:b/>
          <w:bCs/>
          <w:snapToGrid w:val="0"/>
          <w:sz w:val="28"/>
          <w:szCs w:val="28"/>
        </w:rPr>
        <w:t>（2021-2035）环境影响报告书》的审查意见</w:t>
      </w:r>
    </w:p>
    <w:p w14:paraId="454FCA01">
      <w:pPr>
        <w:pStyle w:val="19"/>
        <w:adjustRightInd w:val="0"/>
        <w:snapToGrid w:val="0"/>
        <w:spacing w:before="0" w:beforeAutospacing="0" w:after="0" w:afterAutospacing="0"/>
        <w:outlineLvl w:val="9"/>
        <w:rPr>
          <w:rFonts w:hint="eastAsia" w:ascii="Times New Roman" w:hAnsi="Times New Roman"/>
          <w:b/>
          <w:bCs/>
          <w:snapToGrid w:val="0"/>
          <w:sz w:val="28"/>
          <w:szCs w:val="28"/>
        </w:rPr>
      </w:pP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41" name="图片 41" descr="鄂尔多斯准格尔经济开发区大路产业园规划环评审查意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鄂尔多斯准格尔经济开发区大路产业园规划环评审查意见_01"/>
                    <pic:cNvPicPr>
                      <a:picLocks noChangeAspect="1"/>
                    </pic:cNvPicPr>
                  </pic:nvPicPr>
                  <pic:blipFill>
                    <a:blip r:embed="rId42"/>
                    <a:stretch>
                      <a:fillRect/>
                    </a:stretch>
                  </pic:blipFill>
                  <pic:spPr>
                    <a:xfrm>
                      <a:off x="0" y="0"/>
                      <a:ext cx="5593080" cy="7910195"/>
                    </a:xfrm>
                    <a:prstGeom prst="rect">
                      <a:avLst/>
                    </a:prstGeom>
                  </pic:spPr>
                </pic:pic>
              </a:graphicData>
            </a:graphic>
          </wp:inline>
        </w:drawing>
      </w:r>
    </w:p>
    <w:p w14:paraId="4EB64D8B">
      <w:pPr>
        <w:pStyle w:val="19"/>
        <w:adjustRightInd w:val="0"/>
        <w:snapToGrid w:val="0"/>
        <w:spacing w:before="0" w:beforeAutospacing="0" w:after="0" w:afterAutospacing="0"/>
        <w:outlineLvl w:val="9"/>
        <w:rPr>
          <w:rFonts w:hint="eastAsia" w:ascii="Times New Roman" w:hAnsi="Times New Roman" w:eastAsia="宋体"/>
          <w:b/>
          <w:bCs/>
          <w:snapToGrid w:val="0"/>
          <w:sz w:val="28"/>
          <w:szCs w:val="28"/>
          <w:lang w:val="en-US" w:eastAsia="zh-CN"/>
        </w:rPr>
      </w:pP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33" name="图片 33" descr="鄂尔多斯准格尔经济开发区大路产业园规划环评审查意见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鄂尔多斯准格尔经济开发区大路产业园规划环评审查意见_02"/>
                    <pic:cNvPicPr>
                      <a:picLocks noChangeAspect="1"/>
                    </pic:cNvPicPr>
                  </pic:nvPicPr>
                  <pic:blipFill>
                    <a:blip r:embed="rId43"/>
                    <a:stretch>
                      <a:fillRect/>
                    </a:stretch>
                  </pic:blipFill>
                  <pic:spPr>
                    <a:xfrm>
                      <a:off x="0" y="0"/>
                      <a:ext cx="5593080" cy="7910195"/>
                    </a:xfrm>
                    <a:prstGeom prst="rect">
                      <a:avLst/>
                    </a:prstGeom>
                  </pic:spPr>
                </pic:pic>
              </a:graphicData>
            </a:graphic>
          </wp:inline>
        </w:drawing>
      </w: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34" name="图片 34" descr="鄂尔多斯准格尔经济开发区大路产业园规划环评审查意见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鄂尔多斯准格尔经济开发区大路产业园规划环评审查意见_03"/>
                    <pic:cNvPicPr>
                      <a:picLocks noChangeAspect="1"/>
                    </pic:cNvPicPr>
                  </pic:nvPicPr>
                  <pic:blipFill>
                    <a:blip r:embed="rId44"/>
                    <a:stretch>
                      <a:fillRect/>
                    </a:stretch>
                  </pic:blipFill>
                  <pic:spPr>
                    <a:xfrm>
                      <a:off x="0" y="0"/>
                      <a:ext cx="5593080" cy="7910195"/>
                    </a:xfrm>
                    <a:prstGeom prst="rect">
                      <a:avLst/>
                    </a:prstGeom>
                  </pic:spPr>
                </pic:pic>
              </a:graphicData>
            </a:graphic>
          </wp:inline>
        </w:drawing>
      </w: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35" name="图片 35" descr="鄂尔多斯准格尔经济开发区大路产业园规划环评审查意见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鄂尔多斯准格尔经济开发区大路产业园规划环评审查意见_04"/>
                    <pic:cNvPicPr>
                      <a:picLocks noChangeAspect="1"/>
                    </pic:cNvPicPr>
                  </pic:nvPicPr>
                  <pic:blipFill>
                    <a:blip r:embed="rId45"/>
                    <a:stretch>
                      <a:fillRect/>
                    </a:stretch>
                  </pic:blipFill>
                  <pic:spPr>
                    <a:xfrm>
                      <a:off x="0" y="0"/>
                      <a:ext cx="5593080" cy="7910195"/>
                    </a:xfrm>
                    <a:prstGeom prst="rect">
                      <a:avLst/>
                    </a:prstGeom>
                  </pic:spPr>
                </pic:pic>
              </a:graphicData>
            </a:graphic>
          </wp:inline>
        </w:drawing>
      </w: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36" name="图片 36" descr="鄂尔多斯准格尔经济开发区大路产业园规划环评审查意见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鄂尔多斯准格尔经济开发区大路产业园规划环评审查意见_05"/>
                    <pic:cNvPicPr>
                      <a:picLocks noChangeAspect="1"/>
                    </pic:cNvPicPr>
                  </pic:nvPicPr>
                  <pic:blipFill>
                    <a:blip r:embed="rId46"/>
                    <a:stretch>
                      <a:fillRect/>
                    </a:stretch>
                  </pic:blipFill>
                  <pic:spPr>
                    <a:xfrm>
                      <a:off x="0" y="0"/>
                      <a:ext cx="5593080" cy="7910195"/>
                    </a:xfrm>
                    <a:prstGeom prst="rect">
                      <a:avLst/>
                    </a:prstGeom>
                  </pic:spPr>
                </pic:pic>
              </a:graphicData>
            </a:graphic>
          </wp:inline>
        </w:drawing>
      </w: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37" name="图片 37" descr="鄂尔多斯准格尔经济开发区大路产业园规划环评审查意见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鄂尔多斯准格尔经济开发区大路产业园规划环评审查意见_06"/>
                    <pic:cNvPicPr>
                      <a:picLocks noChangeAspect="1"/>
                    </pic:cNvPicPr>
                  </pic:nvPicPr>
                  <pic:blipFill>
                    <a:blip r:embed="rId47"/>
                    <a:stretch>
                      <a:fillRect/>
                    </a:stretch>
                  </pic:blipFill>
                  <pic:spPr>
                    <a:xfrm>
                      <a:off x="0" y="0"/>
                      <a:ext cx="5593080" cy="7910195"/>
                    </a:xfrm>
                    <a:prstGeom prst="rect">
                      <a:avLst/>
                    </a:prstGeom>
                  </pic:spPr>
                </pic:pic>
              </a:graphicData>
            </a:graphic>
          </wp:inline>
        </w:drawing>
      </w:r>
      <w:r>
        <w:rPr>
          <w:rFonts w:hint="eastAsia" w:ascii="Times New Roman" w:hAnsi="Times New Roman" w:eastAsia="宋体"/>
          <w:b/>
          <w:bCs/>
          <w:snapToGrid w:val="0"/>
          <w:sz w:val="28"/>
          <w:szCs w:val="28"/>
          <w:lang w:val="en-US" w:eastAsia="zh-CN"/>
        </w:rPr>
        <w:drawing>
          <wp:inline distT="0" distB="0" distL="114300" distR="114300">
            <wp:extent cx="5593080" cy="7910195"/>
            <wp:effectExtent l="0" t="0" r="7620" b="14605"/>
            <wp:docPr id="40" name="图片 40" descr="鄂尔多斯准格尔经济开发区大路产业园规划环评审查意见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鄂尔多斯准格尔经济开发区大路产业园规划环评审查意见_07"/>
                    <pic:cNvPicPr>
                      <a:picLocks noChangeAspect="1"/>
                    </pic:cNvPicPr>
                  </pic:nvPicPr>
                  <pic:blipFill>
                    <a:blip r:embed="rId48"/>
                    <a:stretch>
                      <a:fillRect/>
                    </a:stretch>
                  </pic:blipFill>
                  <pic:spPr>
                    <a:xfrm>
                      <a:off x="0" y="0"/>
                      <a:ext cx="5593080" cy="7910195"/>
                    </a:xfrm>
                    <a:prstGeom prst="rect">
                      <a:avLst/>
                    </a:prstGeom>
                  </pic:spPr>
                </pic:pic>
              </a:graphicData>
            </a:graphic>
          </wp:inline>
        </w:drawing>
      </w:r>
    </w:p>
    <w:p w14:paraId="7D3ECF3F">
      <w:pPr>
        <w:pStyle w:val="19"/>
        <w:adjustRightInd w:val="0"/>
        <w:snapToGrid w:val="0"/>
        <w:spacing w:before="0" w:beforeAutospacing="0" w:after="0" w:afterAutospacing="0"/>
        <w:rPr>
          <w:rFonts w:hint="eastAsia" w:ascii="Times New Roman" w:hAnsi="Times New Roman" w:eastAsia="宋体"/>
          <w:b/>
          <w:bCs/>
          <w:snapToGrid w:val="0"/>
          <w:sz w:val="28"/>
          <w:szCs w:val="28"/>
          <w:lang w:eastAsia="zh-CN"/>
        </w:rPr>
      </w:pPr>
      <w:r>
        <w:rPr>
          <w:rFonts w:hint="eastAsia" w:ascii="Times New Roman" w:hAnsi="Times New Roman" w:eastAsia="宋体"/>
          <w:b/>
          <w:bCs/>
          <w:snapToGrid w:val="0"/>
          <w:sz w:val="28"/>
          <w:szCs w:val="28"/>
          <w:lang w:eastAsia="zh-CN"/>
        </w:rPr>
        <w:drawing>
          <wp:inline distT="0" distB="0" distL="114300" distR="114300">
            <wp:extent cx="5593080" cy="7910195"/>
            <wp:effectExtent l="0" t="0" r="7620" b="14605"/>
            <wp:docPr id="39" name="图片 39" descr="鄂尔多斯准格尔经济开发区大路产业园规划环评审查意见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鄂尔多斯准格尔经济开发区大路产业园规划环评审查意见_08"/>
                    <pic:cNvPicPr>
                      <a:picLocks noChangeAspect="1"/>
                    </pic:cNvPicPr>
                  </pic:nvPicPr>
                  <pic:blipFill>
                    <a:blip r:embed="rId49"/>
                    <a:stretch>
                      <a:fillRect/>
                    </a:stretch>
                  </pic:blipFill>
                  <pic:spPr>
                    <a:xfrm>
                      <a:off x="0" y="0"/>
                      <a:ext cx="5593080" cy="7910195"/>
                    </a:xfrm>
                    <a:prstGeom prst="rect">
                      <a:avLst/>
                    </a:prstGeom>
                  </pic:spPr>
                </pic:pic>
              </a:graphicData>
            </a:graphic>
          </wp:inline>
        </w:drawing>
      </w:r>
    </w:p>
    <w:p w14:paraId="6DA1AFC6">
      <w:pPr>
        <w:pStyle w:val="19"/>
        <w:adjustRightInd w:val="0"/>
        <w:snapToGrid w:val="0"/>
        <w:spacing w:before="0" w:beforeAutospacing="0" w:after="0" w:afterAutospacing="0"/>
        <w:rPr>
          <w:rFonts w:ascii="Times New Roman" w:hAnsi="Times New Roman"/>
          <w:b/>
          <w:bCs/>
          <w:snapToGrid w:val="0"/>
          <w:sz w:val="28"/>
          <w:szCs w:val="28"/>
        </w:rPr>
      </w:pPr>
    </w:p>
    <w:p w14:paraId="6EE143ED">
      <w:pPr>
        <w:pStyle w:val="19"/>
        <w:adjustRightInd w:val="0"/>
        <w:snapToGrid w:val="0"/>
        <w:spacing w:before="0" w:beforeAutospacing="0" w:after="0" w:afterAutospacing="0"/>
        <w:rPr>
          <w:rFonts w:ascii="Times New Roman" w:hAnsi="Times New Roman"/>
          <w:b/>
          <w:bCs/>
          <w:snapToGrid w:val="0"/>
          <w:sz w:val="28"/>
          <w:szCs w:val="28"/>
        </w:rPr>
      </w:pPr>
    </w:p>
    <w:p w14:paraId="32CA6EE3">
      <w:pPr>
        <w:pStyle w:val="2"/>
        <w:spacing w:before="0" w:after="0" w:line="240" w:lineRule="auto"/>
        <w:ind w:left="0" w:firstLine="0"/>
        <w:rPr>
          <w:rFonts w:hint="eastAsia" w:eastAsia="宋体"/>
          <w:sz w:val="28"/>
          <w:szCs w:val="28"/>
          <w:lang w:val="en-US" w:eastAsia="zh-CN"/>
        </w:rPr>
      </w:pPr>
      <w:r>
        <w:rPr>
          <w:rFonts w:hint="eastAsia" w:eastAsia="宋体"/>
          <w:sz w:val="28"/>
          <w:szCs w:val="28"/>
          <w:lang w:val="en-US" w:eastAsia="zh-CN"/>
        </w:rPr>
        <w:t>附件4 文物调查复函</w:t>
      </w:r>
    </w:p>
    <w:p w14:paraId="66264957">
      <w:pPr>
        <w:rPr>
          <w:rFonts w:hint="default"/>
          <w:lang w:val="en-US" w:eastAsia="zh-CN"/>
        </w:rPr>
      </w:pPr>
      <w:r>
        <w:drawing>
          <wp:inline distT="0" distB="0" distL="114300" distR="114300">
            <wp:extent cx="5395595" cy="7827645"/>
            <wp:effectExtent l="0" t="0" r="14605" b="1905"/>
            <wp:docPr id="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
                    <pic:cNvPicPr>
                      <a:picLocks noChangeAspect="1"/>
                    </pic:cNvPicPr>
                  </pic:nvPicPr>
                  <pic:blipFill>
                    <a:blip r:embed="rId50"/>
                    <a:stretch>
                      <a:fillRect/>
                    </a:stretch>
                  </pic:blipFill>
                  <pic:spPr>
                    <a:xfrm>
                      <a:off x="0" y="0"/>
                      <a:ext cx="5395595" cy="7827645"/>
                    </a:xfrm>
                    <a:prstGeom prst="rect">
                      <a:avLst/>
                    </a:prstGeom>
                    <a:noFill/>
                    <a:ln>
                      <a:noFill/>
                    </a:ln>
                  </pic:spPr>
                </pic:pic>
              </a:graphicData>
            </a:graphic>
          </wp:inline>
        </w:drawing>
      </w:r>
    </w:p>
    <w:p w14:paraId="4776C40E">
      <w:pPr>
        <w:rPr>
          <w:rFonts w:hint="default"/>
          <w:lang w:val="en-US" w:eastAsia="zh-CN"/>
        </w:rPr>
      </w:pPr>
      <w:r>
        <w:drawing>
          <wp:inline distT="0" distB="0" distL="114300" distR="114300">
            <wp:extent cx="5751830" cy="8119745"/>
            <wp:effectExtent l="0" t="0" r="1270" b="14605"/>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51"/>
                    <a:stretch>
                      <a:fillRect/>
                    </a:stretch>
                  </pic:blipFill>
                  <pic:spPr>
                    <a:xfrm>
                      <a:off x="0" y="0"/>
                      <a:ext cx="5751830" cy="8119745"/>
                    </a:xfrm>
                    <a:prstGeom prst="rect">
                      <a:avLst/>
                    </a:prstGeom>
                    <a:noFill/>
                    <a:ln>
                      <a:noFill/>
                    </a:ln>
                  </pic:spPr>
                </pic:pic>
              </a:graphicData>
            </a:graphic>
          </wp:inline>
        </w:drawing>
      </w:r>
    </w:p>
    <w:p w14:paraId="0B4D8066"/>
    <w:p w14:paraId="0D4BD8BC"/>
    <w:p w14:paraId="27D45211"/>
    <w:p w14:paraId="22495AA6">
      <w:pPr>
        <w:pStyle w:val="2"/>
        <w:spacing w:before="0" w:after="0" w:line="240" w:lineRule="auto"/>
        <w:ind w:left="0" w:firstLine="0"/>
        <w:rPr>
          <w:rFonts w:hint="eastAsia" w:eastAsia="宋体"/>
          <w:sz w:val="28"/>
          <w:szCs w:val="28"/>
          <w:lang w:val="en-US" w:eastAsia="zh-CN"/>
        </w:rPr>
      </w:pPr>
      <w:r>
        <w:rPr>
          <w:rFonts w:hint="eastAsia" w:eastAsia="宋体"/>
          <w:sz w:val="28"/>
          <w:szCs w:val="28"/>
          <w:lang w:val="en-US" w:eastAsia="zh-CN"/>
        </w:rPr>
        <w:t>附件5 厂房租赁合同</w:t>
      </w:r>
    </w:p>
    <w:p w14:paraId="2D2474CD">
      <w:pPr>
        <w:rPr>
          <w:rFonts w:hint="default" w:eastAsia="宋体"/>
          <w:sz w:val="28"/>
          <w:szCs w:val="28"/>
          <w:lang w:val="en-US" w:eastAsia="zh-CN"/>
        </w:rPr>
        <w:sectPr>
          <w:footerReference r:id="rId10" w:type="default"/>
          <w:pgSz w:w="11906" w:h="16838"/>
          <w:pgMar w:top="1134" w:right="1531" w:bottom="1701" w:left="1531" w:header="851" w:footer="851" w:gutter="0"/>
          <w:cols w:space="720" w:num="1"/>
          <w:docGrid w:linePitch="312" w:charSpace="0"/>
        </w:sectPr>
      </w:pPr>
      <w:r>
        <w:rPr>
          <w:rFonts w:hint="default" w:eastAsia="宋体"/>
          <w:sz w:val="28"/>
          <w:szCs w:val="28"/>
          <w:lang w:val="en-US" w:eastAsia="zh-CN"/>
        </w:rPr>
        <w:drawing>
          <wp:inline distT="0" distB="0" distL="114300" distR="114300">
            <wp:extent cx="5591175" cy="7914005"/>
            <wp:effectExtent l="0" t="0" r="9525" b="10795"/>
            <wp:docPr id="26" name="图片 26" descr="厂房租赁合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厂房租赁合同_01"/>
                    <pic:cNvPicPr>
                      <a:picLocks noChangeAspect="1"/>
                    </pic:cNvPicPr>
                  </pic:nvPicPr>
                  <pic:blipFill>
                    <a:blip r:embed="rId52"/>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27" name="图片 27" descr="厂房租赁合同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厂房租赁合同_02"/>
                    <pic:cNvPicPr>
                      <a:picLocks noChangeAspect="1"/>
                    </pic:cNvPicPr>
                  </pic:nvPicPr>
                  <pic:blipFill>
                    <a:blip r:embed="rId53"/>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28" name="图片 28" descr="厂房租赁合同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厂房租赁合同_03"/>
                    <pic:cNvPicPr>
                      <a:picLocks noChangeAspect="1"/>
                    </pic:cNvPicPr>
                  </pic:nvPicPr>
                  <pic:blipFill>
                    <a:blip r:embed="rId54"/>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29" name="图片 29" descr="厂房租赁合同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厂房租赁合同_04"/>
                    <pic:cNvPicPr>
                      <a:picLocks noChangeAspect="1"/>
                    </pic:cNvPicPr>
                  </pic:nvPicPr>
                  <pic:blipFill>
                    <a:blip r:embed="rId55"/>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30" name="图片 30" descr="厂房租赁合同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厂房租赁合同_05"/>
                    <pic:cNvPicPr>
                      <a:picLocks noChangeAspect="1"/>
                    </pic:cNvPicPr>
                  </pic:nvPicPr>
                  <pic:blipFill>
                    <a:blip r:embed="rId56"/>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31" name="图片 31" descr="厂房租赁合同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厂房租赁合同_06"/>
                    <pic:cNvPicPr>
                      <a:picLocks noChangeAspect="1"/>
                    </pic:cNvPicPr>
                  </pic:nvPicPr>
                  <pic:blipFill>
                    <a:blip r:embed="rId57"/>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32" name="图片 32" descr="厂房租赁合同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厂房租赁合同_07"/>
                    <pic:cNvPicPr>
                      <a:picLocks noChangeAspect="1"/>
                    </pic:cNvPicPr>
                  </pic:nvPicPr>
                  <pic:blipFill>
                    <a:blip r:embed="rId58"/>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42" name="图片 42" descr="厂房租赁合同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厂房租赁合同_08"/>
                    <pic:cNvPicPr>
                      <a:picLocks noChangeAspect="1"/>
                    </pic:cNvPicPr>
                  </pic:nvPicPr>
                  <pic:blipFill>
                    <a:blip r:embed="rId59"/>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43" name="图片 43" descr="厂房租赁合同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厂房租赁合同_09"/>
                    <pic:cNvPicPr>
                      <a:picLocks noChangeAspect="1"/>
                    </pic:cNvPicPr>
                  </pic:nvPicPr>
                  <pic:blipFill>
                    <a:blip r:embed="rId60"/>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48" name="图片 48" descr="厂房租赁合同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厂房租赁合同_10"/>
                    <pic:cNvPicPr>
                      <a:picLocks noChangeAspect="1"/>
                    </pic:cNvPicPr>
                  </pic:nvPicPr>
                  <pic:blipFill>
                    <a:blip r:embed="rId61"/>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49" name="图片 49" descr="厂房租赁合同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厂房租赁合同_11"/>
                    <pic:cNvPicPr>
                      <a:picLocks noChangeAspect="1"/>
                    </pic:cNvPicPr>
                  </pic:nvPicPr>
                  <pic:blipFill>
                    <a:blip r:embed="rId62"/>
                    <a:stretch>
                      <a:fillRect/>
                    </a:stretch>
                  </pic:blipFill>
                  <pic:spPr>
                    <a:xfrm>
                      <a:off x="0" y="0"/>
                      <a:ext cx="5591175" cy="7914005"/>
                    </a:xfrm>
                    <a:prstGeom prst="rect">
                      <a:avLst/>
                    </a:prstGeom>
                  </pic:spPr>
                </pic:pic>
              </a:graphicData>
            </a:graphic>
          </wp:inline>
        </w:drawing>
      </w:r>
      <w:r>
        <w:rPr>
          <w:rFonts w:hint="default" w:eastAsia="宋体"/>
          <w:sz w:val="28"/>
          <w:szCs w:val="28"/>
          <w:lang w:val="en-US" w:eastAsia="zh-CN"/>
        </w:rPr>
        <w:drawing>
          <wp:inline distT="0" distB="0" distL="114300" distR="114300">
            <wp:extent cx="5591175" cy="7914005"/>
            <wp:effectExtent l="0" t="0" r="9525" b="10795"/>
            <wp:docPr id="50" name="图片 50" descr="厂房租赁合同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厂房租赁合同_12"/>
                    <pic:cNvPicPr>
                      <a:picLocks noChangeAspect="1"/>
                    </pic:cNvPicPr>
                  </pic:nvPicPr>
                  <pic:blipFill>
                    <a:blip r:embed="rId63"/>
                    <a:stretch>
                      <a:fillRect/>
                    </a:stretch>
                  </pic:blipFill>
                  <pic:spPr>
                    <a:xfrm>
                      <a:off x="0" y="0"/>
                      <a:ext cx="5591175" cy="7914005"/>
                    </a:xfrm>
                    <a:prstGeom prst="rect">
                      <a:avLst/>
                    </a:prstGeom>
                  </pic:spPr>
                </pic:pic>
              </a:graphicData>
            </a:graphic>
          </wp:inline>
        </w:drawing>
      </w:r>
    </w:p>
    <w:p w14:paraId="70A06383">
      <w:pPr>
        <w:pStyle w:val="2"/>
        <w:spacing w:before="0" w:after="0" w:line="240" w:lineRule="auto"/>
        <w:ind w:left="0" w:firstLine="0"/>
        <w:rPr>
          <w:rFonts w:hint="eastAsia"/>
          <w:sz w:val="28"/>
          <w:szCs w:val="28"/>
          <w:lang w:val="en-US" w:eastAsia="zh-CN"/>
        </w:rPr>
      </w:pPr>
      <w:r>
        <w:rPr>
          <w:rFonts w:hint="eastAsia" w:eastAsia="宋体"/>
          <w:sz w:val="28"/>
          <w:szCs w:val="28"/>
          <w:lang w:val="en-US" w:eastAsia="zh-CN"/>
        </w:rPr>
        <w:t>附图6 引用监测报告</w:t>
      </w:r>
    </w:p>
    <w:p w14:paraId="0CE029C3">
      <w:pPr>
        <w:rPr>
          <w:position w:val="-246"/>
        </w:rPr>
      </w:pPr>
      <w:r>
        <w:rPr>
          <w:position w:val="-242"/>
        </w:rPr>
        <w:drawing>
          <wp:inline distT="0" distB="0" distL="0" distR="0">
            <wp:extent cx="5301615" cy="7697470"/>
            <wp:effectExtent l="0" t="0" r="13335" b="1778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64"/>
                    <a:stretch>
                      <a:fillRect/>
                    </a:stretch>
                  </pic:blipFill>
                  <pic:spPr>
                    <a:xfrm>
                      <a:off x="0" y="0"/>
                      <a:ext cx="5301995" cy="7697723"/>
                    </a:xfrm>
                    <a:prstGeom prst="rect">
                      <a:avLst/>
                    </a:prstGeom>
                  </pic:spPr>
                </pic:pic>
              </a:graphicData>
            </a:graphic>
          </wp:inline>
        </w:drawing>
      </w:r>
      <w:r>
        <w:rPr>
          <w:position w:val="-246"/>
        </w:rPr>
        <w:drawing>
          <wp:inline distT="0" distB="0" distL="0" distR="0">
            <wp:extent cx="5394325" cy="78327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65"/>
                    <a:stretch>
                      <a:fillRect/>
                    </a:stretch>
                  </pic:blipFill>
                  <pic:spPr>
                    <a:xfrm>
                      <a:off x="0" y="0"/>
                      <a:ext cx="5394959" cy="7833359"/>
                    </a:xfrm>
                    <a:prstGeom prst="rect">
                      <a:avLst/>
                    </a:prstGeom>
                  </pic:spPr>
                </pic:pic>
              </a:graphicData>
            </a:graphic>
          </wp:inline>
        </w:drawing>
      </w:r>
    </w:p>
    <w:p w14:paraId="0388F204">
      <w:pPr>
        <w:rPr>
          <w:position w:val="-248"/>
        </w:rPr>
        <w:sectPr>
          <w:pgSz w:w="11906" w:h="16838"/>
          <w:pgMar w:top="1134" w:right="1531" w:bottom="1701" w:left="1531" w:header="851" w:footer="851" w:gutter="0"/>
          <w:cols w:space="720" w:num="1"/>
          <w:docGrid w:linePitch="312" w:charSpace="0"/>
        </w:sectPr>
      </w:pPr>
      <w:r>
        <w:rPr>
          <w:position w:val="-250"/>
        </w:rPr>
        <w:drawing>
          <wp:inline distT="0" distB="0" distL="0" distR="0">
            <wp:extent cx="5478145" cy="7955280"/>
            <wp:effectExtent l="0" t="0" r="8255" b="762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66"/>
                    <a:stretch>
                      <a:fillRect/>
                    </a:stretch>
                  </pic:blipFill>
                  <pic:spPr>
                    <a:xfrm>
                      <a:off x="0" y="0"/>
                      <a:ext cx="5478779" cy="7955280"/>
                    </a:xfrm>
                    <a:prstGeom prst="rect">
                      <a:avLst/>
                    </a:prstGeom>
                  </pic:spPr>
                </pic:pic>
              </a:graphicData>
            </a:graphic>
          </wp:inline>
        </w:drawing>
      </w:r>
      <w:r>
        <w:rPr>
          <w:position w:val="-247"/>
        </w:rPr>
        <w:drawing>
          <wp:inline distT="0" distB="0" distL="0" distR="0">
            <wp:extent cx="5407025" cy="7851140"/>
            <wp:effectExtent l="0" t="0" r="3175" b="1651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67"/>
                    <a:stretch>
                      <a:fillRect/>
                    </a:stretch>
                  </pic:blipFill>
                  <pic:spPr>
                    <a:xfrm>
                      <a:off x="0" y="0"/>
                      <a:ext cx="5407152" cy="7851647"/>
                    </a:xfrm>
                    <a:prstGeom prst="rect">
                      <a:avLst/>
                    </a:prstGeom>
                  </pic:spPr>
                </pic:pic>
              </a:graphicData>
            </a:graphic>
          </wp:inline>
        </w:drawing>
      </w:r>
      <w:r>
        <w:rPr>
          <w:position w:val="-250"/>
        </w:rPr>
        <w:drawing>
          <wp:inline distT="0" distB="0" distL="0" distR="0">
            <wp:extent cx="5476875" cy="7953375"/>
            <wp:effectExtent l="0" t="0" r="9525" b="9525"/>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68"/>
                    <a:stretch>
                      <a:fillRect/>
                    </a:stretch>
                  </pic:blipFill>
                  <pic:spPr>
                    <a:xfrm>
                      <a:off x="0" y="0"/>
                      <a:ext cx="5477255" cy="7953756"/>
                    </a:xfrm>
                    <a:prstGeom prst="rect">
                      <a:avLst/>
                    </a:prstGeom>
                  </pic:spPr>
                </pic:pic>
              </a:graphicData>
            </a:graphic>
          </wp:inline>
        </w:drawing>
      </w:r>
      <w:r>
        <w:rPr>
          <w:position w:val="-243"/>
        </w:rPr>
        <w:drawing>
          <wp:inline distT="0" distB="0" distL="0" distR="0">
            <wp:extent cx="5315585" cy="7717155"/>
            <wp:effectExtent l="0" t="0" r="18415" b="17145"/>
            <wp:docPr id="54" name="IM 90"/>
            <wp:cNvGraphicFramePr/>
            <a:graphic xmlns:a="http://schemas.openxmlformats.org/drawingml/2006/main">
              <a:graphicData uri="http://schemas.openxmlformats.org/drawingml/2006/picture">
                <pic:pic xmlns:pic="http://schemas.openxmlformats.org/drawingml/2006/picture">
                  <pic:nvPicPr>
                    <pic:cNvPr id="54" name="IM 90"/>
                    <pic:cNvPicPr/>
                  </pic:nvPicPr>
                  <pic:blipFill>
                    <a:blip r:embed="rId69"/>
                    <a:stretch>
                      <a:fillRect/>
                    </a:stretch>
                  </pic:blipFill>
                  <pic:spPr>
                    <a:xfrm>
                      <a:off x="0" y="0"/>
                      <a:ext cx="5315711" cy="7717535"/>
                    </a:xfrm>
                    <a:prstGeom prst="rect">
                      <a:avLst/>
                    </a:prstGeom>
                  </pic:spPr>
                </pic:pic>
              </a:graphicData>
            </a:graphic>
          </wp:inline>
        </w:drawing>
      </w:r>
      <w:r>
        <w:rPr>
          <w:position w:val="-248"/>
        </w:rPr>
        <w:drawing>
          <wp:inline distT="0" distB="0" distL="0" distR="0">
            <wp:extent cx="5435600" cy="7892415"/>
            <wp:effectExtent l="0" t="0" r="12700" b="13335"/>
            <wp:docPr id="56" name="IM 92"/>
            <wp:cNvGraphicFramePr/>
            <a:graphic xmlns:a="http://schemas.openxmlformats.org/drawingml/2006/main">
              <a:graphicData uri="http://schemas.openxmlformats.org/drawingml/2006/picture">
                <pic:pic xmlns:pic="http://schemas.openxmlformats.org/drawingml/2006/picture">
                  <pic:nvPicPr>
                    <pic:cNvPr id="56" name="IM 92"/>
                    <pic:cNvPicPr/>
                  </pic:nvPicPr>
                  <pic:blipFill>
                    <a:blip r:embed="rId70"/>
                    <a:stretch>
                      <a:fillRect/>
                    </a:stretch>
                  </pic:blipFill>
                  <pic:spPr>
                    <a:xfrm>
                      <a:off x="0" y="0"/>
                      <a:ext cx="5436108" cy="7892796"/>
                    </a:xfrm>
                    <a:prstGeom prst="rect">
                      <a:avLst/>
                    </a:prstGeom>
                  </pic:spPr>
                </pic:pic>
              </a:graphicData>
            </a:graphic>
          </wp:inline>
        </w:drawing>
      </w:r>
    </w:p>
    <w:p w14:paraId="79F5C339">
      <w:pPr>
        <w:pStyle w:val="2"/>
        <w:spacing w:before="0" w:after="0" w:line="240" w:lineRule="auto"/>
        <w:ind w:left="0" w:firstLine="0"/>
        <w:rPr>
          <w:rFonts w:hint="eastAsia"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附件7 入园协议</w:t>
      </w:r>
    </w:p>
    <w:p w14:paraId="07D02917">
      <w:pPr>
        <w:rPr>
          <w:rFonts w:hint="default"/>
          <w:lang w:val="en-US" w:eastAsia="zh-CN"/>
        </w:rPr>
        <w:sectPr>
          <w:pgSz w:w="11906" w:h="16838"/>
          <w:pgMar w:top="1134" w:right="1531" w:bottom="1701" w:left="1531" w:header="851" w:footer="851" w:gutter="0"/>
          <w:cols w:space="720" w:num="1"/>
          <w:docGrid w:linePitch="312" w:charSpace="0"/>
        </w:sectPr>
      </w:pPr>
      <w:r>
        <w:rPr>
          <w:rFonts w:hint="default"/>
          <w:lang w:val="en-US" w:eastAsia="zh-CN"/>
        </w:rPr>
        <w:drawing>
          <wp:inline distT="0" distB="0" distL="114300" distR="114300">
            <wp:extent cx="5591175" cy="7914005"/>
            <wp:effectExtent l="0" t="0" r="9525" b="10795"/>
            <wp:docPr id="22" name="图片 22" descr="项目入园预审表(审批版)(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项目入园预审表(审批版)(1)_01"/>
                    <pic:cNvPicPr>
                      <a:picLocks noChangeAspect="1"/>
                    </pic:cNvPicPr>
                  </pic:nvPicPr>
                  <pic:blipFill>
                    <a:blip r:embed="rId71"/>
                    <a:stretch>
                      <a:fillRect/>
                    </a:stretch>
                  </pic:blipFill>
                  <pic:spPr>
                    <a:xfrm>
                      <a:off x="0" y="0"/>
                      <a:ext cx="5591175" cy="7914005"/>
                    </a:xfrm>
                    <a:prstGeom prst="rect">
                      <a:avLst/>
                    </a:prstGeom>
                  </pic:spPr>
                </pic:pic>
              </a:graphicData>
            </a:graphic>
          </wp:inline>
        </w:drawing>
      </w:r>
      <w:r>
        <w:rPr>
          <w:rFonts w:hint="default"/>
          <w:lang w:val="en-US" w:eastAsia="zh-CN"/>
        </w:rPr>
        <w:drawing>
          <wp:inline distT="0" distB="0" distL="114300" distR="114300">
            <wp:extent cx="5591175" cy="7914005"/>
            <wp:effectExtent l="0" t="0" r="9525" b="10795"/>
            <wp:docPr id="46" name="图片 46" descr="项目入园预审表(审批版)(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项目入园预审表(审批版)(1)_02"/>
                    <pic:cNvPicPr>
                      <a:picLocks noChangeAspect="1"/>
                    </pic:cNvPicPr>
                  </pic:nvPicPr>
                  <pic:blipFill>
                    <a:blip r:embed="rId72"/>
                    <a:stretch>
                      <a:fillRect/>
                    </a:stretch>
                  </pic:blipFill>
                  <pic:spPr>
                    <a:xfrm>
                      <a:off x="0" y="0"/>
                      <a:ext cx="5591175" cy="7914005"/>
                    </a:xfrm>
                    <a:prstGeom prst="rect">
                      <a:avLst/>
                    </a:prstGeom>
                  </pic:spPr>
                </pic:pic>
              </a:graphicData>
            </a:graphic>
          </wp:inline>
        </w:drawing>
      </w:r>
      <w:r>
        <w:rPr>
          <w:rFonts w:hint="default"/>
          <w:lang w:val="en-US" w:eastAsia="zh-CN"/>
        </w:rPr>
        <w:drawing>
          <wp:inline distT="0" distB="0" distL="114300" distR="114300">
            <wp:extent cx="5591175" cy="7914005"/>
            <wp:effectExtent l="0" t="0" r="9525" b="10795"/>
            <wp:docPr id="47" name="图片 47" descr="项目入园预审表(审批版)(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项目入园预审表(审批版)(1)_02"/>
                    <pic:cNvPicPr>
                      <a:picLocks noChangeAspect="1"/>
                    </pic:cNvPicPr>
                  </pic:nvPicPr>
                  <pic:blipFill>
                    <a:blip r:embed="rId72"/>
                    <a:stretch>
                      <a:fillRect/>
                    </a:stretch>
                  </pic:blipFill>
                  <pic:spPr>
                    <a:xfrm>
                      <a:off x="0" y="0"/>
                      <a:ext cx="5591175" cy="7914005"/>
                    </a:xfrm>
                    <a:prstGeom prst="rect">
                      <a:avLst/>
                    </a:prstGeom>
                  </pic:spPr>
                </pic:pic>
              </a:graphicData>
            </a:graphic>
          </wp:inline>
        </w:drawing>
      </w:r>
      <w:r>
        <w:rPr>
          <w:rFonts w:hint="default"/>
          <w:lang w:val="en-US" w:eastAsia="zh-CN"/>
        </w:rPr>
        <w:drawing>
          <wp:inline distT="0" distB="0" distL="114300" distR="114300">
            <wp:extent cx="5591175" cy="7914005"/>
            <wp:effectExtent l="0" t="0" r="9525" b="10795"/>
            <wp:docPr id="51" name="图片 51" descr="项目入园预审表(审批版)(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项目入园预审表(审批版)(1)_04"/>
                    <pic:cNvPicPr>
                      <a:picLocks noChangeAspect="1"/>
                    </pic:cNvPicPr>
                  </pic:nvPicPr>
                  <pic:blipFill>
                    <a:blip r:embed="rId73"/>
                    <a:stretch>
                      <a:fillRect/>
                    </a:stretch>
                  </pic:blipFill>
                  <pic:spPr>
                    <a:xfrm>
                      <a:off x="0" y="0"/>
                      <a:ext cx="5591175" cy="7914005"/>
                    </a:xfrm>
                    <a:prstGeom prst="rect">
                      <a:avLst/>
                    </a:prstGeom>
                  </pic:spPr>
                </pic:pic>
              </a:graphicData>
            </a:graphic>
          </wp:inline>
        </w:drawing>
      </w:r>
    </w:p>
    <w:p w14:paraId="29FFF378">
      <w:pPr>
        <w:pStyle w:val="2"/>
        <w:spacing w:before="0" w:after="0" w:line="240" w:lineRule="auto"/>
        <w:ind w:left="0" w:firstLine="0"/>
        <w:rPr>
          <w:rFonts w:hint="eastAsia" w:eastAsia="宋体" w:cs="Times New Roman"/>
          <w:sz w:val="28"/>
          <w:szCs w:val="28"/>
          <w:lang w:val="en-US" w:eastAsia="zh-CN"/>
        </w:rPr>
      </w:pPr>
      <w:r>
        <w:rPr>
          <w:rFonts w:hint="eastAsia" w:ascii="Times New Roman" w:hAnsi="Times New Roman" w:eastAsia="宋体" w:cs="Times New Roman"/>
          <w:sz w:val="28"/>
          <w:szCs w:val="28"/>
          <w:lang w:val="en-US" w:eastAsia="zh-CN"/>
        </w:rPr>
        <w:t>附图8</w:t>
      </w:r>
      <w:r>
        <w:rPr>
          <w:rFonts w:hint="eastAsia" w:eastAsia="宋体" w:cs="Times New Roman"/>
          <w:sz w:val="28"/>
          <w:szCs w:val="28"/>
          <w:lang w:val="en-US" w:eastAsia="zh-CN"/>
        </w:rPr>
        <w:t xml:space="preserve"> 总量文件</w:t>
      </w:r>
    </w:p>
    <w:p w14:paraId="3678B244">
      <w:pPr>
        <w:rPr>
          <w:rFonts w:hint="default"/>
          <w:lang w:val="en-US" w:eastAsia="zh-CN"/>
        </w:rPr>
      </w:pPr>
      <w:r>
        <w:rPr>
          <w:rFonts w:hint="default"/>
          <w:lang w:val="en-US" w:eastAsia="zh-CN"/>
        </w:rPr>
        <w:drawing>
          <wp:inline distT="0" distB="0" distL="114300" distR="114300">
            <wp:extent cx="5591175" cy="7903210"/>
            <wp:effectExtent l="0" t="0" r="9525" b="2540"/>
            <wp:docPr id="7" name="图片 7" descr="鄂尔多斯市生态环境局关于内蒙古锦泽鑫管业有限公司年产120万米环氧玻璃纤维高压管道建设项目大气主要污染物排放总量指标确认意见的函（ 鄂环气字〔2026〕46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鄂尔多斯市生态环境局关于内蒙古锦泽鑫管业有限公司年产120万米环氧玻璃纤维高压管道建设项目大气主要污染物排放总量指标确认意见的函（ 鄂环气字〔2026〕46号）_01"/>
                    <pic:cNvPicPr>
                      <a:picLocks noChangeAspect="1"/>
                    </pic:cNvPicPr>
                  </pic:nvPicPr>
                  <pic:blipFill>
                    <a:blip r:embed="rId74"/>
                    <a:stretch>
                      <a:fillRect/>
                    </a:stretch>
                  </pic:blipFill>
                  <pic:spPr>
                    <a:xfrm>
                      <a:off x="0" y="0"/>
                      <a:ext cx="5591175" cy="7903210"/>
                    </a:xfrm>
                    <a:prstGeom prst="rect">
                      <a:avLst/>
                    </a:prstGeom>
                  </pic:spPr>
                </pic:pic>
              </a:graphicData>
            </a:graphic>
          </wp:inline>
        </w:drawing>
      </w:r>
    </w:p>
    <w:p w14:paraId="7E875135">
      <w:pPr>
        <w:rPr>
          <w:rFonts w:hint="default"/>
          <w:lang w:val="en-US" w:eastAsia="zh-CN"/>
        </w:rPr>
      </w:pPr>
    </w:p>
    <w:sectPr>
      <w:pgSz w:w="11906" w:h="16838"/>
      <w:pgMar w:top="1134" w:right="1531" w:bottom="1701" w:left="153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utura Bk">
    <w:altName w:val="Times New Roman"/>
    <w:panose1 w:val="00000000000000000000"/>
    <w:charset w:val="00"/>
    <w:family w:val="auto"/>
    <w:pitch w:val="default"/>
    <w:sig w:usb0="00000000" w:usb1="00000000" w:usb2="00000000" w:usb3="00000000" w:csb0="00040001" w:csb1="00000000"/>
  </w:font>
  <w:font w:name="新宋体-18030">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6632F">
    <w:pPr>
      <w:pStyle w:val="1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5835A">
    <w:pPr>
      <w:pStyle w:val="14"/>
      <w:ind w:right="360" w:firstLine="360"/>
      <w:jc w:val="center"/>
      <w:rPr>
        <w:sz w:val="24"/>
        <w:szCs w:val="24"/>
      </w:rPr>
    </w:pPr>
    <w:r>
      <w:rPr>
        <w:sz w:val="24"/>
        <w:szCs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74E5C2">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2874E5C2">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77FDF">
    <w:pPr>
      <w:pStyle w:val="14"/>
      <w:tabs>
        <w:tab w:val="center" w:pos="4482"/>
        <w:tab w:val="left" w:pos="6029"/>
      </w:tabs>
      <w:ind w:right="360" w:firstLine="360"/>
      <w:jc w:val="left"/>
    </w:pPr>
    <w:r>
      <mc:AlternateContent>
        <mc:Choice Requires="wps">
          <w:drawing>
            <wp:anchor distT="0" distB="0" distL="114300" distR="114300" simplePos="0" relativeHeight="251669504" behindDoc="0" locked="0" layoutInCell="1" allowOverlap="1">
              <wp:simplePos x="0" y="0"/>
              <wp:positionH relativeFrom="margin">
                <wp:posOffset>2675890</wp:posOffset>
              </wp:positionH>
              <wp:positionV relativeFrom="paragraph">
                <wp:posOffset>-213995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2736E4">
                          <w:pPr>
                            <w:pStyle w:val="1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0.7pt;margin-top:-16.85pt;height:144pt;width:144pt;mso-position-horizontal-relative:margin;mso-wrap-style:none;z-index:251669504;mso-width-relative:page;mso-height-relative:page;" filled="f" stroked="f" coordsize="21600,21600" o:gfxdata="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bbSKc2QAAAAsBAAAPAAAAAAAAAAEAIAAAACIAAABkcnMvZG93bnJldi54bWxQSwEC&#10;FAAUAAAACACHTuJAMgsizCwCAABXBAAADgAAAAAAAAABACAAAAAoAQAAZHJzL2Uyb0RvYy54bWxQ&#10;SwUGAAAAAAYABgBZAQAAxgUAAAAA&#10;">
              <v:fill on="f" focussize="0,0"/>
              <v:stroke on="f" weight="0.5pt"/>
              <v:imagedata o:title=""/>
              <o:lock v:ext="edit" aspectratio="f"/>
              <v:textbox inset="0mm,0mm,0mm,0mm" style="mso-fit-shape-to-text:t;">
                <w:txbxContent>
                  <w:p w14:paraId="532736E4">
                    <w:pPr>
                      <w:pStyle w:val="14"/>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68A52">
    <w:pPr>
      <w:pStyle w:val="14"/>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3FB12">
                          <w:pPr>
                            <w:pStyle w:val="14"/>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1Ob0EtAgAAV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1Ob0EtAgAAVwQAAA4AAAAAAAAAAQAgAAAAHwEAAGRycy9lMm9Eb2MueG1sUEsFBgAAAAAG&#10;AAYAWQEAAL4FAAAAAA==&#10;">
              <v:fill on="f" focussize="0,0"/>
              <v:stroke on="f" weight="0.5pt"/>
              <v:imagedata o:title=""/>
              <o:lock v:ext="edit" aspectratio="f"/>
              <v:textbox inset="0mm,0mm,0mm,0mm" style="mso-fit-shape-to-text:t;">
                <w:txbxContent>
                  <w:p w14:paraId="7B23FB12">
                    <w:pPr>
                      <w:pStyle w:val="14"/>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431E3">
    <w:pPr>
      <w:pStyle w:val="14"/>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081F3">
                          <w:pPr>
                            <w:pStyle w:val="14"/>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qU6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UalOoKwIAAFcEAAAOAAAAAAAAAAEAIAAAAB8BAABkcnMvZTJvRG9jLnhtbFBLBQYAAAAABgAG&#10;AFkBAAC8BQAAAAA=&#10;">
              <v:fill on="f" focussize="0,0"/>
              <v:stroke on="f" weight="0.5pt"/>
              <v:imagedata o:title=""/>
              <o:lock v:ext="edit" aspectratio="f"/>
              <v:textbox inset="0mm,0mm,0mm,0mm" style="mso-fit-shape-to-text:t;">
                <w:txbxContent>
                  <w:p w14:paraId="469081F3">
                    <w:pPr>
                      <w:pStyle w:val="14"/>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3BD00">
    <w:pPr>
      <w:pStyle w:val="14"/>
      <w:ind w:right="360" w:firstLine="36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37B27">
                          <w:pPr>
                            <w:pStyle w:val="14"/>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MmrI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oUQzhYqffnw/&#10;/Xw4/fpGcAaBWutniLu3iAzdO9OhbYZzj8PIu6ucil8wIvBD3uNFXtEFwuOl6WQ6zeHi8A0b4GeP&#10;163z4b0wikSjoA71S7Kyw8aHPnQIidm0WTdSphpKTVqQeP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YyasiwCAABXBAAADgAAAAAAAAABACAAAAAfAQAAZHJzL2Uyb0RvYy54bWxQSwUGAAAAAAYA&#10;BgBZAQAAvQUAAAAA&#10;">
              <v:fill on="f" focussize="0,0"/>
              <v:stroke on="f" weight="0.5pt"/>
              <v:imagedata o:title=""/>
              <o:lock v:ext="edit" aspectratio="f"/>
              <v:textbox inset="0mm,0mm,0mm,0mm" style="mso-fit-shape-to-text:t;">
                <w:txbxContent>
                  <w:p w14:paraId="20937B27">
                    <w:pPr>
                      <w:pStyle w:val="14"/>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F3A69">
    <w:pPr>
      <w:pStyle w:val="14"/>
      <w:ind w:right="360" w:firstLine="36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A86BE5">
                          <w:pPr>
                            <w:pStyle w:val="14"/>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6DA86BE5">
                    <w:pPr>
                      <w:pStyle w:val="14"/>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FEE51">
    <w:pPr>
      <w:pStyle w:val="14"/>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5D34C0">
                          <w:pPr>
                            <w:pStyle w:val="14"/>
                          </w:pPr>
                          <w:r>
                            <w:fldChar w:fldCharType="begin"/>
                          </w:r>
                          <w:r>
                            <w:instrText xml:space="preserve"> PAGE  \* MERGEFORMAT </w:instrText>
                          </w:r>
                          <w:r>
                            <w:fldChar w:fldCharType="separate"/>
                          </w:r>
                          <w:r>
                            <w:t>120</w:t>
                          </w:r>
                          <w:r>
                            <w:fldChar w:fldCharType="end"/>
                          </w:r>
                        </w:p>
                      </w:txbxContent>
                    </wps:txbx>
                    <wps:bodyPr vert="horz" wrap="none" lIns="0" tIns="0" rIns="0" bIns="0" anchor="t" anchorCtr="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lH6oQ2wEAALYDAAAOAAAAAAAAAAEA&#10;IAAAAB4BAABkcnMvZTJvRG9jLnhtbFBLBQYAAAAABgAGAFkBAABrBQAAAAA=&#10;">
              <v:fill on="f" focussize="0,0"/>
              <v:stroke on="f"/>
              <v:imagedata o:title=""/>
              <o:lock v:ext="edit" aspectratio="f"/>
              <v:textbox inset="0mm,0mm,0mm,0mm" style="mso-fit-shape-to-text:t;">
                <w:txbxContent>
                  <w:p w14:paraId="425D34C0">
                    <w:pPr>
                      <w:pStyle w:val="14"/>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3027F"/>
    <w:multiLevelType w:val="singleLevel"/>
    <w:tmpl w:val="A723027F"/>
    <w:lvl w:ilvl="0" w:tentative="0">
      <w:start w:val="1"/>
      <w:numFmt w:val="decimal"/>
      <w:suff w:val="nothing"/>
      <w:lvlText w:val="（%1）"/>
      <w:lvlJc w:val="left"/>
    </w:lvl>
  </w:abstractNum>
  <w:abstractNum w:abstractNumId="1">
    <w:nsid w:val="C88E8C0B"/>
    <w:multiLevelType w:val="singleLevel"/>
    <w:tmpl w:val="C88E8C0B"/>
    <w:lvl w:ilvl="0" w:tentative="0">
      <w:start w:val="4"/>
      <w:numFmt w:val="chineseCounting"/>
      <w:suff w:val="nothing"/>
      <w:lvlText w:val="%1、"/>
      <w:lvlJc w:val="left"/>
      <w:rPr>
        <w:rFonts w:hint="eastAsia"/>
      </w:rPr>
    </w:lvl>
  </w:abstractNum>
  <w:abstractNum w:abstractNumId="2">
    <w:nsid w:val="CCC4D5A8"/>
    <w:multiLevelType w:val="singleLevel"/>
    <w:tmpl w:val="CCC4D5A8"/>
    <w:lvl w:ilvl="0" w:tentative="0">
      <w:start w:val="1"/>
      <w:numFmt w:val="decimal"/>
      <w:suff w:val="nothing"/>
      <w:lvlText w:val="%1、"/>
      <w:lvlJc w:val="left"/>
      <w:rPr>
        <w:rFonts w:hint="default"/>
        <w:sz w:val="24"/>
        <w:szCs w:val="24"/>
      </w:rPr>
    </w:lvl>
  </w:abstractNum>
  <w:abstractNum w:abstractNumId="3">
    <w:nsid w:val="DB6BDC7F"/>
    <w:multiLevelType w:val="singleLevel"/>
    <w:tmpl w:val="DB6BDC7F"/>
    <w:lvl w:ilvl="0" w:tentative="0">
      <w:start w:val="1"/>
      <w:numFmt w:val="decimal"/>
      <w:suff w:val="nothing"/>
      <w:lvlText w:val="%1、"/>
      <w:lvlJc w:val="left"/>
    </w:lvl>
  </w:abstractNum>
  <w:abstractNum w:abstractNumId="4">
    <w:nsid w:val="F98B7C0F"/>
    <w:multiLevelType w:val="singleLevel"/>
    <w:tmpl w:val="F98B7C0F"/>
    <w:lvl w:ilvl="0" w:tentative="0">
      <w:start w:val="4"/>
      <w:numFmt w:val="decimal"/>
      <w:suff w:val="nothing"/>
      <w:lvlText w:val="%1、"/>
      <w:lvlJc w:val="left"/>
    </w:lvl>
  </w:abstractNum>
  <w:abstractNum w:abstractNumId="5">
    <w:nsid w:val="1BC82EF0"/>
    <w:multiLevelType w:val="singleLevel"/>
    <w:tmpl w:val="1BC82EF0"/>
    <w:lvl w:ilvl="0" w:tentative="0">
      <w:start w:val="1"/>
      <w:numFmt w:val="chineseCounting"/>
      <w:suff w:val="nothing"/>
      <w:lvlText w:val="%1、"/>
      <w:lvlJc w:val="left"/>
      <w:rPr>
        <w:rFonts w:hint="eastAsia"/>
      </w:rPr>
    </w:lvl>
  </w:abstractNum>
  <w:abstractNum w:abstractNumId="6">
    <w:nsid w:val="247015AF"/>
    <w:multiLevelType w:val="singleLevel"/>
    <w:tmpl w:val="247015AF"/>
    <w:lvl w:ilvl="0" w:tentative="0">
      <w:start w:val="1"/>
      <w:numFmt w:val="decimal"/>
      <w:suff w:val="nothing"/>
      <w:lvlText w:val="（%1）"/>
      <w:lvlJc w:val="left"/>
    </w:lvl>
  </w:abstractNum>
  <w:abstractNum w:abstractNumId="7">
    <w:nsid w:val="4D616796"/>
    <w:multiLevelType w:val="singleLevel"/>
    <w:tmpl w:val="4D616796"/>
    <w:lvl w:ilvl="0" w:tentative="0">
      <w:start w:val="1"/>
      <w:numFmt w:val="decimal"/>
      <w:suff w:val="nothing"/>
      <w:lvlText w:val="（%1）"/>
      <w:lvlJc w:val="left"/>
    </w:lvl>
  </w:abstractNum>
  <w:abstractNum w:abstractNumId="8">
    <w:nsid w:val="4FCADBB3"/>
    <w:multiLevelType w:val="singleLevel"/>
    <w:tmpl w:val="4FCADBB3"/>
    <w:lvl w:ilvl="0" w:tentative="0">
      <w:start w:val="1"/>
      <w:numFmt w:val="decimal"/>
      <w:suff w:val="nothing"/>
      <w:lvlText w:val="%1、"/>
      <w:lvlJc w:val="left"/>
    </w:lvl>
  </w:abstractNum>
  <w:abstractNum w:abstractNumId="9">
    <w:nsid w:val="51CCAD74"/>
    <w:multiLevelType w:val="singleLevel"/>
    <w:tmpl w:val="51CCAD74"/>
    <w:lvl w:ilvl="0" w:tentative="0">
      <w:start w:val="1"/>
      <w:numFmt w:val="decimal"/>
      <w:suff w:val="nothing"/>
      <w:lvlText w:val="（%1）"/>
      <w:lvlJc w:val="left"/>
    </w:lvl>
  </w:abstractNum>
  <w:abstractNum w:abstractNumId="10">
    <w:nsid w:val="568CF6EF"/>
    <w:multiLevelType w:val="singleLevel"/>
    <w:tmpl w:val="568CF6EF"/>
    <w:lvl w:ilvl="0" w:tentative="0">
      <w:start w:val="5"/>
      <w:numFmt w:val="chineseCounting"/>
      <w:suff w:val="nothing"/>
      <w:lvlText w:val="%1、"/>
      <w:lvlJc w:val="left"/>
      <w:rPr>
        <w:rFonts w:hint="eastAsia"/>
      </w:rPr>
    </w:lvl>
  </w:abstractNum>
  <w:abstractNum w:abstractNumId="11">
    <w:nsid w:val="5A12A729"/>
    <w:multiLevelType w:val="singleLevel"/>
    <w:tmpl w:val="5A12A729"/>
    <w:lvl w:ilvl="0" w:tentative="0">
      <w:start w:val="1"/>
      <w:numFmt w:val="decimal"/>
      <w:suff w:val="nothing"/>
      <w:lvlText w:val="%1、"/>
      <w:lvlJc w:val="left"/>
    </w:lvl>
  </w:abstractNum>
  <w:num w:numId="1">
    <w:abstractNumId w:val="8"/>
  </w:num>
  <w:num w:numId="2">
    <w:abstractNumId w:val="7"/>
  </w:num>
  <w:num w:numId="3">
    <w:abstractNumId w:val="4"/>
  </w:num>
  <w:num w:numId="4">
    <w:abstractNumId w:val="5"/>
  </w:num>
  <w:num w:numId="5">
    <w:abstractNumId w:val="10"/>
  </w:num>
  <w:num w:numId="6">
    <w:abstractNumId w:val="0"/>
  </w:num>
  <w:num w:numId="7">
    <w:abstractNumId w:val="3"/>
  </w:num>
  <w:num w:numId="8">
    <w:abstractNumId w:val="2"/>
  </w:num>
  <w:num w:numId="9">
    <w:abstractNumId w:val="11"/>
  </w:num>
  <w:num w:numId="10">
    <w:abstractNumId w:val="6"/>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lkNzVmN2M1MzE3NWEzMDc0Y2ZiYTY2NWZkZWJhNzkifQ=="/>
  </w:docVars>
  <w:rsids>
    <w:rsidRoot w:val="00A14947"/>
    <w:rsid w:val="000060B3"/>
    <w:rsid w:val="0002273B"/>
    <w:rsid w:val="00025C83"/>
    <w:rsid w:val="0004364B"/>
    <w:rsid w:val="00057C26"/>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073E2"/>
    <w:rsid w:val="00131F42"/>
    <w:rsid w:val="001357F1"/>
    <w:rsid w:val="00140FA8"/>
    <w:rsid w:val="00142FEB"/>
    <w:rsid w:val="00143A2D"/>
    <w:rsid w:val="00145A41"/>
    <w:rsid w:val="00151675"/>
    <w:rsid w:val="00157435"/>
    <w:rsid w:val="00157B99"/>
    <w:rsid w:val="0017504D"/>
    <w:rsid w:val="0017671A"/>
    <w:rsid w:val="00177422"/>
    <w:rsid w:val="00184590"/>
    <w:rsid w:val="001870D1"/>
    <w:rsid w:val="0018781E"/>
    <w:rsid w:val="0019262D"/>
    <w:rsid w:val="001A1B35"/>
    <w:rsid w:val="001A48A2"/>
    <w:rsid w:val="001A6F61"/>
    <w:rsid w:val="001B5C39"/>
    <w:rsid w:val="001B72B8"/>
    <w:rsid w:val="001C5C40"/>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57D73"/>
    <w:rsid w:val="00264557"/>
    <w:rsid w:val="00267F1B"/>
    <w:rsid w:val="002805AB"/>
    <w:rsid w:val="00284204"/>
    <w:rsid w:val="00291773"/>
    <w:rsid w:val="002A168C"/>
    <w:rsid w:val="002A3DC7"/>
    <w:rsid w:val="002B49E2"/>
    <w:rsid w:val="002B7B00"/>
    <w:rsid w:val="002B7C44"/>
    <w:rsid w:val="002C2B17"/>
    <w:rsid w:val="002D3DD0"/>
    <w:rsid w:val="002D5A26"/>
    <w:rsid w:val="002E1F3A"/>
    <w:rsid w:val="002E298A"/>
    <w:rsid w:val="002E6413"/>
    <w:rsid w:val="00301978"/>
    <w:rsid w:val="0030332C"/>
    <w:rsid w:val="003051C2"/>
    <w:rsid w:val="00312296"/>
    <w:rsid w:val="00313DD6"/>
    <w:rsid w:val="00314F0E"/>
    <w:rsid w:val="00321D8E"/>
    <w:rsid w:val="00325928"/>
    <w:rsid w:val="00332863"/>
    <w:rsid w:val="0033684D"/>
    <w:rsid w:val="00337B42"/>
    <w:rsid w:val="00341B42"/>
    <w:rsid w:val="0034348F"/>
    <w:rsid w:val="00356653"/>
    <w:rsid w:val="0035743F"/>
    <w:rsid w:val="00357BE2"/>
    <w:rsid w:val="0036170C"/>
    <w:rsid w:val="00361B29"/>
    <w:rsid w:val="00366E0F"/>
    <w:rsid w:val="00381A72"/>
    <w:rsid w:val="00384676"/>
    <w:rsid w:val="00390857"/>
    <w:rsid w:val="003A4BF3"/>
    <w:rsid w:val="003B420D"/>
    <w:rsid w:val="003C6C16"/>
    <w:rsid w:val="003D0AAD"/>
    <w:rsid w:val="003D794D"/>
    <w:rsid w:val="003E3058"/>
    <w:rsid w:val="003E76A9"/>
    <w:rsid w:val="003F0809"/>
    <w:rsid w:val="003F6A8C"/>
    <w:rsid w:val="003F755C"/>
    <w:rsid w:val="00406F01"/>
    <w:rsid w:val="00416D50"/>
    <w:rsid w:val="00416FD5"/>
    <w:rsid w:val="00417772"/>
    <w:rsid w:val="00420E6A"/>
    <w:rsid w:val="00425A9E"/>
    <w:rsid w:val="00426D6B"/>
    <w:rsid w:val="004317F0"/>
    <w:rsid w:val="00431E6C"/>
    <w:rsid w:val="00433CE7"/>
    <w:rsid w:val="00452738"/>
    <w:rsid w:val="00456091"/>
    <w:rsid w:val="00461514"/>
    <w:rsid w:val="00466321"/>
    <w:rsid w:val="00484B9B"/>
    <w:rsid w:val="004855F6"/>
    <w:rsid w:val="0048661E"/>
    <w:rsid w:val="00494670"/>
    <w:rsid w:val="00497A49"/>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131A"/>
    <w:rsid w:val="006748B8"/>
    <w:rsid w:val="006775C3"/>
    <w:rsid w:val="0069290A"/>
    <w:rsid w:val="0069775A"/>
    <w:rsid w:val="00697813"/>
    <w:rsid w:val="006A3EE8"/>
    <w:rsid w:val="006A72BF"/>
    <w:rsid w:val="006B03F2"/>
    <w:rsid w:val="006B37DC"/>
    <w:rsid w:val="006B4F68"/>
    <w:rsid w:val="006C0592"/>
    <w:rsid w:val="006C272E"/>
    <w:rsid w:val="006C5479"/>
    <w:rsid w:val="006C75CE"/>
    <w:rsid w:val="006D13B5"/>
    <w:rsid w:val="006E0E8D"/>
    <w:rsid w:val="006E12FF"/>
    <w:rsid w:val="006E607E"/>
    <w:rsid w:val="00706C5D"/>
    <w:rsid w:val="00732922"/>
    <w:rsid w:val="0075162E"/>
    <w:rsid w:val="00754034"/>
    <w:rsid w:val="00756556"/>
    <w:rsid w:val="007618C4"/>
    <w:rsid w:val="00767980"/>
    <w:rsid w:val="007707D0"/>
    <w:rsid w:val="00770B19"/>
    <w:rsid w:val="0077463F"/>
    <w:rsid w:val="007836EA"/>
    <w:rsid w:val="00784CDA"/>
    <w:rsid w:val="007906C4"/>
    <w:rsid w:val="007940EA"/>
    <w:rsid w:val="007967E8"/>
    <w:rsid w:val="007A2170"/>
    <w:rsid w:val="007A22BF"/>
    <w:rsid w:val="007A3323"/>
    <w:rsid w:val="007B72B8"/>
    <w:rsid w:val="007B7A58"/>
    <w:rsid w:val="007C21B5"/>
    <w:rsid w:val="007D466E"/>
    <w:rsid w:val="007E4BD2"/>
    <w:rsid w:val="00801393"/>
    <w:rsid w:val="00802F88"/>
    <w:rsid w:val="00812356"/>
    <w:rsid w:val="0081293E"/>
    <w:rsid w:val="00815465"/>
    <w:rsid w:val="00817E9A"/>
    <w:rsid w:val="008306BD"/>
    <w:rsid w:val="00831A80"/>
    <w:rsid w:val="00833743"/>
    <w:rsid w:val="008340A4"/>
    <w:rsid w:val="0085649B"/>
    <w:rsid w:val="0087135F"/>
    <w:rsid w:val="00872D94"/>
    <w:rsid w:val="00880364"/>
    <w:rsid w:val="00891592"/>
    <w:rsid w:val="00891E9E"/>
    <w:rsid w:val="008953F8"/>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76E7F"/>
    <w:rsid w:val="00982438"/>
    <w:rsid w:val="0098404C"/>
    <w:rsid w:val="00985283"/>
    <w:rsid w:val="00995992"/>
    <w:rsid w:val="0099650A"/>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048F"/>
    <w:rsid w:val="00AB1E09"/>
    <w:rsid w:val="00AB2011"/>
    <w:rsid w:val="00AB5330"/>
    <w:rsid w:val="00AB7747"/>
    <w:rsid w:val="00AC14CE"/>
    <w:rsid w:val="00AC2A56"/>
    <w:rsid w:val="00AC377F"/>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2D6B"/>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419C"/>
    <w:rsid w:val="00CE5393"/>
    <w:rsid w:val="00CF36BE"/>
    <w:rsid w:val="00CF6000"/>
    <w:rsid w:val="00D003F3"/>
    <w:rsid w:val="00D0364F"/>
    <w:rsid w:val="00D06834"/>
    <w:rsid w:val="00D308ED"/>
    <w:rsid w:val="00D36D86"/>
    <w:rsid w:val="00D428AA"/>
    <w:rsid w:val="00D43462"/>
    <w:rsid w:val="00D50A34"/>
    <w:rsid w:val="00D53EFA"/>
    <w:rsid w:val="00D94A7C"/>
    <w:rsid w:val="00D95896"/>
    <w:rsid w:val="00DB2983"/>
    <w:rsid w:val="00DB74BB"/>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259C"/>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4580"/>
    <w:rsid w:val="00FD54DB"/>
    <w:rsid w:val="00FD619F"/>
    <w:rsid w:val="00FF4FA5"/>
    <w:rsid w:val="01290F7E"/>
    <w:rsid w:val="01336CA0"/>
    <w:rsid w:val="015D1E09"/>
    <w:rsid w:val="017E55F4"/>
    <w:rsid w:val="01D003DC"/>
    <w:rsid w:val="01F36C75"/>
    <w:rsid w:val="022278B2"/>
    <w:rsid w:val="025B7D4C"/>
    <w:rsid w:val="02671768"/>
    <w:rsid w:val="02697903"/>
    <w:rsid w:val="02D84A47"/>
    <w:rsid w:val="02DB7699"/>
    <w:rsid w:val="02F27FB9"/>
    <w:rsid w:val="02F96569"/>
    <w:rsid w:val="032B3B0C"/>
    <w:rsid w:val="034A2E26"/>
    <w:rsid w:val="03537341"/>
    <w:rsid w:val="03D251BA"/>
    <w:rsid w:val="03D518DD"/>
    <w:rsid w:val="03EA7B21"/>
    <w:rsid w:val="040556DD"/>
    <w:rsid w:val="040E6340"/>
    <w:rsid w:val="0423034F"/>
    <w:rsid w:val="04363597"/>
    <w:rsid w:val="046313F3"/>
    <w:rsid w:val="047012BB"/>
    <w:rsid w:val="04E83035"/>
    <w:rsid w:val="04EB501A"/>
    <w:rsid w:val="05430482"/>
    <w:rsid w:val="0586414C"/>
    <w:rsid w:val="0591547A"/>
    <w:rsid w:val="05A76A4C"/>
    <w:rsid w:val="05F83EAE"/>
    <w:rsid w:val="063E7D85"/>
    <w:rsid w:val="06A61794"/>
    <w:rsid w:val="06A66042"/>
    <w:rsid w:val="06EB5D98"/>
    <w:rsid w:val="06F66BC9"/>
    <w:rsid w:val="07171A20"/>
    <w:rsid w:val="07184FBA"/>
    <w:rsid w:val="07293586"/>
    <w:rsid w:val="07295285"/>
    <w:rsid w:val="0750757A"/>
    <w:rsid w:val="07636392"/>
    <w:rsid w:val="076E3F95"/>
    <w:rsid w:val="07770C56"/>
    <w:rsid w:val="07993075"/>
    <w:rsid w:val="07B143D6"/>
    <w:rsid w:val="07DC228F"/>
    <w:rsid w:val="07DE124B"/>
    <w:rsid w:val="08DC4C5E"/>
    <w:rsid w:val="08F54642"/>
    <w:rsid w:val="08FE77F2"/>
    <w:rsid w:val="090617E5"/>
    <w:rsid w:val="09181A0E"/>
    <w:rsid w:val="092217DD"/>
    <w:rsid w:val="093A7294"/>
    <w:rsid w:val="095A5B83"/>
    <w:rsid w:val="09630EDC"/>
    <w:rsid w:val="097F1A8E"/>
    <w:rsid w:val="0989673E"/>
    <w:rsid w:val="09D5482C"/>
    <w:rsid w:val="0A0124A3"/>
    <w:rsid w:val="0A263993"/>
    <w:rsid w:val="0A2D3AC2"/>
    <w:rsid w:val="0A860446"/>
    <w:rsid w:val="0A9E5F43"/>
    <w:rsid w:val="0AA74C7A"/>
    <w:rsid w:val="0AA755DF"/>
    <w:rsid w:val="0AE47875"/>
    <w:rsid w:val="0AF3628F"/>
    <w:rsid w:val="0AF65D7F"/>
    <w:rsid w:val="0B0A3D37"/>
    <w:rsid w:val="0B120D44"/>
    <w:rsid w:val="0B1D155E"/>
    <w:rsid w:val="0BD27BF6"/>
    <w:rsid w:val="0C067943"/>
    <w:rsid w:val="0C146CDE"/>
    <w:rsid w:val="0C191D25"/>
    <w:rsid w:val="0C195DEF"/>
    <w:rsid w:val="0C3B3C7D"/>
    <w:rsid w:val="0C4D7C21"/>
    <w:rsid w:val="0CAB2EAE"/>
    <w:rsid w:val="0CB90E13"/>
    <w:rsid w:val="0CC46135"/>
    <w:rsid w:val="0D621C7D"/>
    <w:rsid w:val="0D814E9C"/>
    <w:rsid w:val="0DE34399"/>
    <w:rsid w:val="0DE63E89"/>
    <w:rsid w:val="0DFC18FF"/>
    <w:rsid w:val="0E4B63E2"/>
    <w:rsid w:val="0E5E7EC3"/>
    <w:rsid w:val="0E73034D"/>
    <w:rsid w:val="0E7B579A"/>
    <w:rsid w:val="0E927B6D"/>
    <w:rsid w:val="0EB2020F"/>
    <w:rsid w:val="0EB43F87"/>
    <w:rsid w:val="0EFC41A3"/>
    <w:rsid w:val="0F13775A"/>
    <w:rsid w:val="0F435A76"/>
    <w:rsid w:val="0F5F45FE"/>
    <w:rsid w:val="0F834CCE"/>
    <w:rsid w:val="0F9A112B"/>
    <w:rsid w:val="10065191"/>
    <w:rsid w:val="100D7DF3"/>
    <w:rsid w:val="106D2F64"/>
    <w:rsid w:val="10B63710"/>
    <w:rsid w:val="10F10820"/>
    <w:rsid w:val="11034D52"/>
    <w:rsid w:val="111C2F7A"/>
    <w:rsid w:val="115911DD"/>
    <w:rsid w:val="11660D0F"/>
    <w:rsid w:val="11665CA1"/>
    <w:rsid w:val="12371157"/>
    <w:rsid w:val="12A14023"/>
    <w:rsid w:val="130E2576"/>
    <w:rsid w:val="131F6103"/>
    <w:rsid w:val="13541895"/>
    <w:rsid w:val="138403CC"/>
    <w:rsid w:val="13877EBC"/>
    <w:rsid w:val="1394388E"/>
    <w:rsid w:val="13951726"/>
    <w:rsid w:val="13B32A60"/>
    <w:rsid w:val="13D529D6"/>
    <w:rsid w:val="13FC4407"/>
    <w:rsid w:val="141B0512"/>
    <w:rsid w:val="14223741"/>
    <w:rsid w:val="142B6A9A"/>
    <w:rsid w:val="14396509"/>
    <w:rsid w:val="14504752"/>
    <w:rsid w:val="146A69C0"/>
    <w:rsid w:val="148B7538"/>
    <w:rsid w:val="14983A03"/>
    <w:rsid w:val="14DD2C3C"/>
    <w:rsid w:val="1553598C"/>
    <w:rsid w:val="15692D56"/>
    <w:rsid w:val="15AE7982"/>
    <w:rsid w:val="15E11F8A"/>
    <w:rsid w:val="15E216B5"/>
    <w:rsid w:val="16087E1D"/>
    <w:rsid w:val="163D0340"/>
    <w:rsid w:val="16840AEE"/>
    <w:rsid w:val="16BE59A3"/>
    <w:rsid w:val="16DA4640"/>
    <w:rsid w:val="17033CFE"/>
    <w:rsid w:val="17401E8B"/>
    <w:rsid w:val="17701D14"/>
    <w:rsid w:val="17735226"/>
    <w:rsid w:val="17932781"/>
    <w:rsid w:val="17D336D0"/>
    <w:rsid w:val="18100480"/>
    <w:rsid w:val="183F2B14"/>
    <w:rsid w:val="184B070B"/>
    <w:rsid w:val="18934C0E"/>
    <w:rsid w:val="189F624C"/>
    <w:rsid w:val="18B54B84"/>
    <w:rsid w:val="19404D95"/>
    <w:rsid w:val="194D300E"/>
    <w:rsid w:val="19B74A0B"/>
    <w:rsid w:val="19BA5A77"/>
    <w:rsid w:val="19EA1D8E"/>
    <w:rsid w:val="19EE11EA"/>
    <w:rsid w:val="19EE2A43"/>
    <w:rsid w:val="1A1B4EBB"/>
    <w:rsid w:val="1A1C66C0"/>
    <w:rsid w:val="1A200CB6"/>
    <w:rsid w:val="1A42393B"/>
    <w:rsid w:val="1A88280F"/>
    <w:rsid w:val="1A8F6E44"/>
    <w:rsid w:val="1A9A2283"/>
    <w:rsid w:val="1AAD45DE"/>
    <w:rsid w:val="1ABC669E"/>
    <w:rsid w:val="1ABF1CEA"/>
    <w:rsid w:val="1AF07E89"/>
    <w:rsid w:val="1B046F80"/>
    <w:rsid w:val="1B3267B5"/>
    <w:rsid w:val="1B40161D"/>
    <w:rsid w:val="1B441859"/>
    <w:rsid w:val="1B6606B1"/>
    <w:rsid w:val="1BD21FF3"/>
    <w:rsid w:val="1C11425A"/>
    <w:rsid w:val="1C143DB1"/>
    <w:rsid w:val="1C55570E"/>
    <w:rsid w:val="1C5E7925"/>
    <w:rsid w:val="1CBF06C7"/>
    <w:rsid w:val="1CFD070F"/>
    <w:rsid w:val="1D0D3F8F"/>
    <w:rsid w:val="1D1136F7"/>
    <w:rsid w:val="1D3A261A"/>
    <w:rsid w:val="1D5F6196"/>
    <w:rsid w:val="1D6132A5"/>
    <w:rsid w:val="1D8E56D5"/>
    <w:rsid w:val="1DE25B71"/>
    <w:rsid w:val="1E0A7720"/>
    <w:rsid w:val="1E6F25FE"/>
    <w:rsid w:val="1E7A43DA"/>
    <w:rsid w:val="1EBF050A"/>
    <w:rsid w:val="1F78690B"/>
    <w:rsid w:val="1FD60202"/>
    <w:rsid w:val="1FE67D19"/>
    <w:rsid w:val="1FE7539E"/>
    <w:rsid w:val="1FFB4258"/>
    <w:rsid w:val="204A474C"/>
    <w:rsid w:val="20671BE0"/>
    <w:rsid w:val="20963CB8"/>
    <w:rsid w:val="20A81A1B"/>
    <w:rsid w:val="20B07FB6"/>
    <w:rsid w:val="20B646FB"/>
    <w:rsid w:val="20BB11A5"/>
    <w:rsid w:val="20DD2858"/>
    <w:rsid w:val="20EA3839"/>
    <w:rsid w:val="20F81674"/>
    <w:rsid w:val="20FE5E68"/>
    <w:rsid w:val="210400DA"/>
    <w:rsid w:val="21130FE1"/>
    <w:rsid w:val="212E5E1B"/>
    <w:rsid w:val="213B74B1"/>
    <w:rsid w:val="21535882"/>
    <w:rsid w:val="215A2310"/>
    <w:rsid w:val="21DE318A"/>
    <w:rsid w:val="21EF5B80"/>
    <w:rsid w:val="220A23E4"/>
    <w:rsid w:val="22576990"/>
    <w:rsid w:val="22737F8A"/>
    <w:rsid w:val="22C407E5"/>
    <w:rsid w:val="22CA6606"/>
    <w:rsid w:val="22D3131A"/>
    <w:rsid w:val="22DB5B2F"/>
    <w:rsid w:val="22E22A19"/>
    <w:rsid w:val="22E53382"/>
    <w:rsid w:val="22E84B4D"/>
    <w:rsid w:val="22EA3023"/>
    <w:rsid w:val="22F47480"/>
    <w:rsid w:val="23144B9D"/>
    <w:rsid w:val="235D6EFB"/>
    <w:rsid w:val="23C24E74"/>
    <w:rsid w:val="23CF38CC"/>
    <w:rsid w:val="23DE1C48"/>
    <w:rsid w:val="23E319E9"/>
    <w:rsid w:val="240210CD"/>
    <w:rsid w:val="242A5C90"/>
    <w:rsid w:val="24325FFD"/>
    <w:rsid w:val="249C1482"/>
    <w:rsid w:val="24BF09F7"/>
    <w:rsid w:val="25184E18"/>
    <w:rsid w:val="25185232"/>
    <w:rsid w:val="252D53FE"/>
    <w:rsid w:val="2561056D"/>
    <w:rsid w:val="25A14E0E"/>
    <w:rsid w:val="25A22934"/>
    <w:rsid w:val="25DE362C"/>
    <w:rsid w:val="25EC2D81"/>
    <w:rsid w:val="26852E4C"/>
    <w:rsid w:val="271433BD"/>
    <w:rsid w:val="27190983"/>
    <w:rsid w:val="271B299E"/>
    <w:rsid w:val="27221F7E"/>
    <w:rsid w:val="2727432F"/>
    <w:rsid w:val="276A76C6"/>
    <w:rsid w:val="277057A2"/>
    <w:rsid w:val="28005C30"/>
    <w:rsid w:val="283A47C4"/>
    <w:rsid w:val="28765F54"/>
    <w:rsid w:val="289A47E9"/>
    <w:rsid w:val="28C01A4F"/>
    <w:rsid w:val="28E026ED"/>
    <w:rsid w:val="28E614AE"/>
    <w:rsid w:val="29097C5C"/>
    <w:rsid w:val="2919129E"/>
    <w:rsid w:val="29206EB8"/>
    <w:rsid w:val="29336BF5"/>
    <w:rsid w:val="29595666"/>
    <w:rsid w:val="29874881"/>
    <w:rsid w:val="29C76681"/>
    <w:rsid w:val="29E325E0"/>
    <w:rsid w:val="2A41096D"/>
    <w:rsid w:val="2A452503"/>
    <w:rsid w:val="2AB5795A"/>
    <w:rsid w:val="2AC375D4"/>
    <w:rsid w:val="2B0121A0"/>
    <w:rsid w:val="2B25558F"/>
    <w:rsid w:val="2B7A2497"/>
    <w:rsid w:val="2BA936A8"/>
    <w:rsid w:val="2BE75544"/>
    <w:rsid w:val="2C315A5A"/>
    <w:rsid w:val="2C4B1C25"/>
    <w:rsid w:val="2C55425C"/>
    <w:rsid w:val="2D23435A"/>
    <w:rsid w:val="2D376058"/>
    <w:rsid w:val="2D517119"/>
    <w:rsid w:val="2D713318"/>
    <w:rsid w:val="2D9E56F5"/>
    <w:rsid w:val="2E3A7BAD"/>
    <w:rsid w:val="2E667F96"/>
    <w:rsid w:val="2E8226AB"/>
    <w:rsid w:val="2E8C6FF7"/>
    <w:rsid w:val="2E936247"/>
    <w:rsid w:val="2E9372BE"/>
    <w:rsid w:val="2EC75343"/>
    <w:rsid w:val="2EF637C3"/>
    <w:rsid w:val="2F025649"/>
    <w:rsid w:val="2F8F4FB9"/>
    <w:rsid w:val="2FD065E6"/>
    <w:rsid w:val="2FD96870"/>
    <w:rsid w:val="30102A86"/>
    <w:rsid w:val="301C4A53"/>
    <w:rsid w:val="30580BC9"/>
    <w:rsid w:val="30671784"/>
    <w:rsid w:val="30744024"/>
    <w:rsid w:val="30D36EE5"/>
    <w:rsid w:val="311A1F18"/>
    <w:rsid w:val="311E2ED7"/>
    <w:rsid w:val="31375BA5"/>
    <w:rsid w:val="315619EE"/>
    <w:rsid w:val="315C449C"/>
    <w:rsid w:val="317C672F"/>
    <w:rsid w:val="31B82709"/>
    <w:rsid w:val="31D05482"/>
    <w:rsid w:val="32082D1E"/>
    <w:rsid w:val="32400B34"/>
    <w:rsid w:val="329E6876"/>
    <w:rsid w:val="32BA09DA"/>
    <w:rsid w:val="32D415F1"/>
    <w:rsid w:val="32E93950"/>
    <w:rsid w:val="32E95931"/>
    <w:rsid w:val="33152997"/>
    <w:rsid w:val="331F04E4"/>
    <w:rsid w:val="333015F2"/>
    <w:rsid w:val="333924FB"/>
    <w:rsid w:val="334B6320"/>
    <w:rsid w:val="33D934D4"/>
    <w:rsid w:val="33FE2F6A"/>
    <w:rsid w:val="340E07E5"/>
    <w:rsid w:val="34235BF7"/>
    <w:rsid w:val="34AE3255"/>
    <w:rsid w:val="34C81353"/>
    <w:rsid w:val="35132F06"/>
    <w:rsid w:val="357D4824"/>
    <w:rsid w:val="358C5FA8"/>
    <w:rsid w:val="35C15DF1"/>
    <w:rsid w:val="36074A7F"/>
    <w:rsid w:val="365437D6"/>
    <w:rsid w:val="36923549"/>
    <w:rsid w:val="36B75FBF"/>
    <w:rsid w:val="36BD0C45"/>
    <w:rsid w:val="36C51BD7"/>
    <w:rsid w:val="36CA1CEB"/>
    <w:rsid w:val="37180CA8"/>
    <w:rsid w:val="371D3BDD"/>
    <w:rsid w:val="37C60704"/>
    <w:rsid w:val="37E00298"/>
    <w:rsid w:val="38341167"/>
    <w:rsid w:val="386046B4"/>
    <w:rsid w:val="38B302F9"/>
    <w:rsid w:val="38D7589C"/>
    <w:rsid w:val="38F12CD3"/>
    <w:rsid w:val="38F94775"/>
    <w:rsid w:val="392971ED"/>
    <w:rsid w:val="39325651"/>
    <w:rsid w:val="39504729"/>
    <w:rsid w:val="398D6D4E"/>
    <w:rsid w:val="39C028FD"/>
    <w:rsid w:val="3A070042"/>
    <w:rsid w:val="3A1673B4"/>
    <w:rsid w:val="3A190FBF"/>
    <w:rsid w:val="3A540249"/>
    <w:rsid w:val="3A86417A"/>
    <w:rsid w:val="3A872856"/>
    <w:rsid w:val="3AA37D19"/>
    <w:rsid w:val="3B3763D1"/>
    <w:rsid w:val="3B5847E9"/>
    <w:rsid w:val="3B5D137F"/>
    <w:rsid w:val="3BD15572"/>
    <w:rsid w:val="3BEA1863"/>
    <w:rsid w:val="3C2F6E1E"/>
    <w:rsid w:val="3C4F64BA"/>
    <w:rsid w:val="3C7826C2"/>
    <w:rsid w:val="3C81653F"/>
    <w:rsid w:val="3CDA245A"/>
    <w:rsid w:val="3CEB6517"/>
    <w:rsid w:val="3CF950D8"/>
    <w:rsid w:val="3D136199"/>
    <w:rsid w:val="3D1E06B7"/>
    <w:rsid w:val="3D2C764F"/>
    <w:rsid w:val="3D34687C"/>
    <w:rsid w:val="3DC821E0"/>
    <w:rsid w:val="3DCD15E0"/>
    <w:rsid w:val="3DD062F6"/>
    <w:rsid w:val="3DE6740A"/>
    <w:rsid w:val="3DFA06B8"/>
    <w:rsid w:val="3E015FF2"/>
    <w:rsid w:val="3E11086C"/>
    <w:rsid w:val="3E5F540E"/>
    <w:rsid w:val="3EDA0523"/>
    <w:rsid w:val="3F0978AA"/>
    <w:rsid w:val="3F1B1684"/>
    <w:rsid w:val="3F1B7587"/>
    <w:rsid w:val="3F253F62"/>
    <w:rsid w:val="3F2B0932"/>
    <w:rsid w:val="3F8027AA"/>
    <w:rsid w:val="3F987CCF"/>
    <w:rsid w:val="3FCB2D5B"/>
    <w:rsid w:val="3FDD26C4"/>
    <w:rsid w:val="40367523"/>
    <w:rsid w:val="403854EB"/>
    <w:rsid w:val="40632D02"/>
    <w:rsid w:val="407A6407"/>
    <w:rsid w:val="40A610D2"/>
    <w:rsid w:val="416A7B9E"/>
    <w:rsid w:val="41B716C3"/>
    <w:rsid w:val="4200449D"/>
    <w:rsid w:val="423A3BCC"/>
    <w:rsid w:val="423B16D9"/>
    <w:rsid w:val="424E57D2"/>
    <w:rsid w:val="427C72C7"/>
    <w:rsid w:val="42B26C49"/>
    <w:rsid w:val="433A6FE6"/>
    <w:rsid w:val="43480868"/>
    <w:rsid w:val="4350713C"/>
    <w:rsid w:val="436653E0"/>
    <w:rsid w:val="43C4431A"/>
    <w:rsid w:val="445141D8"/>
    <w:rsid w:val="44531571"/>
    <w:rsid w:val="446612A5"/>
    <w:rsid w:val="44B951CC"/>
    <w:rsid w:val="44CD14E0"/>
    <w:rsid w:val="44E16B7D"/>
    <w:rsid w:val="44F20B0B"/>
    <w:rsid w:val="45163DF2"/>
    <w:rsid w:val="452E5F4C"/>
    <w:rsid w:val="45612018"/>
    <w:rsid w:val="456D06E4"/>
    <w:rsid w:val="458946E9"/>
    <w:rsid w:val="45A47C0E"/>
    <w:rsid w:val="45EF0E26"/>
    <w:rsid w:val="45F60406"/>
    <w:rsid w:val="464A3194"/>
    <w:rsid w:val="46577FD6"/>
    <w:rsid w:val="467361B6"/>
    <w:rsid w:val="46D955A7"/>
    <w:rsid w:val="46F0389B"/>
    <w:rsid w:val="47133957"/>
    <w:rsid w:val="47A07E0C"/>
    <w:rsid w:val="47AA76FA"/>
    <w:rsid w:val="47C0440B"/>
    <w:rsid w:val="47D46525"/>
    <w:rsid w:val="47E81FD1"/>
    <w:rsid w:val="483416BA"/>
    <w:rsid w:val="4870272E"/>
    <w:rsid w:val="488F7276"/>
    <w:rsid w:val="48DD765B"/>
    <w:rsid w:val="4976133E"/>
    <w:rsid w:val="49DC7715"/>
    <w:rsid w:val="4A023139"/>
    <w:rsid w:val="4A27131C"/>
    <w:rsid w:val="4A437992"/>
    <w:rsid w:val="4A4D0811"/>
    <w:rsid w:val="4A4F0FFA"/>
    <w:rsid w:val="4A507573"/>
    <w:rsid w:val="4A6921BC"/>
    <w:rsid w:val="4A7B576F"/>
    <w:rsid w:val="4AF561A9"/>
    <w:rsid w:val="4B4A0085"/>
    <w:rsid w:val="4BF92F05"/>
    <w:rsid w:val="4C235CCD"/>
    <w:rsid w:val="4C4A0649"/>
    <w:rsid w:val="4C7E5ECA"/>
    <w:rsid w:val="4C82091F"/>
    <w:rsid w:val="4C876AA5"/>
    <w:rsid w:val="4CAA1B0B"/>
    <w:rsid w:val="4D0E00FB"/>
    <w:rsid w:val="4D176606"/>
    <w:rsid w:val="4D425635"/>
    <w:rsid w:val="4D6F5842"/>
    <w:rsid w:val="4DEC4FB0"/>
    <w:rsid w:val="4E075D8A"/>
    <w:rsid w:val="4E152ECE"/>
    <w:rsid w:val="4E9F28E1"/>
    <w:rsid w:val="4EA33180"/>
    <w:rsid w:val="4EC00FAD"/>
    <w:rsid w:val="4ECE633C"/>
    <w:rsid w:val="4EF57F9E"/>
    <w:rsid w:val="4F3D0E54"/>
    <w:rsid w:val="4F4F0B87"/>
    <w:rsid w:val="4F9843DC"/>
    <w:rsid w:val="4FC62A8C"/>
    <w:rsid w:val="4FE20F0D"/>
    <w:rsid w:val="4FE51552"/>
    <w:rsid w:val="4FFC5476"/>
    <w:rsid w:val="500B71A4"/>
    <w:rsid w:val="50243DC2"/>
    <w:rsid w:val="50504C4B"/>
    <w:rsid w:val="50632B3C"/>
    <w:rsid w:val="509C6E7C"/>
    <w:rsid w:val="50B82E76"/>
    <w:rsid w:val="50C948BA"/>
    <w:rsid w:val="50D5460D"/>
    <w:rsid w:val="512C73D2"/>
    <w:rsid w:val="5162104E"/>
    <w:rsid w:val="518F170F"/>
    <w:rsid w:val="52B458D1"/>
    <w:rsid w:val="52B92FBF"/>
    <w:rsid w:val="53502EBA"/>
    <w:rsid w:val="535844AE"/>
    <w:rsid w:val="536746F1"/>
    <w:rsid w:val="537C4F4E"/>
    <w:rsid w:val="53A039CC"/>
    <w:rsid w:val="53A1505A"/>
    <w:rsid w:val="53FA37B7"/>
    <w:rsid w:val="53FB30DC"/>
    <w:rsid w:val="54063E08"/>
    <w:rsid w:val="543437E8"/>
    <w:rsid w:val="548F04DC"/>
    <w:rsid w:val="54A7109D"/>
    <w:rsid w:val="54C677C3"/>
    <w:rsid w:val="54CD2A44"/>
    <w:rsid w:val="54D61DED"/>
    <w:rsid w:val="54F73313"/>
    <w:rsid w:val="54F80955"/>
    <w:rsid w:val="55407132"/>
    <w:rsid w:val="55417F52"/>
    <w:rsid w:val="555170A7"/>
    <w:rsid w:val="5587536D"/>
    <w:rsid w:val="559B174B"/>
    <w:rsid w:val="55CB7784"/>
    <w:rsid w:val="55CE0CF4"/>
    <w:rsid w:val="55E66EB1"/>
    <w:rsid w:val="563A7E9B"/>
    <w:rsid w:val="56544746"/>
    <w:rsid w:val="56670CF5"/>
    <w:rsid w:val="567D2AD8"/>
    <w:rsid w:val="567E2B17"/>
    <w:rsid w:val="56B22A9C"/>
    <w:rsid w:val="56B360B3"/>
    <w:rsid w:val="570C7337"/>
    <w:rsid w:val="570F1328"/>
    <w:rsid w:val="57352BD1"/>
    <w:rsid w:val="57471641"/>
    <w:rsid w:val="578F6800"/>
    <w:rsid w:val="57B72A76"/>
    <w:rsid w:val="57C3426C"/>
    <w:rsid w:val="57CE1F93"/>
    <w:rsid w:val="580A527A"/>
    <w:rsid w:val="58337298"/>
    <w:rsid w:val="586F1BDD"/>
    <w:rsid w:val="58791C73"/>
    <w:rsid w:val="588743D1"/>
    <w:rsid w:val="5887701A"/>
    <w:rsid w:val="588D2799"/>
    <w:rsid w:val="58E30CBE"/>
    <w:rsid w:val="590B5B1F"/>
    <w:rsid w:val="59410815"/>
    <w:rsid w:val="595E20F3"/>
    <w:rsid w:val="59835FFD"/>
    <w:rsid w:val="59C0439F"/>
    <w:rsid w:val="59D40607"/>
    <w:rsid w:val="59F04698"/>
    <w:rsid w:val="5A3C08E2"/>
    <w:rsid w:val="5A767910"/>
    <w:rsid w:val="5AA75DC2"/>
    <w:rsid w:val="5ABE2233"/>
    <w:rsid w:val="5B08222C"/>
    <w:rsid w:val="5B130E01"/>
    <w:rsid w:val="5B865931"/>
    <w:rsid w:val="5B8816A9"/>
    <w:rsid w:val="5B9E579F"/>
    <w:rsid w:val="5BDF5D95"/>
    <w:rsid w:val="5BFE7528"/>
    <w:rsid w:val="5C253C05"/>
    <w:rsid w:val="5C617DAC"/>
    <w:rsid w:val="5CBB3794"/>
    <w:rsid w:val="5CEF0A6D"/>
    <w:rsid w:val="5D177188"/>
    <w:rsid w:val="5D300CC2"/>
    <w:rsid w:val="5E2467F1"/>
    <w:rsid w:val="5E263CC0"/>
    <w:rsid w:val="5E535813"/>
    <w:rsid w:val="5E5D76FC"/>
    <w:rsid w:val="5E827D40"/>
    <w:rsid w:val="5E885D15"/>
    <w:rsid w:val="5EA97527"/>
    <w:rsid w:val="5EC52588"/>
    <w:rsid w:val="5F025501"/>
    <w:rsid w:val="5F0670FD"/>
    <w:rsid w:val="5F0D2BE1"/>
    <w:rsid w:val="5F1A2B43"/>
    <w:rsid w:val="5F355C39"/>
    <w:rsid w:val="5F373947"/>
    <w:rsid w:val="5F5516E1"/>
    <w:rsid w:val="5F5C5FB8"/>
    <w:rsid w:val="5F8D1FD1"/>
    <w:rsid w:val="5FB837BB"/>
    <w:rsid w:val="5FCB5B15"/>
    <w:rsid w:val="600E3095"/>
    <w:rsid w:val="60CC405A"/>
    <w:rsid w:val="61406582"/>
    <w:rsid w:val="614F692E"/>
    <w:rsid w:val="61676E94"/>
    <w:rsid w:val="617A7CE6"/>
    <w:rsid w:val="61E215D8"/>
    <w:rsid w:val="621B3775"/>
    <w:rsid w:val="623624FA"/>
    <w:rsid w:val="62364782"/>
    <w:rsid w:val="626F2569"/>
    <w:rsid w:val="627838A0"/>
    <w:rsid w:val="62AC0785"/>
    <w:rsid w:val="62B66AFB"/>
    <w:rsid w:val="62D85586"/>
    <w:rsid w:val="62F2521C"/>
    <w:rsid w:val="630E1E1B"/>
    <w:rsid w:val="637C3275"/>
    <w:rsid w:val="637C5F97"/>
    <w:rsid w:val="638530B9"/>
    <w:rsid w:val="6394356A"/>
    <w:rsid w:val="63C61B2C"/>
    <w:rsid w:val="63D40BE9"/>
    <w:rsid w:val="64102431"/>
    <w:rsid w:val="6445572D"/>
    <w:rsid w:val="64757042"/>
    <w:rsid w:val="64986E00"/>
    <w:rsid w:val="649C61C5"/>
    <w:rsid w:val="64A04BD3"/>
    <w:rsid w:val="64A5243A"/>
    <w:rsid w:val="64CA62C3"/>
    <w:rsid w:val="64F531DE"/>
    <w:rsid w:val="651E4E2C"/>
    <w:rsid w:val="65373578"/>
    <w:rsid w:val="655B7978"/>
    <w:rsid w:val="65E052B4"/>
    <w:rsid w:val="661C73DE"/>
    <w:rsid w:val="662D17CA"/>
    <w:rsid w:val="66D5737D"/>
    <w:rsid w:val="66F4435E"/>
    <w:rsid w:val="66F9345B"/>
    <w:rsid w:val="671F124A"/>
    <w:rsid w:val="67332E10"/>
    <w:rsid w:val="67590474"/>
    <w:rsid w:val="677A33C6"/>
    <w:rsid w:val="679338AF"/>
    <w:rsid w:val="67C24194"/>
    <w:rsid w:val="68104F00"/>
    <w:rsid w:val="681839DF"/>
    <w:rsid w:val="681F6961"/>
    <w:rsid w:val="682269E1"/>
    <w:rsid w:val="685F19E3"/>
    <w:rsid w:val="68610A2F"/>
    <w:rsid w:val="6868185E"/>
    <w:rsid w:val="6870599E"/>
    <w:rsid w:val="68805514"/>
    <w:rsid w:val="68DE6DAC"/>
    <w:rsid w:val="68F41433"/>
    <w:rsid w:val="69262C48"/>
    <w:rsid w:val="69316E2F"/>
    <w:rsid w:val="694E2071"/>
    <w:rsid w:val="695F7B59"/>
    <w:rsid w:val="69766163"/>
    <w:rsid w:val="697A3B33"/>
    <w:rsid w:val="69D44760"/>
    <w:rsid w:val="6A2B4273"/>
    <w:rsid w:val="6A520EC7"/>
    <w:rsid w:val="6A527A52"/>
    <w:rsid w:val="6AAD4C88"/>
    <w:rsid w:val="6AF87E20"/>
    <w:rsid w:val="6B322639"/>
    <w:rsid w:val="6BDD0A5A"/>
    <w:rsid w:val="6C636C38"/>
    <w:rsid w:val="6C845EBC"/>
    <w:rsid w:val="6CA83959"/>
    <w:rsid w:val="6CD56718"/>
    <w:rsid w:val="6D497CB1"/>
    <w:rsid w:val="6D667370"/>
    <w:rsid w:val="6DAC77AC"/>
    <w:rsid w:val="6DB34098"/>
    <w:rsid w:val="6DB545B6"/>
    <w:rsid w:val="6DDB7D5E"/>
    <w:rsid w:val="6DE02FB4"/>
    <w:rsid w:val="6E3F36E5"/>
    <w:rsid w:val="6E4D7511"/>
    <w:rsid w:val="6E514CED"/>
    <w:rsid w:val="6EB563D5"/>
    <w:rsid w:val="6EC0447A"/>
    <w:rsid w:val="6ED92677"/>
    <w:rsid w:val="6EDC5B3C"/>
    <w:rsid w:val="6F225983"/>
    <w:rsid w:val="6F2474E3"/>
    <w:rsid w:val="6F2B6AC3"/>
    <w:rsid w:val="6FFC5590"/>
    <w:rsid w:val="70187047"/>
    <w:rsid w:val="706D1DD0"/>
    <w:rsid w:val="70856B87"/>
    <w:rsid w:val="70D527EE"/>
    <w:rsid w:val="714B5CA6"/>
    <w:rsid w:val="71554000"/>
    <w:rsid w:val="715B5300"/>
    <w:rsid w:val="715E6CDC"/>
    <w:rsid w:val="71D27F8A"/>
    <w:rsid w:val="71D451F0"/>
    <w:rsid w:val="71DF74C8"/>
    <w:rsid w:val="71EA4A14"/>
    <w:rsid w:val="71EC3115"/>
    <w:rsid w:val="720C2BD8"/>
    <w:rsid w:val="72553024"/>
    <w:rsid w:val="7281533B"/>
    <w:rsid w:val="7299012A"/>
    <w:rsid w:val="72FD65D3"/>
    <w:rsid w:val="73122968"/>
    <w:rsid w:val="731F5D5E"/>
    <w:rsid w:val="73334198"/>
    <w:rsid w:val="739C0242"/>
    <w:rsid w:val="73C51AD5"/>
    <w:rsid w:val="73E07E7C"/>
    <w:rsid w:val="740B7645"/>
    <w:rsid w:val="741E793C"/>
    <w:rsid w:val="7420296E"/>
    <w:rsid w:val="74404DBF"/>
    <w:rsid w:val="74540570"/>
    <w:rsid w:val="745E3944"/>
    <w:rsid w:val="74794897"/>
    <w:rsid w:val="748947B5"/>
    <w:rsid w:val="7490285F"/>
    <w:rsid w:val="74934EEE"/>
    <w:rsid w:val="749F1AE5"/>
    <w:rsid w:val="74A662B1"/>
    <w:rsid w:val="74CB4F1C"/>
    <w:rsid w:val="74CC2B9D"/>
    <w:rsid w:val="74D23FB8"/>
    <w:rsid w:val="7564688B"/>
    <w:rsid w:val="757C5983"/>
    <w:rsid w:val="75A50453"/>
    <w:rsid w:val="75FB53BC"/>
    <w:rsid w:val="7635099D"/>
    <w:rsid w:val="763E70DC"/>
    <w:rsid w:val="76661B74"/>
    <w:rsid w:val="766905FD"/>
    <w:rsid w:val="76761A7A"/>
    <w:rsid w:val="769413F2"/>
    <w:rsid w:val="76D65566"/>
    <w:rsid w:val="76F37EC6"/>
    <w:rsid w:val="772E688D"/>
    <w:rsid w:val="773504DF"/>
    <w:rsid w:val="775509AD"/>
    <w:rsid w:val="775F5F82"/>
    <w:rsid w:val="77762421"/>
    <w:rsid w:val="77A95664"/>
    <w:rsid w:val="77B56B1F"/>
    <w:rsid w:val="77BA4E88"/>
    <w:rsid w:val="77FA3E74"/>
    <w:rsid w:val="780F09F4"/>
    <w:rsid w:val="78927979"/>
    <w:rsid w:val="78A90480"/>
    <w:rsid w:val="78B53775"/>
    <w:rsid w:val="78D5631D"/>
    <w:rsid w:val="79713024"/>
    <w:rsid w:val="79CB3A3D"/>
    <w:rsid w:val="7A342CD0"/>
    <w:rsid w:val="7A364017"/>
    <w:rsid w:val="7A36630D"/>
    <w:rsid w:val="7A7254A1"/>
    <w:rsid w:val="7A8265E1"/>
    <w:rsid w:val="7A97216F"/>
    <w:rsid w:val="7AD4000F"/>
    <w:rsid w:val="7B686D42"/>
    <w:rsid w:val="7B7B4D49"/>
    <w:rsid w:val="7B841746"/>
    <w:rsid w:val="7C4178E5"/>
    <w:rsid w:val="7C4931CA"/>
    <w:rsid w:val="7C6C5AC7"/>
    <w:rsid w:val="7CC6544B"/>
    <w:rsid w:val="7D0239FF"/>
    <w:rsid w:val="7D293FDF"/>
    <w:rsid w:val="7D3C25A3"/>
    <w:rsid w:val="7D4865B7"/>
    <w:rsid w:val="7D5E40CD"/>
    <w:rsid w:val="7D6633B0"/>
    <w:rsid w:val="7D706982"/>
    <w:rsid w:val="7D926231"/>
    <w:rsid w:val="7DA10339"/>
    <w:rsid w:val="7DCD56F2"/>
    <w:rsid w:val="7E5751DF"/>
    <w:rsid w:val="7E8B30DA"/>
    <w:rsid w:val="7EAD2AEC"/>
    <w:rsid w:val="7EF9464C"/>
    <w:rsid w:val="7F001CE7"/>
    <w:rsid w:val="7F3472CE"/>
    <w:rsid w:val="7F547CE9"/>
    <w:rsid w:val="7F633A0C"/>
    <w:rsid w:val="7F706420"/>
    <w:rsid w:val="7F88470B"/>
    <w:rsid w:val="7F910091"/>
    <w:rsid w:val="7FD34D39"/>
    <w:rsid w:val="7FD54A04"/>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99"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99"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unhideWhenUsed/>
    <w:qFormat/>
    <w:locked/>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locked/>
    <w:uiPriority w:val="0"/>
    <w:pPr>
      <w:keepNext/>
      <w:keepLines/>
      <w:spacing w:before="260" w:after="260" w:line="413" w:lineRule="auto"/>
      <w:outlineLvl w:val="2"/>
    </w:pPr>
    <w:rPr>
      <w:b/>
      <w:sz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locked/>
    <w:uiPriority w:val="99"/>
    <w:pPr>
      <w:keepLines/>
      <w:adjustRightInd w:val="0"/>
      <w:snapToGrid w:val="0"/>
      <w:spacing w:line="360" w:lineRule="auto"/>
      <w:ind w:left="720" w:firstLine="1040" w:firstLineChars="200"/>
    </w:pPr>
    <w:rPr>
      <w:rFonts w:ascii="Futura Bk" w:hAnsi="Futura Bk"/>
      <w:sz w:val="28"/>
      <w:szCs w:val="20"/>
    </w:rPr>
  </w:style>
  <w:style w:type="paragraph" w:styleId="6">
    <w:name w:val="annotation text"/>
    <w:basedOn w:val="1"/>
    <w:link w:val="30"/>
    <w:semiHidden/>
    <w:qFormat/>
    <w:uiPriority w:val="0"/>
    <w:pPr>
      <w:jc w:val="left"/>
    </w:pPr>
    <w:rPr>
      <w:kern w:val="0"/>
      <w:sz w:val="24"/>
      <w:szCs w:val="20"/>
    </w:rPr>
  </w:style>
  <w:style w:type="paragraph" w:styleId="7">
    <w:name w:val="Body Text"/>
    <w:basedOn w:val="1"/>
    <w:next w:val="8"/>
    <w:link w:val="31"/>
    <w:qFormat/>
    <w:uiPriority w:val="0"/>
    <w:pPr>
      <w:widowControl/>
      <w:snapToGrid w:val="0"/>
      <w:spacing w:before="60" w:after="160" w:line="259" w:lineRule="auto"/>
      <w:ind w:right="113"/>
    </w:pPr>
    <w:rPr>
      <w:kern w:val="0"/>
      <w:sz w:val="18"/>
      <w:szCs w:val="20"/>
    </w:rPr>
  </w:style>
  <w:style w:type="paragraph" w:customStyle="1" w:styleId="8">
    <w:name w:val="xl27"/>
    <w:basedOn w:val="1"/>
    <w:next w:val="9"/>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9">
    <w:name w:val="Body Text Indent 2"/>
    <w:basedOn w:val="1"/>
    <w:next w:val="1"/>
    <w:qFormat/>
    <w:locked/>
    <w:uiPriority w:val="99"/>
    <w:pPr>
      <w:spacing w:after="120" w:line="480" w:lineRule="auto"/>
      <w:ind w:left="420" w:leftChars="200"/>
    </w:pPr>
  </w:style>
  <w:style w:type="paragraph" w:styleId="10">
    <w:name w:val="Body Text Indent"/>
    <w:basedOn w:val="1"/>
    <w:next w:val="1"/>
    <w:link w:val="29"/>
    <w:qFormat/>
    <w:uiPriority w:val="0"/>
    <w:pPr>
      <w:spacing w:after="120"/>
      <w:ind w:left="420" w:leftChars="200"/>
    </w:pPr>
    <w:rPr>
      <w:kern w:val="0"/>
      <w:sz w:val="24"/>
      <w:szCs w:val="20"/>
    </w:rPr>
  </w:style>
  <w:style w:type="paragraph" w:styleId="11">
    <w:name w:val="Plain Text"/>
    <w:basedOn w:val="1"/>
    <w:unhideWhenUsed/>
    <w:qFormat/>
    <w:locked/>
    <w:uiPriority w:val="0"/>
    <w:pPr>
      <w:ind w:firstLine="498" w:firstLineChars="200"/>
    </w:pPr>
    <w:rPr>
      <w:rFonts w:ascii="宋体" w:hAnsi="宋体"/>
      <w:kern w:val="0"/>
      <w:sz w:val="24"/>
      <w:szCs w:val="20"/>
    </w:rPr>
  </w:style>
  <w:style w:type="paragraph" w:styleId="12">
    <w:name w:val="Date"/>
    <w:basedOn w:val="1"/>
    <w:next w:val="1"/>
    <w:link w:val="32"/>
    <w:qFormat/>
    <w:uiPriority w:val="0"/>
    <w:pPr>
      <w:ind w:left="100" w:leftChars="2500"/>
    </w:pPr>
    <w:rPr>
      <w:kern w:val="0"/>
      <w:sz w:val="24"/>
      <w:szCs w:val="20"/>
    </w:rPr>
  </w:style>
  <w:style w:type="paragraph" w:styleId="13">
    <w:name w:val="Balloon Text"/>
    <w:basedOn w:val="1"/>
    <w:link w:val="33"/>
    <w:semiHidden/>
    <w:qFormat/>
    <w:uiPriority w:val="0"/>
    <w:rPr>
      <w:kern w:val="0"/>
      <w:sz w:val="18"/>
      <w:szCs w:val="20"/>
    </w:rPr>
  </w:style>
  <w:style w:type="paragraph" w:styleId="14">
    <w:name w:val="footer"/>
    <w:basedOn w:val="1"/>
    <w:link w:val="34"/>
    <w:qFormat/>
    <w:uiPriority w:val="99"/>
    <w:pPr>
      <w:tabs>
        <w:tab w:val="center" w:pos="4153"/>
        <w:tab w:val="right" w:pos="8306"/>
      </w:tabs>
      <w:snapToGrid w:val="0"/>
      <w:jc w:val="left"/>
    </w:pPr>
    <w:rPr>
      <w:kern w:val="0"/>
      <w:sz w:val="18"/>
      <w:szCs w:val="20"/>
    </w:rPr>
  </w:style>
  <w:style w:type="paragraph" w:styleId="15">
    <w:name w:val="header"/>
    <w:basedOn w:val="1"/>
    <w:link w:val="35"/>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16">
    <w:name w:val="toc 1"/>
    <w:basedOn w:val="1"/>
    <w:next w:val="1"/>
    <w:autoRedefine/>
    <w:qFormat/>
    <w:locked/>
    <w:uiPriority w:val="0"/>
  </w:style>
  <w:style w:type="paragraph" w:styleId="17">
    <w:name w:val="List"/>
    <w:basedOn w:val="1"/>
    <w:qFormat/>
    <w:locked/>
    <w:uiPriority w:val="0"/>
    <w:pPr>
      <w:ind w:left="200" w:hanging="200" w:hangingChars="200"/>
    </w:pPr>
  </w:style>
  <w:style w:type="paragraph" w:styleId="18">
    <w:name w:val="toc 2"/>
    <w:basedOn w:val="1"/>
    <w:next w:val="1"/>
    <w:qFormat/>
    <w:locked/>
    <w:uiPriority w:val="39"/>
    <w:pPr>
      <w:ind w:left="420" w:leftChars="200"/>
    </w:pPr>
  </w:style>
  <w:style w:type="paragraph" w:styleId="19">
    <w:name w:val="Normal (Web)"/>
    <w:basedOn w:val="1"/>
    <w:link w:val="36"/>
    <w:autoRedefine/>
    <w:qFormat/>
    <w:uiPriority w:val="0"/>
    <w:pPr>
      <w:widowControl/>
      <w:spacing w:before="100" w:beforeAutospacing="1" w:after="100" w:afterAutospacing="1"/>
      <w:jc w:val="left"/>
    </w:pPr>
    <w:rPr>
      <w:rFonts w:ascii="宋体" w:hAnsi="宋体"/>
      <w:kern w:val="0"/>
      <w:sz w:val="24"/>
      <w:szCs w:val="20"/>
    </w:rPr>
  </w:style>
  <w:style w:type="paragraph" w:styleId="20">
    <w:name w:val="annotation subject"/>
    <w:basedOn w:val="6"/>
    <w:next w:val="6"/>
    <w:link w:val="37"/>
    <w:semiHidden/>
    <w:qFormat/>
    <w:uiPriority w:val="0"/>
    <w:rPr>
      <w:b/>
    </w:rPr>
  </w:style>
  <w:style w:type="paragraph" w:styleId="21">
    <w:name w:val="Body Text First Indent 2"/>
    <w:basedOn w:val="1"/>
    <w:next w:val="1"/>
    <w:qFormat/>
    <w:locked/>
    <w:uiPriority w:val="99"/>
    <w:pPr>
      <w:ind w:firstLine="420"/>
    </w:p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basedOn w:val="24"/>
    <w:qFormat/>
    <w:locked/>
    <w:uiPriority w:val="0"/>
  </w:style>
  <w:style w:type="character" w:styleId="27">
    <w:name w:val="annotation reference"/>
    <w:semiHidden/>
    <w:qFormat/>
    <w:uiPriority w:val="0"/>
    <w:rPr>
      <w:sz w:val="21"/>
    </w:rPr>
  </w:style>
  <w:style w:type="paragraph" w:customStyle="1" w:styleId="28">
    <w:name w:val="Heading2"/>
    <w:basedOn w:val="1"/>
    <w:next w:val="1"/>
    <w:qFormat/>
    <w:uiPriority w:val="0"/>
    <w:pPr>
      <w:keepNext/>
      <w:keepLines/>
      <w:spacing w:before="260" w:after="260" w:line="413" w:lineRule="auto"/>
      <w:jc w:val="both"/>
      <w:textAlignment w:val="baseline"/>
    </w:pPr>
    <w:rPr>
      <w:rFonts w:ascii="Arial" w:hAnsi="Arial" w:eastAsia="黑体"/>
      <w:b/>
      <w:kern w:val="2"/>
      <w:sz w:val="32"/>
      <w:szCs w:val="24"/>
      <w:lang w:val="en-US" w:eastAsia="zh-CN" w:bidi="ar-SA"/>
    </w:rPr>
  </w:style>
  <w:style w:type="character" w:customStyle="1" w:styleId="29">
    <w:name w:val="正文文本缩进 字符"/>
    <w:link w:val="10"/>
    <w:autoRedefine/>
    <w:semiHidden/>
    <w:qFormat/>
    <w:locked/>
    <w:uiPriority w:val="0"/>
    <w:rPr>
      <w:rFonts w:ascii="Times New Roman" w:hAnsi="Times New Roman" w:eastAsia="宋体"/>
      <w:sz w:val="24"/>
    </w:rPr>
  </w:style>
  <w:style w:type="character" w:customStyle="1" w:styleId="30">
    <w:name w:val="批注文字 字符"/>
    <w:link w:val="6"/>
    <w:qFormat/>
    <w:locked/>
    <w:uiPriority w:val="0"/>
    <w:rPr>
      <w:rFonts w:ascii="Times New Roman" w:hAnsi="Times New Roman" w:eastAsia="宋体"/>
      <w:sz w:val="24"/>
    </w:rPr>
  </w:style>
  <w:style w:type="character" w:customStyle="1" w:styleId="31">
    <w:name w:val="正文文本 字符"/>
    <w:link w:val="7"/>
    <w:autoRedefine/>
    <w:qFormat/>
    <w:locked/>
    <w:uiPriority w:val="0"/>
    <w:rPr>
      <w:sz w:val="18"/>
    </w:rPr>
  </w:style>
  <w:style w:type="character" w:customStyle="1" w:styleId="32">
    <w:name w:val="日期 字符1"/>
    <w:link w:val="12"/>
    <w:qFormat/>
    <w:locked/>
    <w:uiPriority w:val="0"/>
    <w:rPr>
      <w:rFonts w:ascii="Times New Roman" w:hAnsi="Times New Roman" w:eastAsia="宋体"/>
      <w:sz w:val="24"/>
    </w:rPr>
  </w:style>
  <w:style w:type="character" w:customStyle="1" w:styleId="33">
    <w:name w:val="批注框文本 字符"/>
    <w:link w:val="13"/>
    <w:autoRedefine/>
    <w:semiHidden/>
    <w:qFormat/>
    <w:locked/>
    <w:uiPriority w:val="0"/>
    <w:rPr>
      <w:rFonts w:ascii="Times New Roman" w:hAnsi="Times New Roman" w:eastAsia="宋体"/>
      <w:sz w:val="18"/>
    </w:rPr>
  </w:style>
  <w:style w:type="character" w:customStyle="1" w:styleId="34">
    <w:name w:val="页脚 字符1"/>
    <w:link w:val="14"/>
    <w:autoRedefine/>
    <w:qFormat/>
    <w:locked/>
    <w:uiPriority w:val="99"/>
    <w:rPr>
      <w:sz w:val="18"/>
    </w:rPr>
  </w:style>
  <w:style w:type="character" w:customStyle="1" w:styleId="35">
    <w:name w:val="页眉 字符"/>
    <w:link w:val="15"/>
    <w:autoRedefine/>
    <w:qFormat/>
    <w:locked/>
    <w:uiPriority w:val="0"/>
    <w:rPr>
      <w:sz w:val="18"/>
    </w:rPr>
  </w:style>
  <w:style w:type="character" w:customStyle="1" w:styleId="36">
    <w:name w:val="普通(网站) 字符"/>
    <w:link w:val="19"/>
    <w:qFormat/>
    <w:locked/>
    <w:uiPriority w:val="0"/>
    <w:rPr>
      <w:rFonts w:ascii="宋体" w:hAnsi="宋体" w:eastAsia="宋体"/>
      <w:sz w:val="24"/>
    </w:rPr>
  </w:style>
  <w:style w:type="character" w:customStyle="1" w:styleId="37">
    <w:name w:val="批注主题 字符"/>
    <w:link w:val="20"/>
    <w:semiHidden/>
    <w:qFormat/>
    <w:locked/>
    <w:uiPriority w:val="0"/>
    <w:rPr>
      <w:rFonts w:ascii="Times New Roman" w:hAnsi="Times New Roman" w:eastAsia="宋体"/>
      <w:b/>
      <w:kern w:val="2"/>
      <w:sz w:val="24"/>
    </w:rPr>
  </w:style>
  <w:style w:type="character" w:customStyle="1" w:styleId="38">
    <w:name w:val="页脚 字符"/>
    <w:basedOn w:val="24"/>
    <w:qFormat/>
    <w:uiPriority w:val="99"/>
  </w:style>
  <w:style w:type="character" w:customStyle="1" w:styleId="39">
    <w:name w:val="正文文本 字符1"/>
    <w:autoRedefine/>
    <w:semiHidden/>
    <w:qFormat/>
    <w:uiPriority w:val="0"/>
    <w:rPr>
      <w:rFonts w:ascii="Times New Roman" w:hAnsi="Times New Roman" w:eastAsia="宋体"/>
      <w:sz w:val="24"/>
    </w:rPr>
  </w:style>
  <w:style w:type="character" w:customStyle="1" w:styleId="40">
    <w:name w:val="表格 Char"/>
    <w:link w:val="41"/>
    <w:qFormat/>
    <w:locked/>
    <w:uiPriority w:val="0"/>
    <w:rPr>
      <w:rFonts w:ascii="宋体"/>
      <w:sz w:val="21"/>
    </w:rPr>
  </w:style>
  <w:style w:type="paragraph" w:customStyle="1" w:styleId="41">
    <w:name w:val="表格"/>
    <w:basedOn w:val="5"/>
    <w:next w:val="1"/>
    <w:link w:val="40"/>
    <w:qFormat/>
    <w:uiPriority w:val="0"/>
    <w:pPr>
      <w:spacing w:beforeLines="10" w:afterLines="10" w:line="259" w:lineRule="auto"/>
      <w:jc w:val="center"/>
    </w:pPr>
    <w:rPr>
      <w:rFonts w:ascii="宋体"/>
      <w:kern w:val="0"/>
    </w:rPr>
  </w:style>
  <w:style w:type="character" w:customStyle="1" w:styleId="42">
    <w:name w:val="日期 字符"/>
    <w:semiHidden/>
    <w:qFormat/>
    <w:uiPriority w:val="0"/>
    <w:rPr>
      <w:rFonts w:ascii="Times New Roman" w:hAnsi="Times New Roman" w:eastAsia="宋体"/>
      <w:sz w:val="24"/>
    </w:rPr>
  </w:style>
  <w:style w:type="character" w:customStyle="1" w:styleId="43">
    <w:name w:val="批注文字 字符1"/>
    <w:semiHidden/>
    <w:qFormat/>
    <w:uiPriority w:val="0"/>
    <w:rPr>
      <w:rFonts w:ascii="Times New Roman" w:hAnsi="Times New Roman" w:eastAsia="宋体"/>
      <w:sz w:val="24"/>
    </w:rPr>
  </w:style>
  <w:style w:type="paragraph" w:customStyle="1" w:styleId="4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5">
    <w:name w:val="普通(网站)2"/>
    <w:basedOn w:val="1"/>
    <w:qFormat/>
    <w:uiPriority w:val="0"/>
    <w:pPr>
      <w:widowControl/>
      <w:spacing w:before="100" w:beforeAutospacing="1" w:after="100" w:afterAutospacing="1"/>
      <w:jc w:val="left"/>
    </w:pPr>
    <w:rPr>
      <w:rFonts w:ascii="宋体" w:hAnsi="宋体"/>
      <w:sz w:val="24"/>
      <w:szCs w:val="20"/>
    </w:rPr>
  </w:style>
  <w:style w:type="table" w:customStyle="1" w:styleId="46">
    <w:name w:val="Table Normal"/>
    <w:unhideWhenUsed/>
    <w:qFormat/>
    <w:uiPriority w:val="0"/>
    <w:tblPr>
      <w:tblCellMar>
        <w:top w:w="0" w:type="dxa"/>
        <w:left w:w="0" w:type="dxa"/>
        <w:bottom w:w="0" w:type="dxa"/>
        <w:right w:w="0" w:type="dxa"/>
      </w:tblCellMar>
    </w:tblPr>
  </w:style>
  <w:style w:type="paragraph" w:customStyle="1" w:styleId="47">
    <w:name w:val="Table Text"/>
    <w:basedOn w:val="1"/>
    <w:semiHidden/>
    <w:qFormat/>
    <w:uiPriority w:val="0"/>
    <w:rPr>
      <w:rFonts w:ascii="宋体" w:hAnsi="宋体" w:cs="宋体"/>
      <w:sz w:val="20"/>
      <w:szCs w:val="20"/>
      <w:lang w:eastAsia="en-US"/>
    </w:rPr>
  </w:style>
  <w:style w:type="paragraph" w:customStyle="1" w:styleId="48">
    <w:name w:val="样式 正文缩进正文缩进2正文缩进 Char Char正文缩进 Char Char Char Char正文缩进 Char ..."/>
    <w:basedOn w:val="5"/>
    <w:autoRedefine/>
    <w:qFormat/>
    <w:uiPriority w:val="0"/>
    <w:pPr>
      <w:ind w:firstLine="200"/>
    </w:pPr>
    <w:rPr>
      <w:rFonts w:ascii="Calibri" w:hAnsi="Calibri" w:cs="宋体"/>
      <w:sz w:val="24"/>
      <w:szCs w:val="24"/>
    </w:rPr>
  </w:style>
  <w:style w:type="paragraph" w:customStyle="1" w:styleId="49">
    <w:name w:val="表标题"/>
    <w:basedOn w:val="1"/>
    <w:qFormat/>
    <w:uiPriority w:val="0"/>
    <w:pPr>
      <w:spacing w:beforeLines="50" w:afterLines="50"/>
      <w:jc w:val="center"/>
    </w:pPr>
    <w:rPr>
      <w:b/>
    </w:rPr>
  </w:style>
  <w:style w:type="paragraph" w:customStyle="1" w:styleId="50">
    <w:name w:val="Table Paragraph"/>
    <w:basedOn w:val="1"/>
    <w:qFormat/>
    <w:uiPriority w:val="1"/>
    <w:rPr>
      <w:rFonts w:ascii="Calibri" w:hAnsi="Calibri"/>
      <w:sz w:val="22"/>
      <w:szCs w:val="22"/>
      <w:lang w:eastAsia="en-US"/>
    </w:rPr>
  </w:style>
  <w:style w:type="paragraph" w:customStyle="1" w:styleId="51">
    <w:name w:val="Default"/>
    <w:basedOn w:val="52"/>
    <w:next w:val="21"/>
    <w:qFormat/>
    <w:uiPriority w:val="0"/>
    <w:pPr>
      <w:autoSpaceDE w:val="0"/>
      <w:autoSpaceDN w:val="0"/>
      <w:adjustRightInd w:val="0"/>
    </w:pPr>
    <w:rPr>
      <w:rFonts w:cs="宋体"/>
      <w:color w:val="000000"/>
      <w:sz w:val="24"/>
      <w:szCs w:val="24"/>
    </w:rPr>
  </w:style>
  <w:style w:type="paragraph" w:customStyle="1" w:styleId="52">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53">
    <w:name w:val="纯文本1"/>
    <w:basedOn w:val="1"/>
    <w:qFormat/>
    <w:uiPriority w:val="99"/>
    <w:rPr>
      <w:rFonts w:ascii="宋体" w:hAnsi="Courier New"/>
      <w:szCs w:val="22"/>
    </w:rPr>
  </w:style>
  <w:style w:type="paragraph" w:customStyle="1" w:styleId="54">
    <w:name w:val="样式35"/>
    <w:basedOn w:val="55"/>
    <w:next w:val="1"/>
    <w:qFormat/>
    <w:uiPriority w:val="0"/>
    <w:pPr>
      <w:spacing w:line="312" w:lineRule="auto"/>
      <w:ind w:firstLine="567"/>
      <w:jc w:val="both"/>
    </w:pPr>
    <w:rPr>
      <w:rFonts w:ascii="宋体" w:hAnsi="Times New Roman" w:eastAsia="宋体"/>
      <w:szCs w:val="22"/>
    </w:rPr>
  </w:style>
  <w:style w:type="paragraph" w:customStyle="1" w:styleId="55">
    <w:name w:val="表 内容"/>
    <w:basedOn w:val="1"/>
    <w:qFormat/>
    <w:uiPriority w:val="0"/>
    <w:pPr>
      <w:spacing w:line="276" w:lineRule="auto"/>
      <w:jc w:val="center"/>
    </w:pPr>
    <w:rPr>
      <w:rFonts w:ascii="仿宋" w:hAnsi="仿宋" w:eastAsia="仿宋"/>
      <w:kern w:val="0"/>
    </w:rPr>
  </w:style>
  <w:style w:type="paragraph" w:customStyle="1" w:styleId="56">
    <w:name w:val="font6"/>
    <w:next w:val="18"/>
    <w:qFormat/>
    <w:uiPriority w:val="0"/>
    <w:pPr>
      <w:spacing w:before="280" w:after="280"/>
      <w:jc w:val="both"/>
    </w:pPr>
    <w:rPr>
      <w:rFonts w:ascii="Times New Roman" w:hAnsi="Times New Roman" w:eastAsia="宋体" w:cs="Times New Roman"/>
      <w:kern w:val="2"/>
      <w:sz w:val="21"/>
      <w:szCs w:val="22"/>
      <w:lang w:val="en-US" w:eastAsia="zh-CN" w:bidi="ar-SA"/>
    </w:rPr>
  </w:style>
  <w:style w:type="paragraph" w:customStyle="1" w:styleId="57">
    <w:name w:val="表格内容"/>
    <w:basedOn w:val="1"/>
    <w:qFormat/>
    <w:uiPriority w:val="0"/>
    <w:pPr>
      <w:adjustRightInd w:val="0"/>
      <w:snapToGrid w:val="0"/>
      <w:jc w:val="center"/>
    </w:pPr>
    <w:rPr>
      <w:bCs/>
      <w:color w:val="000000" w:themeColor="text1"/>
      <w:szCs w:val="21"/>
      <w14:textFill>
        <w14:solidFill>
          <w14:schemeClr w14:val="tx1"/>
        </w14:solidFill>
      </w14:textFill>
    </w:rPr>
  </w:style>
  <w:style w:type="paragraph" w:customStyle="1" w:styleId="58">
    <w:name w:val="表头"/>
    <w:basedOn w:val="17"/>
    <w:next w:val="1"/>
    <w:qFormat/>
    <w:uiPriority w:val="0"/>
    <w:pPr>
      <w:ind w:left="0" w:firstLine="0" w:firstLineChars="0"/>
      <w:jc w:val="center"/>
    </w:pPr>
    <w:rPr>
      <w:b/>
    </w:rPr>
  </w:style>
  <w:style w:type="paragraph" w:customStyle="1" w:styleId="59">
    <w:name w:val="环保正文"/>
    <w:basedOn w:val="1"/>
    <w:qFormat/>
    <w:uiPriority w:val="0"/>
    <w:pPr>
      <w:tabs>
        <w:tab w:val="left" w:pos="0"/>
        <w:tab w:val="left" w:pos="7012"/>
      </w:tabs>
      <w:autoSpaceDE w:val="0"/>
      <w:autoSpaceDN w:val="0"/>
      <w:spacing w:line="360" w:lineRule="auto"/>
      <w:ind w:firstLine="200" w:firstLineChars="200"/>
    </w:pPr>
    <w:rPr>
      <w:rFonts w:ascii="宋体" w:hAnsi="宋体"/>
      <w:kern w:val="0"/>
    </w:rPr>
  </w:style>
  <w:style w:type="paragraph" w:customStyle="1" w:styleId="60">
    <w:name w:val="[1]正文"/>
    <w:basedOn w:val="1"/>
    <w:qFormat/>
    <w:uiPriority w:val="0"/>
    <w:pPr>
      <w:autoSpaceDE w:val="0"/>
      <w:autoSpaceDN w:val="0"/>
      <w:ind w:firstLine="200" w:firstLineChars="200"/>
    </w:pPr>
    <w:rPr>
      <w:color w:val="000000"/>
      <w:kern w:val="0"/>
      <w:szCs w:val="24"/>
      <w:lang w:val="zh-CN"/>
    </w:rPr>
  </w:style>
  <w:style w:type="paragraph" w:customStyle="1" w:styleId="61">
    <w:name w:val="正文-ls"/>
    <w:basedOn w:val="1"/>
    <w:qFormat/>
    <w:uiPriority w:val="0"/>
    <w:pPr>
      <w:spacing w:line="360" w:lineRule="auto"/>
      <w:ind w:firstLine="200" w:firstLineChars="200"/>
    </w:pPr>
    <w:rPr>
      <w:rFonts w:hAnsi="宋体"/>
      <w:sz w:val="24"/>
      <w:szCs w:val="20"/>
    </w:rPr>
  </w:style>
  <w:style w:type="character" w:customStyle="1" w:styleId="62">
    <w:name w:val="font01"/>
    <w:basedOn w:val="24"/>
    <w:qFormat/>
    <w:uiPriority w:val="0"/>
    <w:rPr>
      <w:rFonts w:hint="eastAsia" w:ascii="宋体" w:hAnsi="宋体" w:eastAsia="宋体" w:cs="宋体"/>
      <w:color w:val="000000"/>
      <w:sz w:val="22"/>
      <w:szCs w:val="22"/>
      <w:u w:val="none"/>
    </w:rPr>
  </w:style>
  <w:style w:type="character" w:customStyle="1" w:styleId="63">
    <w:name w:val="font11"/>
    <w:basedOn w:val="24"/>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8" Type="http://schemas.openxmlformats.org/officeDocument/2006/relationships/fontTable" Target="fontTable.xml"/><Relationship Id="rId77" Type="http://schemas.openxmlformats.org/officeDocument/2006/relationships/customXml" Target="../customXml/item2.xml"/><Relationship Id="rId76" Type="http://schemas.openxmlformats.org/officeDocument/2006/relationships/numbering" Target="numbering.xml"/><Relationship Id="rId75" Type="http://schemas.openxmlformats.org/officeDocument/2006/relationships/customXml" Target="../customXml/item1.xml"/><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jpeg"/><Relationship Id="rId7" Type="http://schemas.openxmlformats.org/officeDocument/2006/relationships/footer" Target="footer5.xml"/><Relationship Id="rId69" Type="http://schemas.openxmlformats.org/officeDocument/2006/relationships/image" Target="media/image58.jpeg"/><Relationship Id="rId68" Type="http://schemas.openxmlformats.org/officeDocument/2006/relationships/image" Target="media/image57.jpeg"/><Relationship Id="rId67" Type="http://schemas.openxmlformats.org/officeDocument/2006/relationships/image" Target="media/image56.jpeg"/><Relationship Id="rId66" Type="http://schemas.openxmlformats.org/officeDocument/2006/relationships/image" Target="media/image55.jpeg"/><Relationship Id="rId65" Type="http://schemas.openxmlformats.org/officeDocument/2006/relationships/image" Target="media/image54.jpeg"/><Relationship Id="rId64" Type="http://schemas.openxmlformats.org/officeDocument/2006/relationships/image" Target="media/image53.jpe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4.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footer" Target="footer3.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jpeg"/><Relationship Id="rId4" Type="http://schemas.openxmlformats.org/officeDocument/2006/relationships/footer" Target="footer2.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jpe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jpe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er" Target="foot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jpe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ea0a2ca1-7650-4561-b367-6d62e83d6bf6</errorID>
      <errorWord>-</errorWord>
      <group>L1_Format</group>
      <groupName>格式问题</groupName>
      <ability>L2_HalfPunc</ability>
      <abilityName>全半角检查</abilityName>
      <candidateList>
        <item>－</item>
      </candidateList>
      <explain>文本全半角错误。</explain>
      <paraID>2B6D151C</paraID>
      <start>40</start>
      <end>41</end>
      <status>unmodified</status>
      <modifiedWord/>
      <trackRevisions>false</trackRevisions>
    </reviewItem>
    <reviewItem>
      <errorID>05ec6378-3e49-4360-904f-976e83a2265d</errorID>
      <errorWord>》（试行）</errorWord>
      <group>L1_Word</group>
      <groupName>字词问题</groupName>
      <ability>L2_Typo</ability>
      <abilityName>字词错误</abilityName>
      <candidateList>
        <item>（试行）》</item>
      </candidateList>
      <explain/>
      <paraID>1E62E594</paraID>
      <start>27</start>
      <end>32</end>
      <status>unmodified</status>
      <modifiedWord/>
      <trackRevisions>false</trackRevisions>
    </reviewItem>
    <reviewItem>
      <errorID>1353d7bc-183a-446b-ad13-e28321bc6333</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6AB649F4</paraID>
      <start>11</start>
      <end>15</end>
      <status>unmodified</status>
      <modifiedWord/>
      <trackRevisions>false</trackRevisions>
    </reviewItem>
    <reviewItem>
      <errorID>ed069295-df5e-4f91-80c3-9c5e447914c9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30FEE80</paraID>
      <start>0</start>
      <end>2</end>
      <status>unmodified</status>
      <modifiedWord/>
      <trackRevisions>false</trackRevisions>
    </reviewItem>
    <reviewItem>
      <errorID>743e6444-0c2b-4c9c-b020-b5cb6ad28d60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2C825624</paraID>
      <start>0</start>
      <end>2</end>
      <status>unmodified</status>
      <modifiedWord/>
      <trackRevisions>false</trackRevisions>
    </reviewItem>
    <reviewItem>
      <errorID>50a1fc5c-203c-4151-9969-d46b940ee61a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DE72B32</paraID>
      <start>0</start>
      <end>2</end>
      <status>unmodified</status>
      <modifiedWord/>
      <trackRevisions>false</trackRevisions>
    </reviewItem>
    <reviewItem>
      <errorID>60fbe48b-cd8a-4592-9539-956cce289fc4</errorID>
      <errorWord>（</errorWord>
      <group>L1_Punc</group>
      <groupName>标点问题</groupName>
      <ability>L2_Punc</ability>
      <abilityName>标点符号检查</abilityName>
      <candidateList>
        <item>》（</item>
      </candidateList>
      <explain/>
      <paraID>3FA73832</paraID>
      <start>27</start>
      <end>28</end>
      <status>unmodified</status>
      <modifiedWord/>
      <trackRevisions>false</trackRevisions>
    </reviewItem>
    <reviewItem>
      <errorID>92a09351-750b-4b60-ac18-51f7bd5f6ff1</errorID>
      <errorWord>》</errorWord>
      <group>L1_Punc</group>
      <groupName>标点问题</groupName>
      <ability>L2_Punc</ability>
      <abilityName>标点符号检查</abilityName>
      <candidateList>
        <item/>
      </candidateList>
      <explain/>
      <paraID>3FA73832</paraID>
      <start>31</start>
      <end>32</end>
      <status>unmodified</status>
      <modifiedWord/>
      <trackRevisions>false</trackRevisions>
    </reviewItem>
    <reviewItem>
      <errorID>38af597b-6f0b-42db-960c-ba786463b3b5</errorID>
      <errorWord>原则表</errorWord>
      <group>L1_Word</group>
      <groupName>字词问题</groupName>
      <ability>L2_Typo</ability>
      <abilityName>字词错误</abilityName>
      <candidateList>
        <item>原则</item>
      </candidateList>
      <explain/>
      <paraID>3FA73832</paraID>
      <start>40</start>
      <end>43</end>
      <status>unmodified</status>
      <modifiedWord/>
      <trackRevisions>false</trackRevisions>
    </reviewItem>
    <reviewItem>
      <errorID>925e235f-dd11-4b51-a3c3-89c3dee432a9</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3FA73832</paraID>
      <start>47</start>
      <end>51</end>
      <status>unmodified</status>
      <modifiedWord/>
      <trackRevisions>false</trackRevisions>
    </reviewItem>
    <reviewItem>
      <errorID>a816a3ab-d86d-4fda-a77d-b22f9cf4c532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470C9F0B</paraID>
      <start>30</start>
      <end>31</end>
      <status>unmodified</status>
      <modifiedWord/>
      <trackRevisions>false</trackRevisions>
    </reviewItem>
    <reviewItem>
      <errorID>fd7cf319-3739-4b49-8657-f6a752d6acdc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205FD45C</paraID>
      <start>0</start>
      <end>2</end>
      <status>unmodified</status>
      <modifiedWord/>
      <trackRevisions>false</trackRevisions>
    </reviewItem>
    <reviewItem>
      <errorID>5dc88ed0-ad81-4b47-9787-985bdb2846ea</errorID>
      <errorWord>表</errorWord>
      <group>L1_Word</group>
      <groupName>字词问题</groupName>
      <ability>L2_Typo</ability>
      <abilityName>字词错误</abilityName>
      <candidateList>
        <item>见表</item>
      </candidateList>
      <explain/>
      <paraID>58E5FE4C</paraID>
      <start>132</start>
      <end>134</end>
      <status>modified</status>
      <modifiedWord>见表</modifiedWord>
      <trackRevisions>false</trackRevisions>
    </reviewItem>
    <reviewItem>
      <errorID>c870cd86-16ad-4a79-be6d-62360498993a</errorID>
      <errorWord>，</errorWord>
      <group>L1_Punc</group>
      <groupName>标点问题</groupName>
      <ability>L2_Punc</ability>
      <abilityName>标点符号检查</abilityName>
      <candidateList>
        <item>、</item>
      </candidateList>
      <explain/>
      <paraID>34226587</paraID>
      <start>75</start>
      <end>76</end>
      <status>unmodified</status>
      <modifiedWord/>
      <trackRevisions>false</trackRevisions>
    </reviewItem>
    <reviewItem>
      <errorID>e67e9eb6-9c82-45bc-8ff0-3e8f03e6ffba</errorID>
      <errorWord>(</errorWord>
      <group>L1_Format</group>
      <groupName>格式问题</groupName>
      <ability>L2_HalfPunc</ability>
      <abilityName>全半角检查</abilityName>
      <candidateList>
        <item>（</item>
      </candidateList>
      <explain>文本全半角错误。</explain>
      <paraID>3088C1F0</paraID>
      <start>69</start>
      <end>70</end>
      <status>unmodified</status>
      <modifiedWord/>
      <trackRevisions>false</trackRevisions>
    </reviewItem>
    <reviewItem>
      <errorID>c5651c21-ccf0-4629-a6be-982234f53c57</errorID>
      <errorWord>)</errorWord>
      <group>L1_Format</group>
      <groupName>格式问题</groupName>
      <ability>L2_HalfPunc</ability>
      <abilityName>全半角检查</abilityName>
      <candidateList>
        <item>）</item>
      </candidateList>
      <explain>文本全半角错误。</explain>
      <paraID>3088C1F0</paraID>
      <start>82</start>
      <end>83</end>
      <status>unmodified</status>
      <modifiedWord/>
      <trackRevisions>false</trackRevisions>
    </reviewItem>
    <reviewItem>
      <errorID>a0702f72-a4d8-4d29-8e4e-18ac57e4e3e3</errorID>
      <errorWord>(</errorWord>
      <group>L1_Format</group>
      <groupName>格式问题</groupName>
      <ability>L2_HalfPunc</ability>
      <abilityName>全半角检查</abilityName>
      <candidateList>
        <item>（</item>
      </candidateList>
      <explain>文本全半角错误。</explain>
      <paraID>3088C1F0</paraID>
      <start>273</start>
      <end>274</end>
      <status>unmodified</status>
      <modifiedWord/>
      <trackRevisions>false</trackRevisions>
    </reviewItem>
    <reviewItem>
      <errorID>470fe233-ee09-47b3-a223-90f8ec77b3eb</errorID>
      <errorWord>)</errorWord>
      <group>L1_Format</group>
      <groupName>格式问题</groupName>
      <ability>L2_HalfPunc</ability>
      <abilityName>全半角检查</abilityName>
      <candidateList>
        <item>）</item>
      </candidateList>
      <explain>文本全半角错误。</explain>
      <paraID>3088C1F0</paraID>
      <start>286</start>
      <end>287</end>
      <status>unmodified</status>
      <modifiedWord/>
      <trackRevisions>false</trackRevisions>
    </reviewItem>
    <reviewItem>
      <errorID>edb58c60-7688-47dd-83a3-3c6b5db0fa43</errorID>
      <errorWord>托</errorWord>
      <group>L1_Word</group>
      <groupName>字词问题</groupName>
      <ability>L2_Typo</ability>
      <abilityName>字词错误</abilityName>
      <candidateList>
        <item>委托</item>
      </candidateList>
      <explain/>
      <paraID>3088C1F0</paraID>
      <start>343</start>
      <end>345</end>
      <status>modified</status>
      <modifiedWord>委托</modifiedWord>
      <trackRevisions>false</trackRevisions>
    </reviewItem>
    <reviewItem>
      <errorID>eb44a0f3-d13f-4806-b074-8e69b022c390</errorID>
      <errorWord>废是金属</errorWord>
      <group>L1_Word</group>
      <groupName>字词问题</groupName>
      <ability>L2_Typo</ability>
      <abilityName>字词错误</abilityName>
      <candidateList>
        <item>废弃金属</item>
      </candidateList>
      <explain/>
      <paraID>4787A166</paraID>
      <start>73</start>
      <end>77</end>
      <status>unmodified</status>
      <modifiedWord/>
      <trackRevisions>false</trackRevisions>
    </reviewItem>
    <reviewItem>
      <errorID>00e753cf-8180-4d9d-bc23-d6272684255e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41C516EE</paraID>
      <start>0</start>
      <end>3</end>
      <status>unmodified</status>
      <modifiedWord/>
      <trackRevisions>false</trackRevisions>
    </reviewItem>
    <reviewItem>
      <errorID>7091868e-cffa-4c66-9923-831856a83a16</errorID>
      <errorWord>当地其它</errorWord>
      <group>L1_Word</group>
      <groupName>字词问题</groupName>
      <ability>L2_Alias</ability>
      <abilityName>也作/曾用词</abilityName>
      <candidateList>
        <item>当地其他</item>
      </candidateList>
      <explain>词汇[当地其它]为不规范表述或旧称，其规范书面表述为[当地其他]。</explain>
      <paraID>41C516EE</paraID>
      <start>67</start>
      <end>71</end>
      <status>unmodified</status>
      <modifiedWord/>
      <trackRevisions>false</trackRevisions>
    </reviewItem>
    <reviewItem>
      <errorID>e0ef20e9-0077-4ba0-9b36-99e1ff186746</errorID>
      <errorWord>(</errorWord>
      <group>L1_Format</group>
      <groupName>格式问题</groupName>
      <ability>L2_HalfPunc</ability>
      <abilityName>全半角检查</abilityName>
      <candidateList>
        <item>（</item>
      </candidateList>
      <explain>文本全半角错误。</explain>
      <paraID>41C516EE</paraID>
      <start>111</start>
      <end>112</end>
      <status>unmodified</status>
      <modifiedWord/>
      <trackRevisions>false</trackRevisions>
    </reviewItem>
    <reviewItem>
      <errorID>7ad61510-3910-475d-ae34-822d9edba444</errorID>
      <errorWord>[2019]21号</errorWord>
      <group>L1_Knowledge</group>
      <groupName>知识性问题</groupName>
      <ability>L2_Knowledge</ability>
      <abilityName>其他知识</abilityName>
      <candidateList>
        <item>〔2019〕21号</item>
      </candidateList>
      <explain>发文字号格式错误。</explain>
      <paraID>41C516EE</paraID>
      <start>115</start>
      <end>124</end>
      <status>unmodified</status>
      <modifiedWord/>
      <trackRevisions>false</trackRevisions>
    </reviewItem>
    <reviewItem>
      <errorID>08dafc65-463e-46e4-9d0a-fdabe95a68a9</errorID>
      <errorWord>)</errorWord>
      <group>L1_Punc</group>
      <groupName>标点问题</groupName>
      <ability>L2_Punc</ability>
      <abilityName>标点符号检查</abilityName>
      <candidateList>
        <item>）</item>
      </candidateList>
      <explain/>
      <paraID>41C516EE</paraID>
      <start>124</start>
      <end>125</end>
      <status>unmodified</status>
      <modifiedWord/>
      <trackRevisions>false</trackRevisions>
    </reviewItem>
    <reviewItem>
      <errorID>510c3086-f2f2-45e0-98be-f989ba8d607b</errorID>
      <errorWord>(</errorWord>
      <group>L1_Punc</group>
      <groupName>标点问题</groupName>
      <ability>L2_Punc</ability>
      <abilityName>标点符号检查</abilityName>
      <candidateList>
        <item>（</item>
      </candidateList>
      <explain/>
      <paraID>41C516EE</paraID>
      <start>170</start>
      <end>171</end>
      <status>unmodified</status>
      <modifiedWord/>
      <trackRevisions>false</trackRevisions>
    </reviewItem>
    <reviewItem>
      <errorID>565de14c-0d54-403f-a53d-13efd21ccc5c</errorID>
      <errorWord>〔2018]88号</errorWord>
      <group>L1_Knowledge</group>
      <groupName>知识性问题</groupName>
      <ability>L2_Knowledge</ability>
      <abilityName>其他知识</abilityName>
      <candidateList>
        <item>〔2018〕88号</item>
      </candidateList>
      <explain>发文字号格式错误。</explain>
      <paraID>41C516EE</paraID>
      <start>175</start>
      <end>184</end>
      <status>unmodified</status>
      <modifiedWord/>
      <trackRevisions>false</trackRevisions>
    </reviewItem>
    <reviewItem>
      <errorID>b00f0042-da3d-44bd-9627-4a757f466f71</errorID>
      <errorWord>)</errorWord>
      <group>L1_Punc</group>
      <groupName>标点问题</groupName>
      <ability>L2_Punc</ability>
      <abilityName>标点符号检查</abilityName>
      <candidateList>
        <item>）</item>
      </candidateList>
      <explain/>
      <paraID>41C516EE</paraID>
      <start>184</start>
      <end>185</end>
      <status>unmodified</status>
      <modifiedWord/>
      <trackRevisions>false</trackRevisions>
    </reviewItem>
    <reviewItem>
      <errorID>3c5605e5-1bd9-4103-8686-d4b869f814f7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54562964</paraID>
      <start>0</start>
      <end>3</end>
      <status>unmodified</status>
      <modifiedWord/>
      <trackRevisions>false</trackRevisions>
    </reviewItem>
    <reviewItem>
      <errorID>9eaa4a62-15b3-4b0c-817b-135ce888e3b4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31ADF9CE</paraID>
      <start>0</start>
      <end>3</end>
      <status>unmodified</status>
      <modifiedWord/>
      <trackRevisions>false</trackRevisions>
    </reviewItem>
    <reviewItem>
      <errorID>e2a2c240-1f61-4101-bca7-8ff9a8f68afd</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48AEA2C7</paraID>
      <start>5</start>
      <end>11</end>
      <status>modified</status>
      <modifiedWord>“三线一单”</modifiedWord>
      <trackRevisions>false</trackRevisions>
    </reviewItem>
    <reviewItem>
      <errorID>5753f991-5cba-4c68-bd1e-50250743d271</errorID>
      <errorWord>至</errorWord>
      <group>L1_Word</group>
      <groupName>字词问题</groupName>
      <ability>L2_Typo</ability>
      <abilityName>字词错误</abilityName>
      <candidateList>
        <item>只</item>
      </candidateList>
      <explain/>
      <paraID>48AEA2C7</paraID>
      <start>66</start>
      <end>67</end>
      <status>modified</status>
      <modifiedWord>只</modifiedWord>
      <trackRevisions>false</trackRevisions>
    </reviewItem>
    <reviewItem>
      <errorID>05fbfe08-fc94-40d8-971e-fb431e3be6fb</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4FECD61A</paraID>
      <start>0</start>
      <end>3</end>
      <status>unmodified</status>
      <modifiedWord/>
      <trackRevisions>false</trackRevisions>
    </reviewItem>
    <reviewItem>
      <errorID>bf4a994f-ec37-4bfb-91af-85c3ea837ec3</errorID>
      <errorWord>废是金属</errorWord>
      <group>L1_Word</group>
      <groupName>字词问题</groupName>
      <ability>L2_Typo</ability>
      <abilityName>字词错误</abilityName>
      <candidateList>
        <item>废弃金属</item>
      </candidateList>
      <explain/>
      <paraID> 98D4ED9</paraID>
      <start>108</start>
      <end>112</end>
      <status>unmodified</status>
      <modifiedWord/>
      <trackRevisions>false</trackRevisions>
    </reviewItem>
    <reviewItem>
      <errorID>6b2d725c-326d-424a-9454-381d41e37163</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393029E2</paraID>
      <start>0</start>
      <end>3</end>
      <status>unmodified</status>
      <modifiedWord/>
      <trackRevisions>false</trackRevisions>
    </reviewItem>
    <reviewItem>
      <errorID>ac255a05-d538-47b7-b0bc-82837781ae91</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565E3B9C</paraID>
      <start>0</start>
      <end>3</end>
      <status>unmodified</status>
      <modifiedWord/>
      <trackRevisions>false</trackRevisions>
    </reviewItem>
    <reviewItem>
      <errorID>f2f0f5d3-d698-46f3-af6c-92dbfcdb6018</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56B8D7CD</paraID>
      <start>0</start>
      <end>3</end>
      <status>unmodified</status>
      <modifiedWord/>
      <trackRevisions>false</trackRevisions>
    </reviewItem>
    <reviewItem>
      <errorID>cd84ede1-2db9-47a4-b5db-bed3bfb8a27b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2B902364</paraID>
      <start>0</start>
      <end>2</end>
      <status>unmodified</status>
      <modifiedWord/>
      <trackRevisions>false</trackRevisions>
    </reviewItem>
    <reviewItem>
      <errorID>99501873-0414-4e74-a708-0c5dbe8dff21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5B428574</paraID>
      <start>73</start>
      <end>74</end>
      <status>unmodified</status>
      <modifiedWord/>
      <trackRevisions>false</trackRevisions>
    </reviewItem>
    <reviewItem>
      <errorID>7ba1b8ec-2827-4274-81c2-42e69665348d</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5B428574</paraID>
      <start>83</start>
      <end>91</end>
      <status>unmodified</status>
      <modifiedWord/>
      <trackRevisions>false</trackRevisions>
    </reviewItem>
    <reviewItem>
      <errorID>8312a694-d68b-4f3b-ac64-c1e56a8e7b2f</errorID>
      <errorWord>政策的</errorWord>
      <group>L1_Word</group>
      <groupName>字词问题</groupName>
      <ability>L2_Typo</ability>
      <abilityName>字词错误</abilityName>
      <candidateList>
        <item>政策</item>
      </candidateList>
      <explain/>
      <paraID> 398F7BF</paraID>
      <start>61</start>
      <end>64</end>
      <status>unmodified</status>
      <modifiedWord/>
      <trackRevisions>false</trackRevisions>
    </reviewItem>
    <reviewItem>
      <errorID>1ed83435-873a-4a93-8320-1f7014fd0260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71298C71</paraID>
      <start>0</start>
      <end>2</end>
      <status>unmodified</status>
      <modifiedWord/>
      <trackRevisions>false</trackRevisions>
    </reviewItem>
    <reviewItem>
      <errorID>eee47ee7-c078-4e09-8e79-e7c245efdd68</errorID>
      <errorWord>》根据</errorWord>
      <group>L1_Grammar</group>
      <groupName>语法问题</groupName>
      <ability>L2_Grammar</ability>
      <abilityName>语法错误</abilityName>
      <candidateList>
        <item>》</item>
      </candidateList>
      <explain/>
      <paraID>32AEBEF2</paraID>
      <start>22</start>
      <end>25</end>
      <status>unmodified</status>
      <modifiedWord/>
      <trackRevisions>false</trackRevisions>
    </reviewItem>
    <reviewItem>
      <errorID>d601b595-1321-4421-9b18-c107396106eb</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32AEBEF2</paraID>
      <start>174</start>
      <end>175</end>
      <status>unmodified</status>
      <modifiedWord/>
      <trackRevisions>false</trackRevisions>
    </reviewItem>
    <reviewItem>
      <errorID>da02f3bd-b49a-4de8-b6a9-69ab631d42fc</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32AEBEF2</paraID>
      <start>179</start>
      <end>180</end>
      <status>unmodified</status>
      <modifiedWord/>
      <trackRevisions>false</trackRevisions>
    </reviewItem>
    <reviewItem>
      <errorID>8bfbd754-f780-4aef-ade2-d7c589418c4f</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32AEBEF2</paraID>
      <start>187</start>
      <end>188</end>
      <status>unmodified</status>
      <modifiedWord/>
      <trackRevisions>false</trackRevisions>
    </reviewItem>
    <reviewItem>
      <errorID>d5423197-a262-47f0-831d-235a63f37505</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32AEBEF2</paraID>
      <start>192</start>
      <end>193</end>
      <status>unmodified</status>
      <modifiedWord/>
      <trackRevisions>false</trackRevisions>
    </reviewItem>
    <reviewItem>
      <errorID>ba8f6806-6a84-4ebe-a1c6-be66ad4ded95</errorID>
      <errorWord>(</errorWord>
      <group>L1_Format</group>
      <groupName>格式问题</groupName>
      <ability>L2_HalfPunc</ability>
      <abilityName>全半角检查</abilityName>
      <candidateList>
        <item>（</item>
      </candidateList>
      <explain>文本全半角错误。</explain>
      <paraID>32AEBEF2</paraID>
      <start>246</start>
      <end>247</end>
      <status>unmodified</status>
      <modifiedWord/>
      <trackRevisions>false</trackRevisions>
    </reviewItem>
    <reviewItem>
      <errorID>b08aa78b-93fe-42f6-951d-a730e4ee4203</errorID>
      <errorWord>)</errorWord>
      <group>L1_Format</group>
      <groupName>格式问题</groupName>
      <ability>L2_HalfPunc</ability>
      <abilityName>全半角检查</abilityName>
      <candidateList>
        <item>）</item>
      </candidateList>
      <explain>文本全半角错误。</explain>
      <paraID>32AEBEF2</paraID>
      <start>250</start>
      <end>251</end>
      <status>unmodified</status>
      <modifiedWord/>
      <trackRevisions>false</trackRevisions>
    </reviewItem>
    <reviewItem>
      <errorID>2d03067c-004f-4b7e-a416-ceec372e94d9</errorID>
      <errorWord>聚集</errorWord>
      <group>L1_Word</group>
      <groupName>字词问题</groupName>
      <ability>L2_Typo</ability>
      <abilityName>字词错误</abilityName>
      <candidateList>
        <item>集聚</item>
      </candidateList>
      <explain/>
      <paraID>6039BE03</paraID>
      <start>23</start>
      <end>25</end>
      <status>unmodified</status>
      <modifiedWord/>
      <trackRevisions>false</trackRevisions>
    </reviewItem>
    <reviewItem>
      <errorID>03821278-f3b5-484a-8f08-71205ba5c43c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259DE039</paraID>
      <start>0</start>
      <end>2</end>
      <status>unmodified</status>
      <modifiedWord/>
      <trackRevisions>false</trackRevisions>
    </reviewItem>
    <reviewItem>
      <errorID>d5c16f14-f8b6-4a22-8de2-3ea21e63a55c</errorID>
      <errorWord>、</errorWord>
      <group>L1_Punc</group>
      <groupName>标点问题</groupName>
      <ability>L2_Punc</ability>
      <abilityName>标点符号检查</abilityName>
      <candidateList>
        <item> </item>
      </candidateList>
      <explain/>
      <paraID>41622A07</paraID>
      <start>44</start>
      <end>45</end>
      <status>unmodified</status>
      <modifiedWord/>
      <trackRevisions>false</trackRevisions>
    </reviewItem>
    <reviewItem>
      <errorID>e59793aa-49f4-44e4-83a0-c3d0c8f49cc4</errorID>
      <errorWord>、</errorWord>
      <group>L1_Punc</group>
      <groupName>标点问题</groupName>
      <ability>L2_Punc</ability>
      <abilityName>标点符号检查</abilityName>
      <candidateList>
        <item> </item>
      </candidateList>
      <explain/>
      <paraID>41622A07</paraID>
      <start>68</start>
      <end>69</end>
      <status>unmodified</status>
      <modifiedWord/>
      <trackRevisions>false</trackRevisions>
    </reviewItem>
    <reviewItem>
      <errorID>48ead4b3-8a64-4416-9f02-c07ba5453295</errorID>
      <errorWord>、</errorWord>
      <group>L1_Punc</group>
      <groupName>标点问题</groupName>
      <ability>L2_Punc</ability>
      <abilityName>标点符号检查</abilityName>
      <candidateList>
        <item> </item>
      </candidateList>
      <explain/>
      <paraID>41622A07</paraID>
      <start>81</start>
      <end>82</end>
      <status>unmodified</status>
      <modifiedWord/>
      <trackRevisions>false</trackRevisions>
    </reviewItem>
    <reviewItem>
      <errorID>6cc51de2-7a05-44ec-8761-9c5b7c3132c9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6BC377FE</paraID>
      <start>0</start>
      <end>2</end>
      <status>unmodified</status>
      <modifiedWord/>
      <trackRevisions>false</trackRevisions>
    </reviewItem>
    <reviewItem>
      <errorID>eded4062-4a8a-4ad6-9da1-7f0eb79a7b56</errorID>
      <errorWord>“</errorWord>
      <group>L1_Punc</group>
      <groupName>标点问题</groupName>
      <ability>L2_Punc</ability>
      <abilityName>标点符号检查</abilityName>
      <candidateList>
        <item>：“</item>
      </candidateList>
      <explain/>
      <paraID> 80DC721</paraID>
      <start>25</start>
      <end>26</end>
      <status>unmodified</status>
      <modifiedWord/>
      <trackRevisions>false</trackRevisions>
    </reviewItem>
    <reviewItem>
      <errorID>25feadc4-62c7-4c91-a6ef-c39a9c5234e9</errorID>
      <errorWord>“三化”</errorWord>
      <group>L1_Punc</group>
      <groupName>标点问题</groupName>
      <ability>L2_Punc</ability>
      <abilityName>标点符号检查</abilityName>
      <candidateList>
        <item>‘三化’</item>
      </candidateList>
      <explain/>
      <paraID> 80DC721</paraID>
      <start>184</start>
      <end>188</end>
      <status>unmodified</status>
      <modifiedWord/>
      <trackRevisions>false</trackRevisions>
    </reviewItem>
    <reviewItem>
      <errorID>1b6c0fba-a60d-4991-b209-955f4d3c8fd2</errorID>
      <errorWord>“</errorWord>
      <group>L1_Punc</group>
      <groupName>标点问题</groupName>
      <ability>L2_Punc</ability>
      <abilityName>标点符号检查</abilityName>
      <candidateList>
        <item>：“</item>
      </candidateList>
      <explain/>
      <paraID> 80DC721</paraID>
      <start>204</start>
      <end>205</end>
      <status>unmodified</status>
      <modifiedWord/>
      <trackRevisions>false</trackRevisions>
    </reviewItem>
    <reviewItem>
      <errorID>5c1a9d61-ea6d-4b3f-964a-7d81da09bc08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20CFF897</paraID>
      <start>0</start>
      <end>2</end>
      <status>unmodified</status>
      <modifiedWord/>
      <trackRevisions>false</trackRevisions>
    </reviewItem>
    <reviewItem>
      <errorID>2b8a6ebf-77f0-43ba-b593-abce84933947</errorID>
      <errorWord>。</errorWord>
      <group>L1_Punc</group>
      <groupName>标点问题</groupName>
      <ability>L2_Punc</ability>
      <abilityName>标点符号检查</abilityName>
      <candidateList>
        <item>，</item>
      </candidateList>
      <explain/>
      <paraID> 32D0B75</paraID>
      <start>60</start>
      <end>61</end>
      <status>unmodified</status>
      <modifiedWord/>
      <trackRevisions>false</trackRevisions>
    </reviewItem>
    <reviewItem>
      <errorID>663dbd61-cae5-4152-a699-f6fd3d97e849</errorID>
      <errorWord>5、</errorWord>
      <group>L1_Format</group>
      <groupName>格式问题</groupName>
      <ability>L2_Ordinal</ability>
      <abilityName>序号格式</abilityName>
      <candidateList>
        <item>6、</item>
      </candidateList>
      <explain>标题顺序错误，请检查标题顺序是否合理。</explain>
      <paraID>293D9A7D</paraID>
      <start>0</start>
      <end>2</end>
      <status>unmodified</status>
      <modifiedWord/>
      <trackRevisions>false</trackRevisions>
    </reviewItem>
    <reviewItem>
      <errorID>e47ba7a2-0bf3-46af-8acf-5e6678832298</errorID>
      <errorWord>图1-1    </errorWord>
      <group>L1_Format</group>
      <groupName>格式问题</groupName>
      <ability>L2_Ordinal</ability>
      <abilityName>序号格式</abilityName>
      <candidateList>
        <item>7、</item>
      </candidateList>
      <explain>标题顺序错误，请检查标题顺序是否合理。</explain>
      <paraID>4F847BAD</paraID>
      <start>0</start>
      <end>8</end>
      <status>unmodified</status>
      <modifiedWord/>
      <trackRevisions>false</trackRevisions>
    </reviewItem>
    <reviewItem>
      <errorID>d026f92a-f17c-4b4f-ba37-77fa4617e348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C48099F</paraID>
      <start>0</start>
      <end>2</end>
      <status>unmodified</status>
      <modifiedWord/>
      <trackRevisions>false</trackRevisions>
    </reviewItem>
    <reviewItem>
      <errorID>d650da60-fbb7-4d94-bfb6-006e5562e5c0</errorID>
      <errorWord>(</errorWord>
      <group>L1_Format</group>
      <groupName>格式问题</groupName>
      <ability>L2_HalfPunc</ability>
      <abilityName>全半角检查</abilityName>
      <candidateList>
        <item>（</item>
      </candidateList>
      <explain>文本全半角错误。</explain>
      <paraID>538F3D71</paraID>
      <start>22</start>
      <end>23</end>
      <status>unmodified</status>
      <modifiedWord/>
      <trackRevisions>false</trackRevisions>
    </reviewItem>
    <reviewItem>
      <errorID>2ca69ead-eec1-4bd7-9694-ec5a9dbaae26</errorID>
      <errorWord>)</errorWord>
      <group>L1_Format</group>
      <groupName>格式问题</groupName>
      <ability>L2_HalfPunc</ability>
      <abilityName>全半角检查</abilityName>
      <candidateList>
        <item>）</item>
      </candidateList>
      <explain>文本全半角错误。</explain>
      <paraID>538F3D71</paraID>
      <start>29</start>
      <end>30</end>
      <status>unmodified</status>
      <modifiedWord/>
      <trackRevisions>false</trackRevisions>
    </reviewItem>
    <reviewItem>
      <errorID>6de7e956-a089-426f-984e-f1d099acce13</errorID>
      <errorWord>“</errorWord>
      <group>L1_Punc</group>
      <groupName>标点问题</groupName>
      <ability>L2_Punc</ability>
      <abilityName>标点符号检查</abilityName>
      <candidateList>
        <item>：“</item>
      </candidateList>
      <explain/>
      <paraID> 8CE4161</paraID>
      <start>86</start>
      <end>87</end>
      <status>unmodified</status>
      <modifiedWord/>
      <trackRevisions>false</trackRevisions>
    </reviewItem>
    <reviewItem>
      <errorID>2ad157e6-90e1-4070-9b12-102c5604fadc</errorID>
      <errorWord>。</errorWord>
      <group>L1_Punc</group>
      <groupName>标点问题</groupName>
      <ability>L2_Punc</ability>
      <abilityName>标点符号检查</abilityName>
      <candidateList>
        <item/>
      </candidateList>
      <explain/>
      <paraID> 8CE4161</paraID>
      <start>113</start>
      <end>114</end>
      <status>unmodified</status>
      <modifiedWord/>
      <trackRevisions>false</trackRevisions>
    </reviewItem>
    <reviewItem>
      <errorID>1ac1051d-9c17-4bd7-a247-b875cc979190</errorID>
      <errorWord>-</errorWord>
      <group>L1_Format</group>
      <groupName>格式问题</groupName>
      <ability>L2_HalfPunc</ability>
      <abilityName>全半角检查</abilityName>
      <candidateList>
        <item>－</item>
      </candidateList>
      <explain>文本全半角错误。</explain>
      <paraID> 8CE4161</paraID>
      <start>127</start>
      <end>128</end>
      <status>unmodified</status>
      <modifiedWord/>
      <trackRevisions>false</trackRevisions>
    </reviewItem>
    <reviewItem>
      <errorID>2fb87d2d-f0a1-49b0-8b25-3185e7dbc55a</errorID>
      <errorWord>使用水</errorWord>
      <group>L1_Word</group>
      <groupName>字词问题</groupName>
      <ability>L2_Typo</ability>
      <abilityName>字词错误</abilityName>
      <candidateList>
        <item>用水</item>
      </candidateList>
      <explain/>
      <paraID>62721FAB</paraID>
      <start>28</start>
      <end>31</end>
      <status>unmodified</status>
      <modifiedWord/>
      <trackRevisions>false</trackRevisions>
    </reviewItem>
    <reviewItem>
      <errorID>72624867-05a6-4a64-9492-7e8d3a7f2fa2</errorID>
      <errorWord>电</errorWord>
      <group>L1_Word</group>
      <groupName>字词问题</groupName>
      <ability>L2_Typo</ability>
      <abilityName>字词错误</abilityName>
      <candidateList>
        <item>用电</item>
      </candidateList>
      <explain/>
      <paraID>62721FAB</paraID>
      <start>43</start>
      <end>44</end>
      <status>unmodified</status>
      <modifiedWord/>
      <trackRevisions>false</trackRevisions>
    </reviewItem>
    <reviewItem>
      <errorID>74937ffa-4cfc-44ae-a3c1-2e1f7bfbc536</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566FF499</paraID>
      <start>12</start>
      <end>16</end>
      <status>unmodified</status>
      <modifiedWord/>
      <trackRevisions>false</trackRevisions>
    </reviewItem>
    <reviewItem>
      <errorID>3d8db44f-329d-4ca0-b71d-7f0db4473904</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566FF499</paraID>
      <start>28</start>
      <end>32</end>
      <status>unmodified</status>
      <modifiedWord/>
      <trackRevisions>false</trackRevisions>
    </reviewItem>
    <reviewItem>
      <errorID>40f7e533-e113-4799-8af4-af725e6c3b87</errorID>
      <errorWord>(</errorWord>
      <group>L1_Format</group>
      <groupName>格式问题</groupName>
      <ability>L2_HalfPunc</ability>
      <abilityName>全半角检查</abilityName>
      <candidateList>
        <item>（</item>
      </candidateList>
      <explain>文本全半角错误。</explain>
      <paraID>566FF499</paraID>
      <start>58</start>
      <end>59</end>
      <status>unmodified</status>
      <modifiedWord/>
      <trackRevisions>false</trackRevisions>
    </reviewItem>
    <reviewItem>
      <errorID>7452420b-de84-4465-a8cc-74a9743da087</errorID>
      <errorWord>)</errorWord>
      <group>L1_Format</group>
      <groupName>格式问题</groupName>
      <ability>L2_HalfPunc</ability>
      <abilityName>全半角检查</abilityName>
      <candidateList>
        <item>）</item>
      </candidateList>
      <explain>文本全半角错误。</explain>
      <paraID>566FF499</paraID>
      <start>65</start>
      <end>66</end>
      <status>unmodified</status>
      <modifiedWord/>
      <trackRevisions>false</trackRevisions>
    </reviewItem>
    <reviewItem>
      <errorID>fd458771-deab-4fcb-bfa8-0d4ce2e83def</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566FF499</paraID>
      <start>131</start>
      <end>135</end>
      <status>unmodified</status>
      <modifiedWord/>
      <trackRevisions>false</trackRevisions>
    </reviewItem>
    <reviewItem>
      <errorID>12f4041e-f46b-495f-9a13-4e29efd9bd58</errorID>
      <errorWord>-</errorWord>
      <group>L1_Format</group>
      <groupName>格式问题</groupName>
      <ability>L2_HalfPunc</ability>
      <abilityName>全半角检查</abilityName>
      <candidateList>
        <item>－</item>
      </candidateList>
      <explain>文本全半角错误。</explain>
      <paraID>23E0E6F5</paraID>
      <start>61</start>
      <end>62</end>
      <status>unmodified</status>
      <modifiedWord/>
      <trackRevisions>false</trackRevisions>
    </reviewItem>
    <reviewItem>
      <errorID>d031c19e-2562-496a-be76-f7df2ea1b13e</errorID>
      <errorWord>加强</errorWord>
      <group>L1_Punc</group>
      <groupName>标点问题</groupName>
      <ability>L2_Punc</ability>
      <abilityName>标点符号检查</abilityName>
      <candidateList>
        <item>，加强</item>
      </candidateList>
      <explain/>
      <paraID>291F8C40</paraID>
      <start>13</start>
      <end>15</end>
      <status>unmodified</status>
      <modifiedWord/>
      <trackRevisions>false</trackRevisions>
    </reviewItem>
    <reviewItem>
      <errorID>ca15384f-52e3-4e22-bff5-df292c6eb852</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32995261</paraID>
      <start>28</start>
      <end>34</end>
      <status>unmodified</status>
      <modifiedWord/>
      <trackRevisions>false</trackRevisions>
    </reviewItem>
    <reviewItem>
      <errorID>8f8232b7-f8c6-4bb8-bae9-70ab4aee9ea6</errorID>
      <errorWord>《</errorWord>
      <group>L1_Punc</group>
      <groupName>标点问题</groupName>
      <ability>L2_Punc</ability>
      <abilityName>标点符号检查</abilityName>
      <candidateList>
        <item/>
      </candidateList>
      <explain/>
      <paraID>6AFDCA3F</paraID>
      <start>17</start>
      <end>18</end>
      <status>unmodified</status>
      <modifiedWord/>
      <trackRevisions>false</trackRevisions>
    </reviewItem>
    <reviewItem>
      <errorID>cf48e214-d035-4d50-b94a-7e46da447634</errorID>
      <errorWord>》</errorWord>
      <group>L1_Punc</group>
      <groupName>标点问题</groupName>
      <ability>L2_Punc</ability>
      <abilityName>标点符号检查</abilityName>
      <candidateList>
        <item/>
      </candidateList>
      <explain/>
      <paraID>6AFDCA3F</paraID>
      <start>45</start>
      <end>46</end>
      <status>unmodified</status>
      <modifiedWord/>
      <trackRevisions>false</trackRevisions>
    </reviewItem>
    <reviewItem>
      <errorID>d7188371-eb17-4c1c-bcb3-ffca5553df71</errorID>
      <errorWord>。</errorWord>
      <group>L1_Punc</group>
      <groupName>标点问题</groupName>
      <ability>L2_Punc</ability>
      <abilityName>标点符号检查</abilityName>
      <candidateList>
        <item/>
      </candidateList>
      <explain/>
      <paraID>6AFDCA3F</paraID>
      <start>127</start>
      <end>128</end>
      <status>unmodified</status>
      <modifiedWord/>
      <trackRevisions>false</trackRevisions>
    </reviewItem>
    <reviewItem>
      <errorID>6ffc1fd7-81a7-42a9-97b3-033e443bb14c</errorID>
      <errorWord>粘结剂</errorWord>
      <group>L1_Word</group>
      <groupName>字词问题</groupName>
      <ability>L2_Typo</ability>
      <abilityName>字词错误</abilityName>
      <candidateList>
        <item>黏结剂</item>
      </candidateList>
      <explain/>
      <paraID>750B2B3D</paraID>
      <start>23</start>
      <end>26</end>
      <status>unmodified</status>
      <modifiedWord/>
      <trackRevisions>false</trackRevisions>
    </reviewItem>
    <reviewItem>
      <errorID>7e866b1e-c642-47f1-8024-d31949e0b36d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405F1E4</paraID>
      <start>17</start>
      <end>20</end>
      <status>unmodified</status>
      <modifiedWord/>
      <trackRevisions>false</trackRevisions>
    </reviewItem>
    <reviewItem>
      <errorID>ac84a4cb-43b2-45cb-9d87-ab2a788bd3be</errorID>
      <errorWord>法律、法规</errorWord>
      <group>L1_Word</group>
      <groupName>字词问题</groupName>
      <ability>L2_Typo</ability>
      <abilityName>字词错误</abilityName>
      <candidateList>
        <item>法律法规</item>
      </candidateList>
      <explain/>
      <paraID>6E663E51</paraID>
      <start>1</start>
      <end>6</end>
      <status>unmodified</status>
      <modifiedWord/>
      <trackRevisions>false</trackRevisions>
    </reviewItem>
    <reviewItem>
      <errorID>c690285d-da04-474a-8ac7-b4262224337b</errorID>
      <errorWord>-</errorWord>
      <group>L1_Format</group>
      <groupName>格式问题</groupName>
      <ability>L2_HalfPunc</ability>
      <abilityName>全半角检查</abilityName>
      <candidateList>
        <item>－</item>
      </candidateList>
      <explain>文本全半角错误。</explain>
      <paraID>6E663E51</paraID>
      <start>156</start>
      <end>157</end>
      <status>unmodified</status>
      <modifiedWord/>
      <trackRevisions>false</trackRevisions>
    </reviewItem>
    <reviewItem>
      <errorID>98c9321f-7846-4c1f-a6de-d172ffc96e24</errorID>
      <errorWord>二、</errorWord>
      <group>L1_Format</group>
      <groupName>格式问题</groupName>
      <ability>L2_Ordinal</ability>
      <abilityName>序号格式</abilityName>
      <candidateList>
        <item>2、</item>
      </candidateList>
      <explain>标题顺序错误，请检查标题顺序是否合理。</explain>
      <paraID> 722D527</paraID>
      <start>0</start>
      <end>2</end>
      <status>unmodified</status>
      <modifiedWord/>
      <trackRevisions>false</trackRevisions>
    </reviewItem>
    <reviewItem>
      <errorID>ee1c9c42-fd61-4da7-a7b4-2fd1a2421b6c</errorID>
      <errorWord>粘结剂</errorWord>
      <group>L1_Word</group>
      <groupName>字词问题</groupName>
      <ability>L2_Typo</ability>
      <abilityName>字词错误</abilityName>
      <candidateList>
        <item>黏结剂</item>
      </candidateList>
      <explain/>
      <paraID>694E899B</paraID>
      <start>58</start>
      <end>61</end>
      <status>unmodified</status>
      <modifiedWord/>
      <trackRevisions>false</trackRevisions>
    </reviewItem>
    <reviewItem>
      <errorID>a650c369-0e65-478d-8ebf-11185de085a9</errorID>
      <errorWord>全场</errorWord>
      <group>L1_Word</group>
      <groupName>字词问题</groupName>
      <ability>L2_Typo</ability>
      <abilityName>字词错误</abilityName>
      <candidateList>
        <item>全程</item>
      </candidateList>
      <explain/>
      <paraID>5D149FFF</paraID>
      <start>67</start>
      <end>69</end>
      <status>unmodified</status>
      <modifiedWord/>
      <trackRevisions>false</trackRevisions>
    </reviewItem>
    <reviewItem>
      <errorID>0a1e0758-3d48-43a6-944f-2bc1e25c7c26</errorID>
      <errorWord>同</errorWord>
      <group>L1_Word</group>
      <groupName>字词问题</groupName>
      <ability>L2_Typo</ability>
      <abilityName>字词错误</abilityName>
      <candidateList>
        <item>同时</item>
      </candidateList>
      <explain>❶〈名〉同一个时候：他们俩是～复员的｜在抓紧工程进度的～，必须注意工程质量。❷〈连〉表示并列关系，常含有进一层的意味：这是非常重要的任务，～也是十分艰巨的任务。</explain>
      <paraID>37359782</paraID>
      <start>27</start>
      <end>28</end>
      <status>unmodified</status>
      <modifiedWord/>
      <trackRevisions>false</trackRevisions>
    </reviewItem>
    <reviewItem>
      <errorID>2309bc37-262e-45b3-b78b-0b74b636676d</errorID>
      <errorWord>粘结剂</errorWord>
      <group>L1_Word</group>
      <groupName>字词问题</groupName>
      <ability>L2_Typo</ability>
      <abilityName>字词错误</abilityName>
      <candidateList>
        <item>黏结剂</item>
      </candidateList>
      <explain/>
      <paraID>24C17B17</paraID>
      <start>12</start>
      <end>15</end>
      <status>unmodified</status>
      <modifiedWord/>
      <trackRevisions>false</trackRevisions>
    </reviewItem>
    <reviewItem>
      <errorID>fe8f9cec-b385-4812-8aca-ada1277576d1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C354915</paraID>
      <start>49</start>
      <end>50</end>
      <status>unmodified</status>
      <modifiedWord/>
      <trackRevisions>false</trackRevisions>
    </reviewItem>
    <reviewItem>
      <errorID>5a2a29b7-f228-4425-b7e8-29d5c4be3093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5D1DC60</paraID>
      <start>26</start>
      <end>27</end>
      <status>unmodified</status>
      <modifiedWord/>
      <trackRevisions>false</trackRevisions>
    </reviewItem>
    <reviewItem>
      <errorID>e8bb5227-e297-4a80-9294-454dfa2d5793</errorID>
      <errorWord>三、</errorWord>
      <group>L1_Format</group>
      <groupName>格式问题</groupName>
      <ability>L2_Ordinal</ability>
      <abilityName>序号格式</abilityName>
      <candidateList>
        <item>3、</item>
      </candidateList>
      <explain>标题顺序错误，请检查标题顺序是否合理。</explain>
      <paraID>3725CD23</paraID>
      <start>0</start>
      <end>2</end>
      <status>unmodified</status>
      <modifiedWord/>
      <trackRevisions>false</trackRevisions>
    </reviewItem>
    <reviewItem>
      <errorID>b541bd49-317f-4c42-8f42-bd06bd65e311</errorID>
      <errorWord>-</errorWord>
      <group>L1_Format</group>
      <groupName>格式问题</groupName>
      <ability>L2_HalfPunc</ability>
      <abilityName>全半角检查</abilityName>
      <candidateList>
        <item>－</item>
      </candidateList>
      <explain>文本全半角错误。</explain>
      <paraID> F796DA9</paraID>
      <start>55</start>
      <end>56</end>
      <status>unmodified</status>
      <modifiedWord/>
      <trackRevisions>false</trackRevisions>
    </reviewItem>
    <reviewItem>
      <errorID>1d4270e4-e4e0-47c9-bd3e-94e861075ef0</errorID>
      <errorWord>(</errorWord>
      <group>L1_Format</group>
      <groupName>格式问题</groupName>
      <ability>L2_HalfPunc</ability>
      <abilityName>全半角检查</abilityName>
      <candidateList>
        <item>（</item>
      </candidateList>
      <explain>文本全半角错误。</explain>
      <paraID> F796DA9</paraID>
      <start>61</start>
      <end>62</end>
      <status>unmodified</status>
      <modifiedWord/>
      <trackRevisions>false</trackRevisions>
    </reviewItem>
    <reviewItem>
      <errorID>b6f33802-14fb-4234-8c23-9a54d2e0219c</errorID>
      <errorWord>)</errorWord>
      <group>L1_Format</group>
      <groupName>格式问题</groupName>
      <ability>L2_HalfPunc</ability>
      <abilityName>全半角检查</abilityName>
      <candidateList>
        <item>）</item>
      </candidateList>
      <explain>文本全半角错误。</explain>
      <paraID> F796DA9</paraID>
      <start>67</start>
      <end>68</end>
      <status>unmodified</status>
      <modifiedWord/>
      <trackRevisions>false</trackRevisions>
    </reviewItem>
    <reviewItem>
      <errorID>63cf1eb9-9ade-4a5f-a135-ab922dcd4d02</errorID>
      <errorWord>《</errorWord>
      <group>L1_Punc</group>
      <groupName>标点问题</groupName>
      <ability>L2_Punc</ability>
      <abilityName>标点符号检查</abilityName>
      <candidateList>
        <item/>
      </candidateList>
      <explain/>
      <paraID> BE2B54B</paraID>
      <start>5</start>
      <end>6</end>
      <status>unmodified</status>
      <modifiedWord/>
      <trackRevisions>false</trackRevisions>
    </reviewItem>
    <reviewItem>
      <errorID>7c7ab67c-fdec-412e-bb6e-1859f21d3a7d</errorID>
      <errorWord>》</errorWord>
      <group>L1_Punc</group>
      <groupName>标点问题</groupName>
      <ability>L2_Punc</ability>
      <abilityName>标点符号检查</abilityName>
      <candidateList>
        <item/>
      </candidateList>
      <explain/>
      <paraID> BE2B54B</paraID>
      <start>33</start>
      <end>34</end>
      <status>unmodified</status>
      <modifiedWord/>
      <trackRevisions>false</trackRevisions>
    </reviewItem>
    <reviewItem>
      <errorID>1aec0b7d-2ac3-4b12-9d92-e5e71adca8e2</errorID>
      <errorWord>产生的</errorWord>
      <group>L1_Word</group>
      <groupName>字词问题</groupName>
      <ability>L2_Typo</ability>
      <abilityName>字词错误</abilityName>
      <candidateList>
        <item>产生</item>
      </candidateList>
      <explain/>
      <paraID> BE2B54B</paraID>
      <start>51</start>
      <end>54</end>
      <status>unmodified</status>
      <modifiedWord/>
      <trackRevisions>false</trackRevisions>
    </reviewItem>
    <reviewItem>
      <errorID>a9dd02fc-2309-4b4b-8eaf-fc7de4c63ffa</errorID>
      <errorWord>通过</errorWord>
      <group>L1_Word</group>
      <groupName>字词问题</groupName>
      <ability>L2_Typo</ability>
      <abilityName>字词错误</abilityName>
      <candidateList>
        <item>利用</item>
      </candidateList>
      <explain/>
      <paraID> BE2B54B</paraID>
      <start>63</start>
      <end>65</end>
      <status>unmodified</status>
      <modifiedWord/>
      <trackRevisions>false</trackRevisions>
    </reviewItem>
    <reviewItem>
      <errorID>8c2d4c41-7593-47f7-b211-710160421662</errorID>
      <errorWord>《</errorWord>
      <group>L1_Punc</group>
      <groupName>标点问题</groupName>
      <ability>L2_Punc</ability>
      <abilityName>标点符号检查</abilityName>
      <candidateList>
        <item/>
      </candidateList>
      <explain/>
      <paraID>481145CD</paraID>
      <start>0</start>
      <end>1</end>
      <status>unmodified</status>
      <modifiedWord/>
      <trackRevisions>false</trackRevisions>
    </reviewItem>
    <reviewItem>
      <errorID>78cd2a80-1db1-434e-8f53-3107b586714f</errorID>
      <errorWord>》 </errorWord>
      <group>L1_Punc</group>
      <groupName>标点问题</groupName>
      <ability>L2_Punc</ability>
      <abilityName>标点符号检查</abilityName>
      <candidateList>
        <item/>
      </candidateList>
      <explain/>
      <paraID>481145CD</paraID>
      <start>28</start>
      <end>30</end>
      <status>unmodified</status>
      <modifiedWord/>
      <trackRevisions>false</trackRevisions>
    </reviewItem>
    <reviewItem>
      <errorID>d87f5d89-6330-4109-b146-e91d5a0e62a5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5D1719BB</paraID>
      <start>108</start>
      <end>109</end>
      <status>unmodified</status>
      <modifiedWord/>
      <trackRevisions>false</trackRevisions>
    </reviewItem>
    <reviewItem>
      <errorID>b86534bf-f479-4546-8a36-748e52b02958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3D1BD7AC</paraID>
      <start>35</start>
      <end>36</end>
      <status>unmodified</status>
      <modifiedWord/>
      <trackRevisions>false</trackRevisions>
    </reviewItem>
    <reviewItem>
      <errorID>e5a430a8-bed1-4953-b8ca-8a0a17f07a69</errorID>
      <errorWord>四、</errorWord>
      <group>L1_Format</group>
      <groupName>格式问题</groupName>
      <ability>L2_Ordinal</ability>
      <abilityName>序号格式</abilityName>
      <candidateList>
        <item>4、</item>
      </candidateList>
      <explain>标题顺序错误，请检查标题顺序是否合理。</explain>
      <paraID> BEA15CF</paraID>
      <start>0</start>
      <end>2</end>
      <status>unmodified</status>
      <modifiedWord/>
      <trackRevisions>false</trackRevisions>
    </reviewItem>
    <reviewItem>
      <errorID>11255f1c-45ad-4100-a150-5f5bd160ec6f</errorID>
      <errorWord>及</errorWord>
      <group>L1_Grammar</group>
      <groupName>语法问题</groupName>
      <ability>L2_Grammar</ability>
      <abilityName>语法错误</abilityName>
      <candidateList>
        <item>，以及在</item>
      </candidateList>
      <explain/>
      <paraID>5367DBBA</paraID>
      <start>59</start>
      <end>60</end>
      <status>unmodified</status>
      <modifiedWord/>
      <trackRevisions>false</trackRevisions>
    </reviewItem>
    <reviewItem>
      <errorID>5b7d3563-85c2-4b9e-bf5b-89ea4f79f479</errorID>
      <errorWord>，</errorWord>
      <group>L1_Punc</group>
      <groupName>标点问题</groupName>
      <ability>L2_Punc</ability>
      <abilityName>标点符号检查</abilityName>
      <candidateList>
        <item>。</item>
      </candidateList>
      <explain/>
      <paraID>5367DBBA</paraID>
      <start>78</start>
      <end>79</end>
      <status>unmodified</status>
      <modifiedWord/>
      <trackRevisions>false</trackRevisions>
    </reviewItem>
    <reviewItem>
      <errorID>c6b4637d-5eba-4b7d-a33a-b33c2eb6cf11</errorID>
      <errorWord>粘结剂</errorWord>
      <group>L1_Word</group>
      <groupName>字词问题</groupName>
      <ability>L2_Typo</ability>
      <abilityName>字词错误</abilityName>
      <candidateList>
        <item>黏结剂</item>
      </candidateList>
      <explain/>
      <paraID>6D369E12</paraID>
      <start>0</start>
      <end>3</end>
      <status>unmodified</status>
      <modifiedWord/>
      <trackRevisions>false</trackRevisions>
    </reviewItem>
    <reviewItem>
      <errorID>03f702a1-ff95-4963-b948-1fda0b0a7e21</errorID>
      <errorWord>粘结剂</errorWord>
      <group>L1_Word</group>
      <groupName>字词问题</groupName>
      <ability>L2_Typo</ability>
      <abilityName>字词错误</abilityName>
      <candidateList>
        <item>黏结剂</item>
      </candidateList>
      <explain/>
      <paraID>3583FD8B</paraID>
      <start>5</start>
      <end>8</end>
      <status>unmodified</status>
      <modifiedWord/>
      <trackRevisions>false</trackRevisions>
    </reviewItem>
    <reviewItem>
      <errorID>3b62b642-8828-4c30-82c9-5a9134fea883</errorID>
      <errorWord>粘结剂</errorWord>
      <group>L1_Word</group>
      <groupName>字词问题</groupName>
      <ability>L2_Typo</ability>
      <abilityName>字词错误</abilityName>
      <candidateList>
        <item>黏结剂</item>
      </candidateList>
      <explain/>
      <paraID>3583FD8B</paraID>
      <start>24</start>
      <end>27</end>
      <status>unmodified</status>
      <modifiedWord/>
      <trackRevisions>false</trackRevisions>
    </reviewItem>
    <reviewItem>
      <errorID>1d771214-427d-4469-813d-83aa2854fec1</errorID>
      <errorWord>，</errorWord>
      <group>L1_Punc</group>
      <groupName>标点问题</groupName>
      <ability>L2_Punc</ability>
      <abilityName>标点符号检查</abilityName>
      <candidateList>
        <item>。</item>
      </candidateList>
      <explain/>
      <paraID>3583FD8B</paraID>
      <start>38</start>
      <end>39</end>
      <status>unmodified</status>
      <modifiedWord/>
      <trackRevisions>false</trackRevisions>
    </reviewItem>
    <reviewItem>
      <errorID>d5c1c0bd-129c-4668-8de1-3a4f9b95d309</errorID>
      <errorWord>粘结剂</errorWord>
      <group>L1_Word</group>
      <groupName>字词问题</groupName>
      <ability>L2_Typo</ability>
      <abilityName>字词错误</abilityName>
      <candidateList>
        <item>黏结剂</item>
      </candidateList>
      <explain/>
      <paraID>3583FD8B</paraID>
      <start>89</start>
      <end>92</end>
      <status>unmodified</status>
      <modifiedWord/>
      <trackRevisions>false</trackRevisions>
    </reviewItem>
    <reviewItem>
      <errorID>2abc702b-8c1a-4507-a458-5dc1d74ab85a</errorID>
      <errorWord>能</errorWord>
      <group>L1_Word</group>
      <groupName>字词问题</groupName>
      <ability>L2_Typo</ability>
      <abilityName>字词错误</abilityName>
      <candidateList>
        <item>它能</item>
      </candidateList>
      <explain/>
      <paraID>3583FD8B</paraID>
      <start>100</start>
      <end>101</end>
      <status>unmodified</status>
      <modifiedWord/>
      <trackRevisions>false</trackRevisions>
    </reviewItem>
    <reviewItem>
      <errorID>3118dbdc-d51b-474f-98cc-94d28aac857a</errorID>
      <errorWord>粘结</errorWord>
      <group>L1_Word</group>
      <groupName>字词问题</groupName>
      <ability>L2_Typo</ability>
      <abilityName>字词错误</abilityName>
      <candidateList>
        <item>黏结</item>
      </candidateList>
      <explain>存在发音相同字词的误用。</explain>
      <paraID>3583FD8B</paraID>
      <start>122</start>
      <end>124</end>
      <status>unmodified</status>
      <modifiedWord/>
      <trackRevisions>false</trackRevisions>
    </reviewItem>
    <reviewItem>
      <errorID>f0fbabd8-c857-47fe-a660-2e3b3cb27c3d</errorID>
      <errorWord>，</errorWord>
      <group>L1_Word</group>
      <groupName>字词问题</groupName>
      <ability>L2_Typo</ability>
      <abilityName>字词错误</abilityName>
      <candidateList>
        <item>，有</item>
      </candidateList>
      <explain/>
      <paraID>3583FD8B</paraID>
      <start>130</start>
      <end>131</end>
      <status>unmodified</status>
      <modifiedWord/>
      <trackRevisions>false</trackRevisions>
    </reviewItem>
    <reviewItem>
      <errorID>7232d0aa-84d3-4a30-a31d-14682a8b0f45</errorID>
      <errorWord>，</errorWord>
      <group>L1_Punc</group>
      <groupName>标点问题</groupName>
      <ability>L2_Punc</ability>
      <abilityName>标点符号检查</abilityName>
      <candidateList>
        <item>。</item>
      </candidateList>
      <explain/>
      <paraID>3583FD8B</paraID>
      <start>137</start>
      <end>138</end>
      <status>unmodified</status>
      <modifiedWord/>
      <trackRevisions>false</trackRevisions>
    </reviewItem>
    <reviewItem>
      <errorID>dae3c2d6-04fa-4f58-9323-38c5748d2943</errorID>
      <errorWord>保证</errorWord>
      <group>L1_Punc</group>
      <groupName>标点问题</groupName>
      <ability>L2_Punc</ability>
      <abilityName>标点符号检查</abilityName>
      <candidateList>
        <item>，保证</item>
      </candidateList>
      <explain/>
      <paraID>3583FD8B</paraID>
      <start>141</start>
      <end>143</end>
      <status>unmodified</status>
      <modifiedWord/>
      <trackRevisions>false</trackRevisions>
    </reviewItem>
    <reviewItem>
      <errorID>7b7225cc-8da3-4844-a0d2-e57dfad8220c</errorID>
      <errorWord>赋予型煤</errorWord>
      <group>L1_Grammar</group>
      <groupName>语法问题</groupName>
      <ability>L2_Grammar</ability>
      <abilityName>语法错误</abilityName>
      <candidateList>
        <item>赋予</item>
      </candidateList>
      <explain/>
      <paraID>3583FD8B</paraID>
      <start>182</start>
      <end>186</end>
      <status>unmodified</status>
      <modifiedWord/>
      <trackRevisions>false</trackRevisions>
    </reviewItem>
    <reviewItem>
      <errorID>c5b5d832-b1d7-4c8a-b801-3578a99de17e</errorID>
      <errorWord>、</errorWord>
      <group>L1_Word</group>
      <groupName>字词问题</groupName>
      <ability>L2_Typo</ability>
      <abilityName>字词错误</abilityName>
      <candidateList>
        <item>和</item>
      </candidateList>
      <explain/>
      <paraID>3583FD8B</paraID>
      <start>197</start>
      <end>198</end>
      <status>unmodified</status>
      <modifiedWord/>
      <trackRevisions>false</trackRevisions>
    </reviewItem>
    <reviewItem>
      <errorID>dc90d35b-3658-4c69-bd47-d27585a91d4a</errorID>
      <errorWord>粘结剂</errorWord>
      <group>L1_Word</group>
      <groupName>字词问题</groupName>
      <ability>L2_Typo</ability>
      <abilityName>字词错误</abilityName>
      <candidateList>
        <item>黏结剂</item>
      </candidateList>
      <explain/>
      <paraID>61EE1C3A</paraID>
      <start>0</start>
      <end>3</end>
      <status>unmodified</status>
      <modifiedWord/>
      <trackRevisions>false</trackRevisions>
    </reviewItem>
    <reviewItem>
      <errorID>58f7399e-aa13-47be-9608-929254cd961a</errorID>
      <errorWord>粘结剂</errorWord>
      <group>L1_Word</group>
      <groupName>字词问题</groupName>
      <ability>L2_Typo</ability>
      <abilityName>字词错误</abilityName>
      <candidateList>
        <item>黏结剂</item>
      </candidateList>
      <explain/>
      <paraID>35D14810</paraID>
      <start>0</start>
      <end>3</end>
      <status>unmodified</status>
      <modifiedWord/>
      <trackRevisions>false</trackRevisions>
    </reviewItem>
    <reviewItem>
      <errorID>1ef7087f-9d63-4cd0-8ec1-bb77a8c21e9f</errorID>
      <errorWord>粘结剂</errorWord>
      <group>L1_Word</group>
      <groupName>字词问题</groupName>
      <ability>L2_Typo</ability>
      <abilityName>字词错误</abilityName>
      <candidateList>
        <item>黏结剂</item>
      </candidateList>
      <explain/>
      <paraID>699652FD</paraID>
      <start>8</start>
      <end>11</end>
      <status>unmodified</status>
      <modifiedWord/>
      <trackRevisions>false</trackRevisions>
    </reviewItem>
    <reviewItem>
      <errorID>37cc4eb5-4bfb-45f3-8df1-7aba457e5ff4</errorID>
      <errorWord>粘度</errorWord>
      <group>L1_Word</group>
      <groupName>字词问题</groupName>
      <ability>L2_Alias</ability>
      <abilityName>也作/曾用词</abilityName>
      <candidateList>
        <item>黏度</item>
      </candidateList>
      <explain>词汇[粘度]为不规范表述或旧称，其规范书面表述为[黏度]。</explain>
      <paraID>3EC9EB85</paraID>
      <start>0</start>
      <end>2</end>
      <status>unmodified</status>
      <modifiedWord/>
      <trackRevisions>false</trackRevisions>
    </reviewItem>
    <reviewItem>
      <errorID>1cabdef1-1757-4b5c-9aa1-f4350e933cce</errorID>
      <errorWord>粘结剂</errorWord>
      <group>L1_Word</group>
      <groupName>字词问题</groupName>
      <ability>L2_Typo</ability>
      <abilityName>字词错误</abilityName>
      <candidateList>
        <item>黏结剂</item>
      </candidateList>
      <explain/>
      <paraID>15D734D4</paraID>
      <start>0</start>
      <end>3</end>
      <status>unmodified</status>
      <modifiedWord/>
      <trackRevisions>false</trackRevisions>
    </reviewItem>
    <reviewItem>
      <errorID>224056d5-793d-4f5d-911d-7ca6806a4ef7</errorID>
      <errorWord>秤</errorWord>
      <group>L1_Punc</group>
      <groupName>标点问题</groupName>
      <ability>L2_Punc</ability>
      <abilityName>标点符号检查</abilityName>
      <candidateList>
        <item>秤。</item>
      </candidateList>
      <explain/>
      <paraID>5A13B56D</paraID>
      <start>6</start>
      <end>7</end>
      <status>unmodified</status>
      <modifiedWord/>
      <trackRevisions>false</trackRevisions>
    </reviewItem>
    <reviewItem>
      <errorID>36bb7769-2ef2-4265-b25b-80e18f049a8b</errorID>
      <errorWord>:</errorWord>
      <group>L1_Format</group>
      <groupName>格式问题</groupName>
      <ability>L2_HalfPunc</ability>
      <abilityName>全半角检查</abilityName>
      <candidateList>
        <item>：</item>
      </candidateList>
      <explain>文本全半角错误。</explain>
      <paraID>267FDC1A</paraID>
      <start>4</start>
      <end>5</end>
      <status>unmodified</status>
      <modifiedWord/>
      <trackRevisions>false</trackRevisions>
    </reviewItem>
    <reviewItem>
      <errorID>4d4c98de-0749-4965-ae19-6c414aca0f16</errorID>
      <errorWord>秤</errorWord>
      <group>L1_Punc</group>
      <groupName>标点问题</groupName>
      <ability>L2_Punc</ability>
      <abilityName>标点符号检查</abilityName>
      <candidateList>
        <item>秤。</item>
      </candidateList>
      <explain/>
      <paraID>3DFC3C3B</paraID>
      <start>6</start>
      <end>7</end>
      <status>unmodified</status>
      <modifiedWord/>
      <trackRevisions>false</trackRevisions>
    </reviewItem>
    <reviewItem>
      <errorID>0e9c1e8a-3c80-4f38-928b-7e5cab1f5d0a</errorID>
      <errorWord>:</errorWord>
      <group>L1_Format</group>
      <groupName>格式问题</groupName>
      <ability>L2_HalfPunc</ability>
      <abilityName>全半角检查</abilityName>
      <candidateList>
        <item>：</item>
      </candidateList>
      <explain>文本全半角错误。</explain>
      <paraID>17DC5FFA</paraID>
      <start>4</start>
      <end>5</end>
      <status>unmodified</status>
      <modifiedWord/>
      <trackRevisions>false</trackRevisions>
    </reviewItem>
    <reviewItem>
      <errorID>18187710-fbf9-4db6-8608-a558ff26a3a5</errorID>
      <errorWord>秤</errorWord>
      <group>L1_Punc</group>
      <groupName>标点问题</groupName>
      <ability>L2_Punc</ability>
      <abilityName>标点符号检查</abilityName>
      <candidateList>
        <item>秤。</item>
      </candidateList>
      <explain/>
      <paraID>512E6116</paraID>
      <start>4</start>
      <end>5</end>
      <status>unmodified</status>
      <modifiedWord/>
      <trackRevisions>false</trackRevisions>
    </reviewItem>
    <reviewItem>
      <errorID>2e5287ef-0e97-43af-a039-1c76ba93c117</errorID>
      <errorWord>:</errorWord>
      <group>L1_Format</group>
      <groupName>格式问题</groupName>
      <ability>L2_HalfPunc</ability>
      <abilityName>全半角检查</abilityName>
      <candidateList>
        <item>：</item>
      </candidateList>
      <explain>文本全半角错误。</explain>
      <paraID>443210CE</paraID>
      <start>4</start>
      <end>5</end>
      <status>unmodified</status>
      <modifiedWord/>
      <trackRevisions>false</trackRevisions>
    </reviewItem>
    <reviewItem>
      <errorID>ba1b818e-37a1-45f0-bce1-9e1d0ff145be</errorID>
      <errorWord>给料机</errorWord>
      <group>L1_Punc</group>
      <groupName>标点问题</groupName>
      <ability>L2_Punc</ability>
      <abilityName>标点符号检查</abilityName>
      <candidateList>
        <item>给料机。</item>
      </candidateList>
      <explain/>
      <paraID>505D52BF</paraID>
      <start>2</start>
      <end>5</end>
      <status>unmodified</status>
      <modifiedWord/>
      <trackRevisions>false</trackRevisions>
    </reviewItem>
    <reviewItem>
      <errorID>6dd081b0-57c4-4adf-9780-cb123504b4bf</errorID>
      <errorWord>搅拌机</errorWord>
      <group>L1_Punc</group>
      <groupName>标点问题</groupName>
      <ability>L2_Punc</ability>
      <abilityName>标点符号检查</abilityName>
      <candidateList>
        <item>搅拌机。</item>
      </candidateList>
      <explain/>
      <paraID>74B5C855</paraID>
      <start>2</start>
      <end>5</end>
      <status>unmodified</status>
      <modifiedWord/>
      <trackRevisions>false</trackRevisions>
    </reviewItem>
    <reviewItem>
      <errorID>ec3a7e9a-9aae-48fa-a9e7-5bdd3a739024</errorID>
      <errorWord>机</errorWord>
      <group>L1_Punc</group>
      <groupName>标点问题</groupName>
      <ability>L2_Punc</ability>
      <abilityName>标点符号检查</abilityName>
      <candidateList>
        <item>机。</item>
      </candidateList>
      <explain/>
      <paraID>4E1FA44E</paraID>
      <start>2</start>
      <end>3</end>
      <status>unmodified</status>
      <modifiedWord/>
      <trackRevisions>false</trackRevisions>
    </reviewItem>
    <reviewItem>
      <errorID>78d5efd3-3563-46e2-9d7a-73a0c74a2e94</errorID>
      <errorWord>烘干机</errorWord>
      <group>L1_Punc</group>
      <groupName>标点问题</groupName>
      <ability>L2_Punc</ability>
      <abilityName>标点符号检查</abilityName>
      <candidateList>
        <item>烘干机。</item>
      </candidateList>
      <explain/>
      <paraID>7510162E</paraID>
      <start>0</start>
      <end>3</end>
      <status>unmodified</status>
      <modifiedWord/>
      <trackRevisions>false</trackRevisions>
    </reviewItem>
    <reviewItem>
      <errorID>72e361ef-feb3-4269-8944-954d270198d3</errorID>
      <errorWord>换热器</errorWord>
      <group>L1_Punc</group>
      <groupName>标点问题</groupName>
      <ability>L2_Punc</ability>
      <abilityName>标点符号检查</abilityName>
      <candidateList>
        <item>换热器。</item>
      </candidateList>
      <explain/>
      <paraID>298C08F1</paraID>
      <start>0</start>
      <end>3</end>
      <status>unmodified</status>
      <modifiedWord/>
      <trackRevisions>false</trackRevisions>
    </reviewItem>
    <reviewItem>
      <errorID>1acfcfe8-57b3-4d24-9fb1-7d1a75ff1453</errorID>
      <errorWord>风机</errorWord>
      <group>L1_Punc</group>
      <groupName>标点问题</groupName>
      <ability>L2_Punc</ability>
      <abilityName>标点符号检查</abilityName>
      <candidateList>
        <item>风机。</item>
      </candidateList>
      <explain/>
      <paraID>25F61F34</paraID>
      <start>2</start>
      <end>4</end>
      <status>unmodified</status>
      <modifiedWord/>
      <trackRevisions>false</trackRevisions>
    </reviewItem>
    <reviewItem>
      <errorID>f01a85d3-6ad6-4ef2-b4ba-c23fb7504316</errorID>
      <errorWord>风机</errorWord>
      <group>L1_Punc</group>
      <groupName>标点问题</groupName>
      <ability>L2_Punc</ability>
      <abilityName>标点符号检查</abilityName>
      <candidateList>
        <item>风机。</item>
      </candidateList>
      <explain/>
      <paraID>3FF97DEA</paraID>
      <start>2</start>
      <end>4</end>
      <status>unmodified</status>
      <modifiedWord/>
      <trackRevisions>false</trackRevisions>
    </reviewItem>
    <reviewItem>
      <errorID>84ab5429-1fba-448a-9f47-f67a14b77f8b</errorID>
      <errorWord>；</errorWord>
      <group>L1_Format</group>
      <groupName>格式问题</groupName>
      <ability>L2_HalfPunc</ability>
      <abilityName>全半角检查</abilityName>
      <candidateList>
        <item>;</item>
      </candidateList>
      <explain>文本全半角错误。</explain>
      <paraID>32682B9B</paraID>
      <start>22</start>
      <end>23</end>
      <status>unmodified</status>
      <modifiedWord/>
      <trackRevisions>false</trackRevisions>
    </reviewItem>
    <reviewItem>
      <errorID>160c4382-201f-42e5-b203-01caad9e2019</errorID>
      <errorWord>；</errorWord>
      <group>L1_Format</group>
      <groupName>格式问题</groupName>
      <ability>L2_HalfPunc</ability>
      <abilityName>全半角检查</abilityName>
      <candidateList>
        <item>;</item>
      </candidateList>
      <explain>文本全半角错误。</explain>
      <paraID>37297CBA</paraID>
      <start>22</start>
      <end>23</end>
      <status>unmodified</status>
      <modifiedWord/>
      <trackRevisions>false</trackRevisions>
    </reviewItem>
    <reviewItem>
      <errorID>39810e68-69f6-4ed0-875e-2da59b86af2d</errorID>
      <errorWord>，，</errorWord>
      <group>L1_Punc</group>
      <groupName>标点问题</groupName>
      <ability>L2_Punc</ability>
      <abilityName>标点符号检查</abilityName>
      <candidateList>
        <item>，</item>
      </candidateList>
      <explain/>
      <paraID>515DA0F4</paraID>
      <start>61</start>
      <end>63</end>
      <status>unmodified</status>
      <modifiedWord/>
      <trackRevisions>false</trackRevisions>
    </reviewItem>
    <reviewItem>
      <errorID>d125409b-a527-4cd0-909d-77fe5257d69d</errorID>
      <errorWord>，</errorWord>
      <group>L1_Grammar</group>
      <groupName>语法问题</groupName>
      <ability>L2_Grammar</ability>
      <abilityName>语法错误</abilityName>
      <candidateList>
        <item>的信息，</item>
      </candidateList>
      <explain/>
      <paraID>43FD4269</paraID>
      <start>37</start>
      <end>38</end>
      <status>unmodified</status>
      <modifiedWord/>
      <trackRevisions>false</trackRevisions>
    </reviewItem>
    <reviewItem>
      <errorID>3edfe103-33fb-492a-aa53-50e1cda158c2</errorID>
      <errorWord>、</errorWord>
      <group>L1_Punc</group>
      <groupName>标点问题</groupName>
      <ability>L2_Punc</ability>
      <abilityName>标点符号检查</abilityName>
      <candidateList>
        <item>，</item>
      </candidateList>
      <explain/>
      <paraID>2021F701</paraID>
      <start>16</start>
      <end>17</end>
      <status>unmodified</status>
      <modifiedWord/>
      <trackRevisions>false</trackRevisions>
    </reviewItem>
    <reviewItem>
      <errorID>f306d8b9-3952-4556-ba0b-3fdae17d6ca4</errorID>
      <errorWord>粘结剂</errorWord>
      <group>L1_Word</group>
      <groupName>字词问题</groupName>
      <ability>L2_Typo</ability>
      <abilityName>字词错误</abilityName>
      <candidateList>
        <item>黏结剂</item>
      </candidateList>
      <explain/>
      <paraID>2021F701</paraID>
      <start>86</start>
      <end>89</end>
      <status>unmodified</status>
      <modifiedWord/>
      <trackRevisions>false</trackRevisions>
    </reviewItem>
    <reviewItem>
      <errorID>056eadb7-020f-497a-b534-921501de58c5</errorID>
      <errorWord>运行</errorWord>
      <group>L1_Word</group>
      <groupName>字词问题</groupName>
      <ability>L2_Typo</ability>
      <abilityName>字词错误</abilityName>
      <candidateList>
        <item>运转</item>
      </candidateList>
      <explain/>
      <paraID>1EBE9476</paraID>
      <start>37</start>
      <end>39</end>
      <status>unmodified</status>
      <modifiedWord/>
      <trackRevisions>false</trackRevisions>
    </reviewItem>
    <reviewItem>
      <errorID>984f101c-b731-4503-b9d3-69ac79731e18</errorID>
      <errorWord>工艺流程</errorWord>
      <group>L1_Format</group>
      <groupName>格式问题</groupName>
      <ability>L2_Ordinal</ability>
      <abilityName>序号格式</abilityName>
      <candidateList>
        <item>9、工艺流程</item>
      </candidateList>
      <explain>标题顺序错误，请检查标题顺序是否合理。</explain>
      <paraID>7732A712</paraID>
      <start>0</start>
      <end>4</end>
      <status>unmodified</status>
      <modifiedWord/>
      <trackRevisions>false</trackRevisions>
    </reviewItem>
    <reviewItem>
      <errorID>c0f6c270-e3fc-4f17-9c8a-a6b86a8105a0</errorID>
      <errorWord>项目是</errorWord>
      <group>L1_Word</group>
      <groupName>字词问题</groupName>
      <ability>L2_Typo</ability>
      <abilityName>字词错误</abilityName>
      <candidateList>
        <item>项目</item>
      </candidateList>
      <explain/>
      <paraID>68B10A9E</paraID>
      <start>1</start>
      <end>4</end>
      <status>unmodified</status>
      <modifiedWord/>
      <trackRevisions>false</trackRevisions>
    </reviewItem>
    <reviewItem>
      <errorID>e1e3a03f-8e91-4301-948b-df6a7ae996ce</errorID>
      <errorWord>粘结剂</errorWord>
      <group>L1_Word</group>
      <groupName>字词问题</groupName>
      <ability>L2_Typo</ability>
      <abilityName>字词错误</abilityName>
      <candidateList>
        <item>黏结剂</item>
      </candidateList>
      <explain/>
      <paraID>68B10A9E</paraID>
      <start>17</start>
      <end>20</end>
      <status>unmodified</status>
      <modifiedWord/>
      <trackRevisions>false</trackRevisions>
    </reviewItem>
    <reviewItem>
      <errorID>e1bc7581-d3ad-4534-bec4-667dc84dace1</errorID>
      <errorWord>，</errorWord>
      <group>L1_Grammar</group>
      <groupName>语法问题</groupName>
      <ability>L2_Grammar</ability>
      <abilityName>语法错误</abilityName>
      <candidateList>
        <item>。该过程</item>
      </candidateList>
      <explain/>
      <paraID>68B10A9E</paraID>
      <start>44</start>
      <end>45</end>
      <status>unmodified</status>
      <modifiedWord/>
      <trackRevisions>false</trackRevisions>
    </reviewItem>
    <reviewItem>
      <errorID>3484890c-8595-492c-a862-138818579ce9</errorID>
      <errorWord>，</errorWord>
      <group>L1_Punc</group>
      <groupName>标点问题</groupName>
      <ability>L2_Punc</ability>
      <abilityName>标点符号检查</abilityName>
      <candidateList>
        <item>。</item>
      </candidateList>
      <explain/>
      <paraID>68B10A9E</paraID>
      <start>76</start>
      <end>77</end>
      <status>unmodified</status>
      <modifiedWord/>
      <trackRevisions>false</trackRevisions>
    </reviewItem>
    <reviewItem>
      <errorID>2f839866-0ab1-4027-a797-f43b3cfc1ed2</errorID>
      <errorWord>的即</errorWord>
      <group>L1_Word</group>
      <groupName>字词问题</groupName>
      <ability>L2_Typo</ability>
      <abilityName>字词错误</abilityName>
      <candidateList>
        <item>的</item>
      </candidateList>
      <explain>“的”常用于连接修饰语与名词性中心语，表示属性、所属或描述。</explain>
      <paraID>3A77D20F</paraID>
      <start>47</start>
      <end>49</end>
      <status>unmodified</status>
      <modifiedWord/>
      <trackRevisions>false</trackRevisions>
    </reviewItem>
    <reviewItem>
      <errorID>85108284-3608-404e-98b8-d58da4b76236</errorID>
      <errorWord>粘结剂</errorWord>
      <group>L1_Word</group>
      <groupName>字词问题</groupName>
      <ability>L2_Typo</ability>
      <abilityName>字词错误</abilityName>
      <candidateList>
        <item>黏结剂</item>
      </candidateList>
      <explain/>
      <paraID>3A77D20F</paraID>
      <start>78</start>
      <end>81</end>
      <status>unmodified</status>
      <modifiedWord/>
      <trackRevisions>false</trackRevisions>
    </reviewItem>
    <reviewItem>
      <errorID>04a50c5a-cc72-4562-9d2e-d78be7bc44fe</errorID>
      <errorWord>粘结剂</errorWord>
      <group>L1_Word</group>
      <groupName>字词问题</groupName>
      <ability>L2_Typo</ability>
      <abilityName>字词错误</abilityName>
      <candidateList>
        <item>黏结剂</item>
      </candidateList>
      <explain/>
      <paraID>3A77D20F</paraID>
      <start>109</start>
      <end>112</end>
      <status>unmodified</status>
      <modifiedWord/>
      <trackRevisions>false</trackRevisions>
    </reviewItem>
    <reviewItem>
      <errorID>9219a126-9d11-40d3-81fb-553fdd68e20a</errorID>
      <errorWord>粘结剂</errorWord>
      <group>L1_Word</group>
      <groupName>字词问题</groupName>
      <ability>L2_Typo</ability>
      <abilityName>字词错误</abilityName>
      <candidateList>
        <item>黏结剂</item>
      </candidateList>
      <explain/>
      <paraID> BA7D6E9</paraID>
      <start>56</start>
      <end>59</end>
      <status>unmodified</status>
      <modifiedWord/>
      <trackRevisions>false</trackRevisions>
    </reviewItem>
    <reviewItem>
      <errorID>43c8a23b-31ce-4e5c-8c3a-e58855e1d20c</errorID>
      <errorWord>粘结剂</errorWord>
      <group>L1_Word</group>
      <groupName>字词问题</groupName>
      <ability>L2_Typo</ability>
      <abilityName>字词错误</abilityName>
      <candidateList>
        <item>黏结剂</item>
      </candidateList>
      <explain/>
      <paraID> BA7D6E9</paraID>
      <start>109</start>
      <end>112</end>
      <status>unmodified</status>
      <modifiedWord/>
      <trackRevisions>false</trackRevisions>
    </reviewItem>
    <reviewItem>
      <errorID>31357322-b553-4bf3-abea-8eaddc81f35a</errorID>
      <errorWord>由</errorWord>
      <group>L1_Punc</group>
      <groupName>标点问题</groupName>
      <ability>L2_Punc</ability>
      <abilityName>标点符号检查</abilityName>
      <candidateList>
        <item>，由</item>
      </candidateList>
      <explain/>
      <paraID>27BD6A5A</paraID>
      <start>23</start>
      <end>24</end>
      <status>unmodified</status>
      <modifiedWord/>
      <trackRevisions>false</trackRevisions>
    </reviewItem>
    <reviewItem>
      <errorID>8d34c0c1-5b17-4ad8-be43-abb49f2ec14b</errorID>
      <errorWord>，</errorWord>
      <group>L1_Punc</group>
      <groupName>标点问题</groupName>
      <ability>L2_Punc</ability>
      <abilityName>标点符号检查</abilityName>
      <candidateList>
        <item>。</item>
      </candidateList>
      <explain/>
      <paraID>27BD6A5A</paraID>
      <start>46</start>
      <end>47</end>
      <status>unmodified</status>
      <modifiedWord/>
      <trackRevisions>false</trackRevisions>
    </reviewItem>
    <reviewItem>
      <errorID>e53c722e-a600-402a-bc31-b951df681bc3</errorID>
      <errorWord>混</errorWord>
      <group>L1_Punc</group>
      <groupName>标点问题</groupName>
      <ability>L2_Punc</ability>
      <abilityName>标点符号检查</abilityName>
      <candidateList>
        <item>，混</item>
      </candidateList>
      <explain/>
      <paraID>27BD6A5A</paraID>
      <start>62</start>
      <end>63</end>
      <status>unmodified</status>
      <modifiedWord/>
      <trackRevisions>false</trackRevisions>
    </reviewItem>
    <reviewItem>
      <errorID>98641a8f-0880-4060-8b19-218178d726c2</errorID>
      <errorWord>和</errorWord>
      <group>L1_Word</group>
      <groupName>字词问题</groupName>
      <ability>L2_Typo</ability>
      <abilityName>字词错误</abilityName>
      <candidateList>
        <item>与</item>
      </candidateList>
      <explain/>
      <paraID>27BD6A5A</paraID>
      <start>69</start>
      <end>70</end>
      <status>unmodified</status>
      <modifiedWord/>
      <trackRevisions>false</trackRevisions>
    </reviewItem>
    <reviewItem>
      <errorID>f228e3a2-8cab-4779-bcb4-572baa4b0534</errorID>
      <errorWord>搅拌</errorWord>
      <group>L1_Word</group>
      <groupName>字词问题</groupName>
      <ability>L2_Typo</ability>
      <abilityName>字词错误</abilityName>
      <candidateList>
        <item>由搅拌</item>
      </candidateList>
      <explain/>
      <paraID>27BD6A5A</paraID>
      <start>79</start>
      <end>81</end>
      <status>unmodified</status>
      <modifiedWord/>
      <trackRevisions>false</trackRevisions>
    </reviewItem>
    <reviewItem>
      <errorID>ff1c6baf-f00c-4ecd-b15d-57cc5affdb9d</errorID>
      <errorWord>上升</errorWord>
      <group>L1_Format</group>
      <groupName>格式问题</groupName>
      <ability>L2_Ordinal</ability>
      <abilityName>序号格式</abilityName>
      <candidateList>
        <item>10、上升</item>
      </candidateList>
      <explain>标题顺序错误，请检查标题顺序是否合理。</explain>
      <paraID>55DF6ADE</paraID>
      <start>0</start>
      <end>2</end>
      <status>unmodified</status>
      <modifiedWord/>
      <trackRevisions>false</trackRevisions>
    </reviewItem>
    <reviewItem>
      <errorID>85859169-c462-4a11-bd16-970c862123a8</errorID>
      <errorWord>采用在</errorWord>
      <group>L1_Word</group>
      <groupName>字词问题</groupName>
      <ability>L2_Typo</ability>
      <abilityName>字词错误</abilityName>
      <candidateList>
        <item>采用</item>
      </candidateList>
      <explain/>
      <paraID> E8EE4A7</paraID>
      <start>7</start>
      <end>10</end>
      <status>unmodified</status>
      <modifiedWord/>
      <trackRevisions>false</trackRevisions>
    </reviewItem>
    <reviewItem>
      <errorID>49176278-94b1-4ebc-95f6-5ad779cd328f</errorID>
      <errorWord>上升</errorWord>
      <group>L1_Word</group>
      <groupName>字词问题</groupName>
      <ability>L2_Typo</ability>
      <abilityName>字词错误</abilityName>
      <candidateList>
        <item>的上升</item>
      </candidateList>
      <explain/>
      <paraID> E8EE4A7</paraID>
      <start>17</start>
      <end>19</end>
      <status>unmodified</status>
      <modifiedWord/>
      <trackRevisions>false</trackRevisions>
    </reviewItem>
    <reviewItem>
      <errorID>632337d9-e03b-42c4-97d6-0a4191db0cf1</errorID>
      <errorWord>送来进入</errorWord>
      <group>L1_Grammar</group>
      <groupName>语法问题</groupName>
      <ability>L2_Grammar</ability>
      <abilityName>语法错误</abilityName>
      <candidateList>
        <item>送入</item>
      </candidateList>
      <explain/>
      <paraID>74B75CCC</paraID>
      <start>15</start>
      <end>19</end>
      <status>unmodified</status>
      <modifiedWord/>
      <trackRevisions>false</trackRevisions>
    </reviewItem>
    <reviewItem>
      <errorID>0a3a471e-f389-4716-bbd7-d005400f91bf</errorID>
      <errorWord>，</errorWord>
      <group>L1_Punc</group>
      <groupName>标点问题</groupName>
      <ability>L2_Punc</ability>
      <abilityName>标点符号检查</abilityName>
      <candidateList>
        <item/>
      </candidateList>
      <explain/>
      <paraID>74B75CCC</paraID>
      <start>71</start>
      <end>72</end>
      <status>unmodified</status>
      <modifiedWord/>
      <trackRevisions>false</trackRevisions>
    </reviewItem>
    <reviewItem>
      <errorID>fbe7d7b4-0b07-4f9d-a9e0-84f311aa472c</errorID>
      <errorWord>，</errorWord>
      <group>L1_Punc</group>
      <groupName>标点问题</groupName>
      <ability>L2_Punc</ability>
      <abilityName>标点符号检查</abilityName>
      <candidateList>
        <item>。</item>
      </candidateList>
      <explain/>
      <paraID>74B75CCC</paraID>
      <start>100</start>
      <end>101</end>
      <status>unmodified</status>
      <modifiedWord/>
      <trackRevisions>false</trackRevisions>
    </reviewItem>
    <reviewItem>
      <errorID>e95f6081-8264-485a-8d63-24cd415bd17c</errorID>
      <errorWord>，</errorWord>
      <group>L1_Punc</group>
      <groupName>标点问题</groupName>
      <ability>L2_Punc</ability>
      <abilityName>标点符号检查</abilityName>
      <candidateList>
        <item>。</item>
      </candidateList>
      <explain/>
      <paraID>74B75CCC</paraID>
      <start>160</start>
      <end>161</end>
      <status>unmodified</status>
      <modifiedWord/>
      <trackRevisions>false</trackRevisions>
    </reviewItem>
    <reviewItem>
      <errorID>f2a5bd2e-f93c-4258-a53a-5687ebc39fe1</errorID>
      <errorWord>～</errorWord>
      <group>L1_Word</group>
      <groupName>字词问题</groupName>
      <ability>L2_Typo</ability>
      <abilityName>字词错误</abilityName>
      <candidateList>
        <item>约</item>
      </candidateList>
      <explain/>
      <paraID>74B75CCC</paraID>
      <start>178</start>
      <end>179</end>
      <status>unmodified</status>
      <modifiedWord/>
      <trackRevisions>false</trackRevisions>
    </reviewItem>
    <reviewItem>
      <errorID>476b31dd-08ec-4aa2-ac1b-0679db7f379b</errorID>
      <errorWord> </errorWord>
      <group>L1_Punc</group>
      <groupName>标点问题</groupName>
      <ability>L2_Punc</ability>
      <abilityName>标点符号检查</abilityName>
      <candidateList>
        <item/>
      </candidateList>
      <explain>此处空格冗余，建议删除。</explain>
      <paraID>74B75CCC</paraID>
      <start>212</start>
      <end>213</end>
      <status>unmodified</status>
      <modifiedWord/>
      <trackRevisions>false</trackRevisions>
    </reviewItem>
    <reviewItem>
      <errorID>cee79190-86a9-4686-b0db-0b4214c5b56c</errorID>
      <errorWord>3、</errorWord>
      <group>L1_Format</group>
      <groupName>格式问题</groupName>
      <ability>L2_Ordinal</ability>
      <abilityName>序号格式</abilityName>
      <candidateList>
        <item>11、</item>
      </candidateList>
      <explain>标题顺序错误，请检查标题顺序是否合理。</explain>
      <paraID>381A7367</paraID>
      <start>0</start>
      <end>2</end>
      <status>unmodified</status>
      <modifiedWord/>
      <trackRevisions>false</trackRevisions>
    </reviewItem>
    <reviewItem>
      <errorID>6b737c17-7687-4bdf-b771-d3989a5e70e0</errorID>
      <errorWord>兰</errorWord>
      <group>L1_Punc</group>
      <groupName>标点问题</groupName>
      <ability>L2_Punc</ability>
      <abilityName>标点符号检查</abilityName>
      <candidateList>
        <item>、兰</item>
      </candidateList>
      <explain/>
      <paraID>4729D057</paraID>
      <start>2</start>
      <end>3</end>
      <status>unmodified</status>
      <modifiedWord/>
      <trackRevisions>false</trackRevisions>
    </reviewItem>
    <reviewItem>
      <errorID>c112b630-f9c6-4fbd-ad22-759ee532363d</errorID>
      <errorWord>干</errorWord>
      <group>L1_Punc</group>
      <groupName>标点问题</groupName>
      <ability>L2_Punc</ability>
      <abilityName>标点符号检查</abilityName>
      <candidateList>
        <item>，干</item>
      </candidateList>
      <explain/>
      <paraID>4729D057</paraID>
      <start>8</start>
      <end>9</end>
      <status>unmodified</status>
      <modifiedWord/>
      <trackRevisions>false</trackRevisions>
    </reviewItem>
    <reviewItem>
      <errorID>774fbcab-c7ef-4ee5-8ceb-eb8a63461cc2</errorID>
      <errorWord>布袋除尘器1套</errorWord>
      <group>L1_Word</group>
      <groupName>字词问题</groupName>
      <ability>L2_Typo</ability>
      <abilityName>字词错误</abilityName>
      <candidateList>
        <item>1套布袋除尘器</item>
      </candidateList>
      <explain/>
      <paraID>4729D057</paraID>
      <start>23</start>
      <end>30</end>
      <status>unmodified</status>
      <modifiedWord/>
      <trackRevisions>false</trackRevisions>
    </reviewItem>
    <reviewItem>
      <errorID>f4368788-cefc-4a3d-97f5-9ac0932976a0</errorID>
      <errorWord> </errorWord>
      <group>L1_Punc</group>
      <groupName>标点问题</groupName>
      <ability>L2_Punc</ability>
      <abilityName>标点符号检查</abilityName>
      <candidateList>
        <item/>
      </candidateList>
      <explain>此处空格冗余，建议删除。</explain>
      <paraID>4729D057</paraID>
      <start>36</start>
      <end>37</end>
      <status>unmodified</status>
      <modifiedWord/>
      <trackRevisions>false</trackRevisions>
    </reviewItem>
    <reviewItem>
      <errorID>e60166f5-3ca9-468d-b58c-ef40318c2a95</errorID>
      <errorWord>后</errorWord>
      <group>L1_Word</group>
      <groupName>字词问题</groupName>
      <ability>L2_Typo</ability>
      <abilityName>字词错误</abilityName>
      <candidateList>
        <item>，</item>
      </candidateList>
      <explain/>
      <paraID>32500EE1</paraID>
      <start>11</start>
      <end>12</end>
      <status>unmodified</status>
      <modifiedWord/>
      <trackRevisions>false</trackRevisions>
    </reviewItem>
    <reviewItem>
      <errorID>a91d83df-48e1-4d42-b050-4f7ead34c1a5</errorID>
      <errorWord>通过</errorWord>
      <group>L1_Punc</group>
      <groupName>标点问题</groupName>
      <ability>L2_Punc</ability>
      <abilityName>标点符号检查</abilityName>
      <candidateList>
        <item>，通过</item>
      </candidateList>
      <explain/>
      <paraID>32500EE1</paraID>
      <start>45</start>
      <end>47</end>
      <status>unmodified</status>
      <modifiedWord/>
      <trackRevisions>false</trackRevisions>
    </reviewItem>
    <reviewItem>
      <errorID>556ef245-016a-4851-bbd5-d0e2400fe31c</errorID>
      <errorWord> </errorWord>
      <group>L1_Punc</group>
      <groupName>标点问题</groupName>
      <ability>L2_Punc</ability>
      <abilityName>标点符号检查</abilityName>
      <candidateList>
        <item/>
      </candidateList>
      <explain>此处空格冗余，建议删除。</explain>
      <paraID>32500EE1</paraID>
      <start>52</start>
      <end>53</end>
      <status>unmodified</status>
      <modifiedWord/>
      <trackRevisions>false</trackRevisions>
    </reviewItem>
    <reviewItem>
      <errorID>509b55f5-4d9c-49fa-968a-51955b14a61c</errorID>
      <errorWord>由</errorWord>
      <group>L1_Punc</group>
      <groupName>标点问题</groupName>
      <ability>L2_Punc</ability>
      <abilityName>标点符号检查</abilityName>
      <candidateList>
        <item>，由</item>
      </candidateList>
      <explain/>
      <paraID>2F12814B</paraID>
      <start>46</start>
      <end>47</end>
      <status>unmodified</status>
      <modifiedWord/>
      <trackRevisions>false</trackRevisions>
    </reviewItem>
    <reviewItem>
      <errorID>566cad27-bdc9-44f7-855d-34a183c1fc14</errorID>
      <errorWord>排</errorWord>
      <group>L1_Word</group>
      <groupName>字词问题</groupName>
      <ability>L2_Typo</ability>
      <abilityName>字词错误</abilityName>
      <candidateList>
        <item>高排</item>
      </candidateList>
      <explain/>
      <paraID>406A6D9E</paraID>
      <start>44</start>
      <end>45</end>
      <status>unmodified</status>
      <modifiedWord/>
      <trackRevisions>false</trackRevisions>
    </reviewItem>
    <reviewItem>
      <errorID>517993d7-3022-49c4-819d-61f5c4c10b13</errorID>
      <errorWord>设置</errorWord>
      <group>L1_Word</group>
      <groupName>字词问题</groupName>
      <ability>L2_Typo</ability>
      <abilityName>字词错误</abilityName>
      <candidateList>
        <item>上设置</item>
      </candidateList>
      <explain/>
      <paraID>31ED9BD2</paraID>
      <start>9</start>
      <end>11</end>
      <status>unmodified</status>
      <modifiedWord/>
      <trackRevisions>false</trackRevisions>
    </reviewItem>
    <reviewItem>
      <errorID>af758b99-b8b3-432a-8eab-dbb4326f57c3</errorID>
      <errorWord>排</errorWord>
      <group>L1_Word</group>
      <groupName>字词问题</groupName>
      <ability>L2_Typo</ability>
      <abilityName>字词错误</abilityName>
      <candidateList>
        <item>高排</item>
      </candidateList>
      <explain/>
      <paraID>31ED9BD2</paraID>
      <start>47</start>
      <end>48</end>
      <status>unmodified</status>
      <modifiedWord/>
      <trackRevisions>false</trackRevisions>
    </reviewItem>
    <reviewItem>
      <errorID>e05b2b09-0d47-4774-8783-fc1288115b13</errorID>
      <errorWord>干</errorWord>
      <group>L1_Grammar</group>
      <groupName>语法问题</groupName>
      <ability>L2_Grammar</ability>
      <abilityName>语法错误</abilityName>
      <candidateList>
        <item>采用干</item>
      </candidateList>
      <explain/>
      <paraID>35799C1A</paraID>
      <start>4</start>
      <end>5</end>
      <status>unmodified</status>
      <modifiedWord/>
      <trackRevisions>false</trackRevisions>
    </reviewItem>
    <reviewItem>
      <errorID>948e126c-efec-4d56-8251-b102f9ba2ef3</errorID>
      <errorWord>用厂区</errorWord>
      <group>L1_Grammar</group>
      <groupName>语法问题</groupName>
      <ability>L2_Grammar</ability>
      <abilityName>语法错误</abilityName>
      <candidateList>
        <item>用于厂区。</item>
      </candidateList>
      <explain/>
      <paraID>2EB65942</paraID>
      <start>36</start>
      <end>39</end>
      <status>unmodified</status>
      <modifiedWord/>
      <trackRevisions>false</trackRevisions>
    </reviewItem>
    <reviewItem>
      <errorID>508cf876-e37a-420c-a356-9be658004383</errorID>
      <errorWord>；</errorWord>
      <group>L1_Punc</group>
      <groupName>标点问题</groupName>
      <ability>L2_Punc</ability>
      <abilityName>标点符号检查</abilityName>
      <candidateList>
        <item>，</item>
      </candidateList>
      <explain/>
      <paraID>369EE711</paraID>
      <start>34</start>
      <end>35</end>
      <status>unmodified</status>
      <modifiedWord/>
      <trackRevisions>false</trackRevisions>
    </reviewItem>
    <reviewItem>
      <errorID>415f6c07-22d2-402e-ad06-007eaf1875fc</errorID>
      <errorWord>，</errorWord>
      <group>L1_Grammar</group>
      <groupName>语法问题</groupName>
      <ability>L2_Grammar</ability>
      <abilityName>语法错误</abilityName>
      <candidateList>
        <item>，外售处理。</item>
      </candidateList>
      <explain/>
      <paraID>4B11D149</paraID>
      <start>10</start>
      <end>11</end>
      <status>unmodified</status>
      <modifiedWord/>
      <trackRevisions>false</trackRevisions>
    </reviewItem>
    <reviewItem>
      <errorID>3d45e3aa-32e5-4231-9f4f-9bf169f37dba</errorID>
      <errorWord>填埋</errorWord>
      <group>L1_Grammar</group>
      <groupName>语法问题</groupName>
      <ability>L2_Grammar</ability>
      <abilityName>语法错误</abilityName>
      <candidateList>
        <item>进行填埋</item>
      </candidateList>
      <explain/>
      <paraID>2F2E212F</paraID>
      <start>14</start>
      <end>16</end>
      <status>unmodified</status>
      <modifiedWord/>
      <trackRevisions>false</trackRevisions>
    </reviewItem>
    <reviewItem>
      <errorID>615a2f2d-be78-45d8-9b5a-2917bc37aa87</errorID>
      <errorWord>处理</errorWord>
      <group>L1_Grammar</group>
      <groupName>语法问题</groupName>
      <ability>L2_Grammar</ability>
      <abilityName>语法错误</abilityName>
      <candidateList>
        <item>进行处理</item>
      </candidateList>
      <explain/>
      <paraID> EF47A16</paraID>
      <start>33</start>
      <end>35</end>
      <status>unmodified</status>
      <modifiedWord/>
      <trackRevisions>false</trackRevisions>
    </reviewItem>
    <reviewItem>
      <errorID>d97a3939-5623-4a69-b095-7d0851a6620e</errorID>
      <errorWord>资质单位</errorWord>
      <group>L1_Grammar</group>
      <groupName>语法问题</groupName>
      <ability>L2_Grammar</ability>
      <abilityName>语法错误</abilityName>
      <candidateList>
        <item>有资质的单位</item>
      </candidateList>
      <explain/>
      <paraID> 2220704</paraID>
      <start>20</start>
      <end>24</end>
      <status>unmodified</status>
      <modifiedWord/>
      <trackRevisions>false</trackRevisions>
    </reviewItem>
    <reviewItem>
      <errorID>dcb92788-7e7e-4c39-809a-402c2c68188f</errorID>
      <errorWord>四、</errorWord>
      <group>L1_Format</group>
      <groupName>格式问题</groupName>
      <ability>L2_Ordinal</ability>
      <abilityName>序号格式</abilityName>
      <candidateList>
        <item>12、</item>
      </candidateList>
      <explain>标题顺序错误，请检查标题顺序是否合理。</explain>
      <paraID>48058335</paraID>
      <start>0</start>
      <end>2</end>
      <status>unmodified</status>
      <modifiedWord/>
      <trackRevisions>false</trackRevisions>
    </reviewItem>
    <reviewItem>
      <errorID>50493361-50ab-42cb-b15c-c450e0caa995</errorID>
      <errorWord>粘结剂</errorWord>
      <group>L1_Word</group>
      <groupName>字词问题</groupName>
      <ability>L2_Typo</ability>
      <abilityName>字词错误</abilityName>
      <candidateList>
        <item>黏结剂</item>
      </candidateList>
      <explain/>
      <paraID>3A3E76C8</paraID>
      <start>0</start>
      <end>3</end>
      <status>unmodified</status>
      <modifiedWord/>
      <trackRevisions>false</trackRevisions>
    </reviewItem>
    <reviewItem>
      <errorID>9c94a1cd-6ebd-4460-a3a7-4e8ad5842f1b</errorID>
      <errorWord>与</errorWord>
      <group>L1_Format</group>
      <groupName>格式问题</groupName>
      <ability>L2_Ordinal</ability>
      <abilityName>序号格式</abilityName>
      <candidateList>
        <item>13、与</item>
      </candidateList>
      <explain>标题顺序错误，请检查标题顺序是否合理。</explain>
      <paraID>65A438D5</paraID>
      <start>0</start>
      <end>1</end>
      <status>unmodified</status>
      <modifiedWord/>
      <trackRevisions>false</trackRevisions>
    </reviewItem>
    <reviewItem>
      <errorID>17ddf316-7898-48d1-a3dc-f2da88b3c0aa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74DFBE21</paraID>
      <start>0</start>
      <end>2</end>
      <status>unmodified</status>
      <modifiedWord/>
      <trackRevisions>false</trackRevisions>
    </reviewItem>
    <reviewItem>
      <errorID>456d843a-397a-4d04-918a-4a5771631844</errorID>
      <errorWord>[2019]10号</errorWord>
      <group>L1_Knowledge</group>
      <groupName>知识性问题</groupName>
      <ability>L2_Knowledge</ability>
      <abilityName>其他知识</abilityName>
      <candidateList>
        <item>〔2019〕10号</item>
      </candidateList>
      <explain>发文字号格式错误。</explain>
      <paraID>132F10DE</paraID>
      <start>4</start>
      <end>13</end>
      <status>unmodified</status>
      <modifiedWord/>
      <trackRevisions>false</trackRevisions>
    </reviewItem>
    <reviewItem>
      <errorID>0eb1d757-5c1d-454d-9a8e-34001018c155</errorID>
      <errorWord>[2021]141号</errorWord>
      <group>L1_Knowledge</group>
      <groupName>知识性问题</groupName>
      <ability>L2_Knowledge</ability>
      <abilityName>其他知识</abilityName>
      <candidateList>
        <item>〔2021〕141号</item>
      </candidateList>
      <explain>发文字号格式错误。</explain>
      <paraID>41DC38A1</paraID>
      <start>4</start>
      <end>14</end>
      <status>unmodified</status>
      <modifiedWord/>
      <trackRevisions>false</trackRevisions>
    </reviewItem>
    <reviewItem>
      <errorID>980895bb-1a17-46a3-b3db-38704913a4ac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5A29B91</paraID>
      <start>0</start>
      <end>2</end>
      <status>unmodified</status>
      <modifiedWord/>
      <trackRevisions>false</trackRevisions>
    </reviewItem>
    <reviewItem>
      <errorID>0b9e53b5-5f40-4a0d-8306-5332d12a6b97</errorID>
      <errorWord>(</errorWord>
      <group>L1_Format</group>
      <groupName>格式问题</groupName>
      <ability>L2_HalfPunc</ability>
      <abilityName>全半角检查</abilityName>
      <candidateList>
        <item>（</item>
      </candidateList>
      <explain>文本全半角错误。</explain>
      <paraID>42847A8F</paraID>
      <start>90</start>
      <end>91</end>
      <status>unmodified</status>
      <modifiedWord/>
      <trackRevisions>false</trackRevisions>
    </reviewItem>
    <reviewItem>
      <errorID>c536eac7-2608-4276-8c61-5db6bca80dba</errorID>
      <errorWord>)</errorWord>
      <group>L1_Format</group>
      <groupName>格式问题</groupName>
      <ability>L2_HalfPunc</ability>
      <abilityName>全半角检查</abilityName>
      <candidateList>
        <item>）</item>
      </candidateList>
      <explain>文本全半角错误。</explain>
      <paraID>42847A8F</paraID>
      <start>103</start>
      <end>104</end>
      <status>unmodified</status>
      <modifiedWord/>
      <trackRevisions>false</trackRevisions>
    </reviewItem>
    <reviewItem>
      <errorID>3c80b6af-4014-4be8-9114-96b533dd1d1a</errorID>
      <errorWord>(</errorWord>
      <group>L1_Format</group>
      <groupName>格式问题</groupName>
      <ability>L2_HalfPunc</ability>
      <abilityName>全半角检查</abilityName>
      <candidateList>
        <item>（</item>
      </candidateList>
      <explain>文本全半角错误。</explain>
      <paraID>42847A8F</paraID>
      <start>162</start>
      <end>163</end>
      <status>unmodified</status>
      <modifiedWord/>
      <trackRevisions>false</trackRevisions>
    </reviewItem>
    <reviewItem>
      <errorID>1377d90f-379f-494b-b3ff-e0d4a7c61a42</errorID>
      <errorWord>)</errorWord>
      <group>L1_Format</group>
      <groupName>格式问题</groupName>
      <ability>L2_HalfPunc</ability>
      <abilityName>全半角检查</abilityName>
      <candidateList>
        <item>）</item>
      </candidateList>
      <explain>文本全半角错误。</explain>
      <paraID>42847A8F</paraID>
      <start>175</start>
      <end>176</end>
      <status>unmodified</status>
      <modifiedWord/>
      <trackRevisions>false</trackRevisions>
    </reviewItem>
    <reviewItem>
      <errorID>9d273ce6-e216-42f9-9e0f-1d3c9a1199be</errorID>
      <errorWord>(</errorWord>
      <group>L1_Format</group>
      <groupName>格式问题</groupName>
      <ability>L2_HalfPunc</ability>
      <abilityName>全半角检查</abilityName>
      <candidateList>
        <item>（</item>
      </candidateList>
      <explain>文本全半角错误。</explain>
      <paraID>42847A8F</paraID>
      <start>229</start>
      <end>230</end>
      <status>unmodified</status>
      <modifiedWord/>
      <trackRevisions>false</trackRevisions>
    </reviewItem>
    <reviewItem>
      <errorID>b9f9cdab-8a4d-47d4-b5a0-568cb5016b30</errorID>
      <errorWord>)</errorWord>
      <group>L1_Format</group>
      <groupName>格式问题</groupName>
      <ability>L2_HalfPunc</ability>
      <abilityName>全半角检查</abilityName>
      <candidateList>
        <item>）</item>
      </candidateList>
      <explain>文本全半角错误。</explain>
      <paraID>42847A8F</paraID>
      <start>242</start>
      <end>243</end>
      <status>unmodified</status>
      <modifiedWord/>
      <trackRevisions>false</trackRevisions>
    </reviewItem>
    <reviewItem>
      <errorID>e484f164-6cae-4b7c-8180-4ea6ec404d2c</errorID>
      <errorWord>颗粒度</errorWord>
      <group>L1_Grammar</group>
      <groupName>语法问题</groupName>
      <ability>L2_Grammar</ability>
      <abilityName>语法错误</abilityName>
      <candidateList>
        <item>颗粒物排放浓度</item>
      </candidateList>
      <explain/>
      <paraID>42847A8F</paraID>
      <start>267</start>
      <end>270</end>
      <status>unmodified</status>
      <modifiedWord/>
      <trackRevisions>false</trackRevisions>
    </reviewItem>
    <reviewItem>
      <errorID>2538ea64-04b7-4499-8a8c-1cff60e43834</errorID>
      <errorWord>(</errorWord>
      <group>L1_Format</group>
      <groupName>格式问题</groupName>
      <ability>L2_HalfPunc</ability>
      <abilityName>全半角检查</abilityName>
      <candidateList>
        <item>（</item>
      </candidateList>
      <explain>文本全半角错误。</explain>
      <paraID>42847A8F</paraID>
      <start>288</start>
      <end>289</end>
      <status>unmodified</status>
      <modifiedWord/>
      <trackRevisions>false</trackRevisions>
    </reviewItem>
    <reviewItem>
      <errorID>f60bee23-63c4-4daf-a797-791d579a58d2</errorID>
      <errorWord>)</errorWord>
      <group>L1_Format</group>
      <groupName>格式问题</groupName>
      <ability>L2_HalfPunc</ability>
      <abilityName>全半角检查</abilityName>
      <candidateList>
        <item>）</item>
      </candidateList>
      <explain>文本全半角错误。</explain>
      <paraID>42847A8F</paraID>
      <start>301</start>
      <end>302</end>
      <status>unmodified</status>
      <modifiedWord/>
      <trackRevisions>false</trackRevisions>
    </reviewItem>
    <reviewItem>
      <errorID>216869ec-e5d5-44f3-8902-48d91c95a6aa</errorID>
      <errorWord>(</errorWord>
      <group>L1_Format</group>
      <groupName>格式问题</groupName>
      <ability>L2_HalfPunc</ability>
      <abilityName>全半角检查</abilityName>
      <candidateList>
        <item>（</item>
      </candidateList>
      <explain>文本全半角错误。</explain>
      <paraID>42847A8F</paraID>
      <start>356</start>
      <end>357</end>
      <status>unmodified</status>
      <modifiedWord/>
      <trackRevisions>false</trackRevisions>
    </reviewItem>
    <reviewItem>
      <errorID>d9a8de19-2cd1-482b-9b03-5a7ee79dd531</errorID>
      <errorWord>)</errorWord>
      <group>L1_Format</group>
      <groupName>格式问题</groupName>
      <ability>L2_HalfPunc</ability>
      <abilityName>全半角检查</abilityName>
      <candidateList>
        <item>）</item>
      </candidateList>
      <explain>文本全半角错误。</explain>
      <paraID>42847A8F</paraID>
      <start>369</start>
      <end>370</end>
      <status>unmodified</status>
      <modifiedWord/>
      <trackRevisions>false</trackRevisions>
    </reviewItem>
    <reviewItem>
      <errorID>277a28ab-842b-4603-9540-edee648578c9</errorID>
      <errorWord>(</errorWord>
      <group>L1_Format</group>
      <groupName>格式问题</groupName>
      <ability>L2_HalfPunc</ability>
      <abilityName>全半角检查</abilityName>
      <candidateList>
        <item>（</item>
      </candidateList>
      <explain>文本全半角错误。</explain>
      <paraID>42847A8F</paraID>
      <start>418</start>
      <end>419</end>
      <status>unmodified</status>
      <modifiedWord/>
      <trackRevisions>false</trackRevisions>
    </reviewItem>
    <reviewItem>
      <errorID>334006f1-0d13-420a-9db7-374e2067a2f2</errorID>
      <errorWord>)</errorWord>
      <group>L1_Format</group>
      <groupName>格式问题</groupName>
      <ability>L2_HalfPunc</ability>
      <abilityName>全半角检查</abilityName>
      <candidateList>
        <item>）</item>
      </candidateList>
      <explain>文本全半角错误。</explain>
      <paraID>42847A8F</paraID>
      <start>431</start>
      <end>432</end>
      <status>unmodified</status>
      <modifiedWord/>
      <trackRevisions>false</trackRevisions>
    </reviewItem>
    <reviewItem>
      <errorID>ae071556-830c-4cfa-9297-7c9392f59248</errorID>
      <errorWord>(</errorWord>
      <group>L1_Format</group>
      <groupName>格式问题</groupName>
      <ability>L2_HalfPunc</ability>
      <abilityName>全半角检查</abilityName>
      <candidateList>
        <item>（</item>
      </candidateList>
      <explain>文本全半角错误。</explain>
      <paraID>42847A8F</paraID>
      <start>487</start>
      <end>488</end>
      <status>unmodified</status>
      <modifiedWord/>
      <trackRevisions>false</trackRevisions>
    </reviewItem>
    <reviewItem>
      <errorID>aeea4e0e-5f48-45cb-8034-9a68daa9448f</errorID>
      <errorWord>)</errorWord>
      <group>L1_Format</group>
      <groupName>格式问题</groupName>
      <ability>L2_HalfPunc</ability>
      <abilityName>全半角检查</abilityName>
      <candidateList>
        <item>）</item>
      </candidateList>
      <explain>文本全半角错误。</explain>
      <paraID>42847A8F</paraID>
      <start>500</start>
      <end>501</end>
      <status>unmodified</status>
      <modifiedWord/>
      <trackRevisions>false</trackRevisions>
    </reviewItem>
    <reviewItem>
      <errorID>36d8ca89-8e99-42db-aee0-e621f50a53c7</errorID>
      <errorWord>(</errorWord>
      <group>L1_Format</group>
      <groupName>格式问题</groupName>
      <ability>L2_HalfPunc</ability>
      <abilityName>全半角检查</abilityName>
      <candidateList>
        <item>（</item>
      </candidateList>
      <explain>文本全半角错误。</explain>
      <paraID>42847A8F</paraID>
      <start>566</start>
      <end>567</end>
      <status>unmodified</status>
      <modifiedWord/>
      <trackRevisions>false</trackRevisions>
    </reviewItem>
    <reviewItem>
      <errorID>be65f993-09ba-46ac-a2a0-7c93702a2f78</errorID>
      <errorWord>)</errorWord>
      <group>L1_Format</group>
      <groupName>格式问题</groupName>
      <ability>L2_HalfPunc</ability>
      <abilityName>全半角检查</abilityName>
      <candidateList>
        <item>）</item>
      </candidateList>
      <explain>文本全半角错误。</explain>
      <paraID>42847A8F</paraID>
      <start>579</start>
      <end>580</end>
      <status>unmodified</status>
      <modifiedWord/>
      <trackRevisions>false</trackRevisions>
    </reviewItem>
    <reviewItem>
      <errorID>0ea1e6eb-90f6-4aa2-ad54-b37d0b815dcc</errorID>
      <errorWord>(</errorWord>
      <group>L1_Format</group>
      <groupName>格式问题</groupName>
      <ability>L2_HalfPunc</ability>
      <abilityName>全半角检查</abilityName>
      <candidateList>
        <item>（</item>
      </candidateList>
      <explain>文本全半角错误。</explain>
      <paraID>42847A8F</paraID>
      <start>768</start>
      <end>769</end>
      <status>unmodified</status>
      <modifiedWord/>
      <trackRevisions>false</trackRevisions>
    </reviewItem>
    <reviewItem>
      <errorID>49915011-7839-43d3-94dd-17f3d264d458</errorID>
      <errorWord>)</errorWord>
      <group>L1_Format</group>
      <groupName>格式问题</groupName>
      <ability>L2_HalfPunc</ability>
      <abilityName>全半角检查</abilityName>
      <candidateList>
        <item>）</item>
      </candidateList>
      <explain>文本全半角错误。</explain>
      <paraID>42847A8F</paraID>
      <start>779</start>
      <end>780</end>
      <status>unmodified</status>
      <modifiedWord/>
      <trackRevisions>false</trackRevisions>
    </reviewItem>
    <reviewItem>
      <errorID>0ad41042-685f-4b45-91f1-2108fb26eaaa</errorID>
      <errorWord>(</errorWord>
      <group>L1_Format</group>
      <groupName>格式问题</groupName>
      <ability>L2_HalfPunc</ability>
      <abilityName>全半角检查</abilityName>
      <candidateList>
        <item>（</item>
      </candidateList>
      <explain>文本全半角错误。</explain>
      <paraID>18B243ED</paraID>
      <start>81</start>
      <end>82</end>
      <status>unmodified</status>
      <modifiedWord/>
      <trackRevisions>false</trackRevisions>
    </reviewItem>
    <reviewItem>
      <errorID>4be53c20-e84f-4228-8e18-44a1d0977c1c</errorID>
      <errorWord>)</errorWord>
      <group>L1_Format</group>
      <groupName>格式问题</groupName>
      <ability>L2_HalfPunc</ability>
      <abilityName>全半角检查</abilityName>
      <candidateList>
        <item>）</item>
      </candidateList>
      <explain>文本全半角错误。</explain>
      <paraID>18B243ED</paraID>
      <start>94</start>
      <end>95</end>
      <status>unmodified</status>
      <modifiedWord/>
      <trackRevisions>false</trackRevisions>
    </reviewItem>
    <reviewItem>
      <errorID>89a0f315-dc90-47fe-b446-68b9a4fd5393</errorID>
      <errorWord>(</errorWord>
      <group>L1_Format</group>
      <groupName>格式问题</groupName>
      <ability>L2_HalfPunc</ability>
      <abilityName>全半角检查</abilityName>
      <candidateList>
        <item>（</item>
      </candidateList>
      <explain>文本全半角错误。</explain>
      <paraID>18B243ED</paraID>
      <start>171</start>
      <end>172</end>
      <status>unmodified</status>
      <modifiedWord/>
      <trackRevisions>false</trackRevisions>
    </reviewItem>
    <reviewItem>
      <errorID>8e5a0e96-168b-41f5-af99-c4797a38e39c</errorID>
      <errorWord>(</errorWord>
      <group>L1_Format</group>
      <groupName>格式问题</groupName>
      <ability>L2_HalfPunc</ability>
      <abilityName>全半角检查</abilityName>
      <candidateList>
        <item>（</item>
      </candidateList>
      <explain>文本全半角错误。</explain>
      <paraID>18B243ED</paraID>
      <start>263</start>
      <end>264</end>
      <status>unmodified</status>
      <modifiedWord/>
      <trackRevisions>false</trackRevisions>
    </reviewItem>
    <reviewItem>
      <errorID>b56d2080-58b2-4d4c-9841-f6fb2c0d798e</errorID>
      <errorWord>)</errorWord>
      <group>L1_Format</group>
      <groupName>格式问题</groupName>
      <ability>L2_HalfPunc</ability>
      <abilityName>全半角检查</abilityName>
      <candidateList>
        <item>）</item>
      </candidateList>
      <explain>文本全半角错误。</explain>
      <paraID>18B243ED</paraID>
      <start>276</start>
      <end>277</end>
      <status>unmodified</status>
      <modifiedWord/>
      <trackRevisions>false</trackRevisions>
    </reviewItem>
    <reviewItem>
      <errorID>fb48bb4a-e8af-443f-a1b0-95b48746305a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12E6C35B</paraID>
      <start>105</start>
      <end>106</end>
      <status>unmodified</status>
      <modifiedWord/>
      <trackRevisions>false</trackRevisions>
    </reviewItem>
    <reviewItem>
      <errorID>33e45015-b65d-4e0c-8be8-ccaa8f78d68f</errorID>
      <errorWord>(</errorWord>
      <group>L1_Format</group>
      <groupName>格式问题</groupName>
      <ability>L2_HalfPunc</ability>
      <abilityName>全半角检查</abilityName>
      <candidateList>
        <item>（</item>
      </candidateList>
      <explain>文本全半角错误。</explain>
      <paraID>5C75434E</paraID>
      <start>117</start>
      <end>118</end>
      <status>unmodified</status>
      <modifiedWord/>
      <trackRevisions>false</trackRevisions>
    </reviewItem>
    <reviewItem>
      <errorID>183cf7c0-b6f5-400a-8659-00935c7971d0</errorID>
      <errorWord>)</errorWord>
      <group>L1_Format</group>
      <groupName>格式问题</groupName>
      <ability>L2_HalfPunc</ability>
      <abilityName>全半角检查</abilityName>
      <candidateList>
        <item>）</item>
      </candidateList>
      <explain>文本全半角错误。</explain>
      <paraID>5C75434E</paraID>
      <start>120</start>
      <end>121</end>
      <status>unmodified</status>
      <modifiedWord/>
      <trackRevisions>false</trackRevisions>
    </reviewItem>
    <reviewItem>
      <errorID>e5a632ae-3988-44d4-bc5f-a4a661c0920c</errorID>
      <errorWord>(</errorWord>
      <group>L1_Format</group>
      <groupName>格式问题</groupName>
      <ability>L2_HalfPunc</ability>
      <abilityName>全半角检查</abilityName>
      <candidateList>
        <item>（</item>
      </candidateList>
      <explain>文本全半角错误。</explain>
      <paraID>5C75434E</paraID>
      <start>175</start>
      <end>176</end>
      <status>unmodified</status>
      <modifiedWord/>
      <trackRevisions>false</trackRevisions>
    </reviewItem>
    <reviewItem>
      <errorID>82bcb2b3-9714-437e-a01d-7d1278c359a5</errorID>
      <errorWord>)</errorWord>
      <group>L1_Format</group>
      <groupName>格式问题</groupName>
      <ability>L2_HalfPunc</ability>
      <abilityName>全半角检查</abilityName>
      <candidateList>
        <item>）</item>
      </candidateList>
      <explain>文本全半角错误。</explain>
      <paraID>5C75434E</paraID>
      <start>188</start>
      <end>189</end>
      <status>unmodified</status>
      <modifiedWord/>
      <trackRevisions>false</trackRevisions>
    </reviewItem>
    <reviewItem>
      <errorID>506f1d13-bad4-4d60-9fd3-a286626c6f2b</errorID>
      <errorWord>石油</errorWord>
      <group>L1_Punc</group>
      <groupName>标点问题</groupName>
      <ability>L2_Punc</ability>
      <abilityName>标点符号检查</abilityName>
      <candidateList>
        <item>、石油</item>
      </candidateList>
      <explain/>
      <paraID>5C75434E</paraID>
      <start>221</start>
      <end>223</end>
      <status>unmodified</status>
      <modifiedWord/>
      <trackRevisions>false</trackRevisions>
    </reviewItem>
    <reviewItem>
      <errorID>d23f8994-fd8e-49e9-ba30-a39cdcd6287e</errorID>
      <errorWord>)</errorWord>
      <group>L1_Format</group>
      <groupName>格式问题</groupName>
      <ability>L2_HalfPunc</ability>
      <abilityName>全半角检查</abilityName>
      <candidateList>
        <item>）</item>
      </candidateList>
      <explain>文本全半角错误。</explain>
      <paraID>2C604B98</paraID>
      <start>76</start>
      <end>77</end>
      <status>unmodified</status>
      <modifiedWord/>
      <trackRevisions>false</trackRevisions>
    </reviewItem>
    <reviewItem>
      <errorID>03d3e71b-5ba1-489a-848c-6c9747ac2db3</errorID>
      <errorWord>)</errorWord>
      <group>L1_Format</group>
      <groupName>格式问题</groupName>
      <ability>L2_HalfPunc</ability>
      <abilityName>全半角检查</abilityName>
      <candidateList>
        <item>）</item>
      </candidateList>
      <explain>文本全半角错误。</explain>
      <paraID>2C604B98</paraID>
      <start>95</start>
      <end>96</end>
      <status>unmodified</status>
      <modifiedWord/>
      <trackRevisions>false</trackRevisions>
    </reviewItem>
    <reviewItem>
      <errorID>1c4b2ea0-afff-4158-82b1-11571b118adb</errorID>
      <errorWord>监测结果可知</errorWord>
      <group>L1_Word</group>
      <groupName>字词问题</groupName>
      <ability>L2_Typo</ability>
      <abilityName>字词错误</abilityName>
      <candidateList>
        <item>的监测结果</item>
      </candidateList>
      <explain/>
      <paraID>4BC70AB4</paraID>
      <start>50</start>
      <end>56</end>
      <status>unmodified</status>
      <modifiedWord/>
      <trackRevisions>false</trackRevisions>
    </reviewItem>
    <reviewItem>
      <errorID>1025f33f-0c5d-4826-97df-162bfbe2f0a7</errorID>
      <errorWord>)</errorWord>
      <group>L1_Format</group>
      <groupName>格式问题</groupName>
      <ability>L2_HalfPunc</ability>
      <abilityName>全半角检查</abilityName>
      <candidateList>
        <item>）</item>
      </candidateList>
      <explain>文本全半角错误。</explain>
      <paraID>4BC70AB4</paraID>
      <start>80</start>
      <end>81</end>
      <status>unmodified</status>
      <modifiedWord/>
      <trackRevisions>false</trackRevisions>
    </reviewItem>
    <reviewItem>
      <errorID>3711453b-62e7-45d2-9889-0930c4024fad</errorID>
      <errorWord>)</errorWord>
      <group>L1_Format</group>
      <groupName>格式问题</groupName>
      <ability>L2_HalfPunc</ability>
      <abilityName>全半角检查</abilityName>
      <candidateList>
        <item>）</item>
      </candidateList>
      <explain>文本全半角错误。</explain>
      <paraID>4BC70AB4</paraID>
      <start>96</start>
      <end>97</end>
      <status>unmodified</status>
      <modifiedWord/>
      <trackRevisions>false</trackRevisions>
    </reviewItem>
    <reviewItem>
      <errorID>7939ff2e-c782-4b83-a923-5fb70d7ea3d0</errorID>
      <errorWord>产</errorWord>
      <group>L1_Word</group>
      <groupName>字词问题</groupName>
      <ability>L2_Typo</ability>
      <abilityName>字词错误</abilityName>
      <candidateList>
        <item>产生</item>
      </candidateList>
      <explain/>
      <paraID>2EFB6B6E</paraID>
      <start>84</start>
      <end>85</end>
      <status>unmodified</status>
      <modifiedWord/>
      <trackRevisions>false</trackRevisions>
    </reviewItem>
    <reviewItem>
      <errorID>2509c2e4-148a-40d1-9fb8-57a3433c318b</errorID>
      <errorWord>三、</errorWord>
      <group>L1_Format</group>
      <groupName>格式问题</groupName>
      <ability>L2_Ordinal</ability>
      <abilityName>序号格式</abilityName>
      <candidateList>
        <item>14、</item>
      </candidateList>
      <explain>标题顺序错误，请检查标题顺序是否合理。</explain>
      <paraID> B158E1A</paraID>
      <start>0</start>
      <end>2</end>
      <status>unmodified</status>
      <modifiedWord/>
      <trackRevisions>false</trackRevisions>
    </reviewItem>
    <reviewItem>
      <errorID>9a1dd879-e8b1-4c7c-a135-932c79900239</errorID>
      <errorWord>）中</errorWord>
      <group>L1_Word</group>
      <groupName>字词问题</groupName>
      <ability>L2_Typo</ability>
      <abilityName>字词错误</abilityName>
      <candidateList>
        <item>）</item>
      </candidateList>
      <explain/>
      <paraID>7614B4FB</paraID>
      <start>30</start>
      <end>32</end>
      <status>unmodified</status>
      <modifiedWord/>
      <trackRevisions>false</trackRevisions>
    </reviewItem>
    <reviewItem>
      <errorID>7bc5e99c-bbf4-4ea5-bfc2-a8a21be78401</errorID>
      <errorWord>1中</errorWord>
      <group>L1_Word</group>
      <groupName>字词问题</groupName>
      <ability>L2_Typo</ability>
      <abilityName>字词错误</abilityName>
      <candidateList>
        <item>1</item>
      </candidateList>
      <explain/>
      <paraID>7614B4FB</paraID>
      <start>38</start>
      <end>40</end>
      <status>unmodified</status>
      <modifiedWord/>
      <trackRevisions>false</trackRevisions>
    </reviewItem>
    <reviewItem>
      <errorID>cc30b34d-00e8-4d8d-91a3-8f69eacd4751</errorID>
      <errorWord>“</errorWord>
      <group>L1_Punc</group>
      <groupName>标点问题</groupName>
      <ability>L2_Punc</ability>
      <abilityName>标点符号检查</abilityName>
      <candidateList>
        <item>：“</item>
      </candidateList>
      <explain/>
      <paraID>7614B4FB</paraID>
      <start>43</start>
      <end>44</end>
      <status>unmodified</status>
      <modifiedWord/>
      <trackRevisions>false</trackRevisions>
    </reviewItem>
    <reviewItem>
      <errorID>bc7b2f91-c619-4ff4-8f0a-fa0bd95c3201</errorID>
      <errorWord>Pm2</errorWord>
      <group>L1_Word</group>
      <groupName>字词问题</groupName>
      <ability>L2_Typo</ability>
      <abilityName>字词错误</abilityName>
      <candidateList>
        <item>PM2</item>
      </candidateList>
      <explain/>
      <paraID>7614B4FB</paraID>
      <start>72</start>
      <end>75</end>
      <status>unmodified</status>
      <modifiedWord/>
      <trackRevisions>false</trackRevisions>
    </reviewItem>
    <reviewItem>
      <errorID>7f88c0cc-f329-43fb-b037-014188b9024f</errorID>
      <errorWord>”。</errorWord>
      <group>L1_Punc</group>
      <groupName>标点问题</groupName>
      <ability>L2_Punc</ability>
      <abilityName>标点符号检查</abilityName>
      <candidateList>
        <item>。”</item>
      </candidateList>
      <explain/>
      <paraID>7614B4FB</paraID>
      <start>105</start>
      <end>107</end>
      <status>unmodified</status>
      <modifiedWord/>
      <trackRevisions>false</trackRevisions>
    </reviewItem>
    <reviewItem>
      <errorID>06767b67-a936-4b6f-8e60-60305fbada45</errorID>
      <errorWord>“</errorWord>
      <group>L1_Word</group>
      <groupName>字词问题</groupName>
      <ability>L2_Typo</ability>
      <abilityName>字词错误</abilityName>
      <candidateList>
        <item>中“</item>
      </candidateList>
      <explain/>
      <paraID>136FFE51</paraID>
      <start>48</start>
      <end>49</end>
      <status>unmodified</status>
      <modifiedWord/>
      <trackRevisions>false</trackRevisions>
    </reviewItem>
    <reviewItem>
      <errorID>7b53f609-8c08-4e6c-8df6-0a7eae03ab6d</errorID>
      <errorWord>。”</errorWord>
      <group>L1_Grammar</group>
      <groupName>语法问题</groupName>
      <ability>L2_Grammar</ability>
      <abilityName>语法错误</abilityName>
      <candidateList>
        <item>”的内容</item>
      </candidateList>
      <explain/>
      <paraID>136FFE51</paraID>
      <start>73</start>
      <end>75</end>
      <status>unmodified</status>
      <modifiedWord/>
      <trackRevisions>false</trackRevisions>
    </reviewItem>
    <reviewItem>
      <errorID>0b93d79b-6a2c-41a7-8417-0c608f60c05a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565F9600</paraID>
      <start>94</start>
      <end>95</end>
      <status>unmodified</status>
      <modifiedWord/>
      <trackRevisions>false</trackRevisions>
    </reviewItem>
    <reviewItem>
      <errorID>ef54f1dc-f542-41e0-bc1b-0f3994e6b7e5</errorID>
      <errorWord>（</errorWord>
      <group>L1_Format</group>
      <groupName>格式问题</groupName>
      <ability>L2_HalfPunc</ability>
      <abilityName>全半角检查</abilityName>
      <candidateList>
        <item>(</item>
      </candidateList>
      <explain>文本全半角错误。</explain>
      <paraID>5050B7D2</paraID>
      <start>0</start>
      <end>1</end>
      <status>unmodified</status>
      <modifiedWord/>
      <trackRevisions>false</trackRevisions>
    </reviewItem>
    <reviewItem>
      <errorID>02b3f630-32f5-4118-8752-f084b7984388</errorID>
      <errorWord>）</errorWord>
      <group>L1_Format</group>
      <groupName>格式问题</groupName>
      <ability>L2_HalfPunc</ability>
      <abilityName>全半角检查</abilityName>
      <candidateList>
        <item>)</item>
      </candidateList>
      <explain>文本全半角错误。</explain>
      <paraID>5050B7D2</paraID>
      <start>6</start>
      <end>7</end>
      <status>unmodified</status>
      <modifiedWord/>
      <trackRevisions>false</trackRevisions>
    </reviewItem>
    <reviewItem>
      <errorID>6b73f444-92fb-4d91-a421-ad5a6614cfea</errorID>
      <errorWord>（</errorWord>
      <group>L1_Format</group>
      <groupName>格式问题</groupName>
      <ability>L2_HalfPunc</ability>
      <abilityName>全半角检查</abilityName>
      <candidateList>
        <item>(</item>
      </candidateList>
      <explain>文本全半角错误。</explain>
      <paraID>3F2B2D24</paraID>
      <start>0</start>
      <end>1</end>
      <status>unmodified</status>
      <modifiedWord/>
      <trackRevisions>false</trackRevisions>
    </reviewItem>
    <reviewItem>
      <errorID>56972d76-a077-4014-bacf-b9b059dcd28c</errorID>
      <errorWord>）</errorWord>
      <group>L1_Format</group>
      <groupName>格式问题</groupName>
      <ability>L2_HalfPunc</ability>
      <abilityName>全半角检查</abilityName>
      <candidateList>
        <item>)</item>
      </candidateList>
      <explain>文本全半角错误。</explain>
      <paraID>3F2B2D24</paraID>
      <start>6</start>
      <end>7</end>
      <status>unmodified</status>
      <modifiedWord/>
      <trackRevisions>false</trackRevisions>
    </reviewItem>
    <reviewItem>
      <errorID>c1cdb704-4d8e-485a-b02f-45d64bc4ab53</errorID>
      <errorWord>法律、法规</errorWord>
      <group>L1_Word</group>
      <groupName>字词问题</groupName>
      <ability>L2_Typo</ability>
      <abilityName>字词错误</abilityName>
      <candidateList>
        <item>法律法规</item>
      </candidateList>
      <explain/>
      <paraID>70755744</paraID>
      <start>113</start>
      <end>118</end>
      <status>unmodified</status>
      <modifiedWord/>
      <trackRevisions>false</trackRevisions>
    </reviewItem>
    <reviewItem>
      <errorID>5cd804e0-d5a6-4760-8dd1-e7fe2c9bf74d</errorID>
      <errorWord>（</errorWord>
      <group>L1_Format</group>
      <groupName>格式问题</groupName>
      <ability>L2_HalfPunc</ability>
      <abilityName>全半角检查</abilityName>
      <candidateList>
        <item>(</item>
      </candidateList>
      <explain>文本全半角错误。</explain>
      <paraID>71A97E4D</paraID>
      <start>0</start>
      <end>1</end>
      <status>unmodified</status>
      <modifiedWord/>
      <trackRevisions>false</trackRevisions>
    </reviewItem>
    <reviewItem>
      <errorID>a4795c01-42d4-4f22-b12f-14af28dda766</errorID>
      <errorWord>）</errorWord>
      <group>L1_Format</group>
      <groupName>格式问题</groupName>
      <ability>L2_HalfPunc</ability>
      <abilityName>全半角检查</abilityName>
      <candidateList>
        <item>)</item>
      </candidateList>
      <explain>文本全半角错误。</explain>
      <paraID>71A97E4D</paraID>
      <start>6</start>
      <end>7</end>
      <status>unmodified</status>
      <modifiedWord/>
      <trackRevisions>false</trackRevisions>
    </reviewItem>
    <reviewItem>
      <errorID>042a573a-b620-4878-b61d-cec8beb5be79</errorID>
      <errorWord>（</errorWord>
      <group>L1_Format</group>
      <groupName>格式问题</groupName>
      <ability>L2_HalfPunc</ability>
      <abilityName>全半角检查</abilityName>
      <candidateList>
        <item>(</item>
      </candidateList>
      <explain>文本全半角错误。</explain>
      <paraID>2E962C7B</paraID>
      <start>0</start>
      <end>1</end>
      <status>unmodified</status>
      <modifiedWord/>
      <trackRevisions>false</trackRevisions>
    </reviewItem>
    <reviewItem>
      <errorID>1be5e59d-98a1-4513-8d79-f469bba810b3</errorID>
      <errorWord>）</errorWord>
      <group>L1_Format</group>
      <groupName>格式问题</groupName>
      <ability>L2_HalfPunc</ability>
      <abilityName>全半角检查</abilityName>
      <candidateList>
        <item>)</item>
      </candidateList>
      <explain>文本全半角错误。</explain>
      <paraID>2E962C7B</paraID>
      <start>2</start>
      <end>3</end>
      <status>unmodified</status>
      <modifiedWord/>
      <trackRevisions>false</trackRevisions>
    </reviewItem>
    <reviewItem>
      <errorID>7bd3814d-6943-4ac0-a0b8-84626b1e187c</errorID>
      <errorWord>定</errorWord>
      <group>L1_Word</group>
      <groupName>字词问题</groupName>
      <ability>L2_Typo</ability>
      <abilityName>字词错误</abilityName>
      <candidateList>
        <item>定期</item>
      </candidateList>
      <explain/>
      <paraID>1291DD34</paraID>
      <start>63</start>
      <end>64</end>
      <status>unmodified</status>
      <modifiedWord/>
      <trackRevisions>false</trackRevisions>
    </reviewItem>
    <reviewItem>
      <errorID>914032c6-acc1-4d39-82db-79fbc66c8d09</errorID>
      <errorWord>（</errorWord>
      <group>L1_Format</group>
      <groupName>格式问题</groupName>
      <ability>L2_HalfPunc</ability>
      <abilityName>全半角检查</abilityName>
      <candidateList>
        <item>(</item>
      </candidateList>
      <explain>文本全半角错误。</explain>
      <paraID>  DFC845</paraID>
      <start>0</start>
      <end>1</end>
      <status>unmodified</status>
      <modifiedWord/>
      <trackRevisions>false</trackRevisions>
    </reviewItem>
    <reviewItem>
      <errorID>34d9b6e1-53cb-41b9-b142-b01d5460058d</errorID>
      <errorWord>）。</errorWord>
      <group>L1_Format</group>
      <groupName>格式问题</groupName>
      <ability>L2_HalfPunc</ability>
      <abilityName>全半角检查</abilityName>
      <candidateList>
        <item>).</item>
      </candidateList>
      <explain>文本全半角错误。</explain>
      <paraID>  DFC845</paraID>
      <start>13</start>
      <end>15</end>
      <status>unmodified</status>
      <modifiedWord/>
      <trackRevisions>false</trackRevisions>
    </reviewItem>
    <reviewItem>
      <errorID>db62913f-6002-422b-be66-59c4da43aaf1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41F89A64</paraID>
      <start>0</start>
      <end>2</end>
      <status>unmodified</status>
      <modifiedWord/>
      <trackRevisions>false</trackRevisions>
    </reviewItem>
    <reviewItem>
      <errorID>cc56f12f-5f52-4ec4-b898-097be3090abb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7924FF8A</paraID>
      <start>0</start>
      <end>2</end>
      <status>unmodified</status>
      <modifiedWord/>
      <trackRevisions>false</trackRevisions>
    </reviewItem>
    <reviewItem>
      <errorID>bbc0a2bb-f9dd-48df-83ad-4879dcda65ae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86E5D8A</paraID>
      <start>0</start>
      <end>2</end>
      <status>unmodified</status>
      <modifiedWord/>
      <trackRevisions>false</trackRevisions>
    </reviewItem>
    <reviewItem>
      <errorID>ce1a0430-95e3-45fb-81da-4b8872ee32a8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68624C1F</paraID>
      <start>0</start>
      <end>2</end>
      <status>unmodified</status>
      <modifiedWord/>
      <trackRevisions>false</trackRevisions>
    </reviewItem>
    <reviewItem>
      <errorID>b30c861e-9ba1-408e-b225-070c304f9256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540ECCB5</paraID>
      <start>0</start>
      <end>2</end>
      <status>unmodified</status>
      <modifiedWord/>
      <trackRevisions>false</trackRevisions>
    </reviewItem>
    <reviewItem>
      <errorID>0c65ff8c-c3c1-47da-965e-e0160acbbb92</errorID>
      <errorWord>粘结剂</errorWord>
      <group>L1_Word</group>
      <groupName>字词问题</groupName>
      <ability>L2_Typo</ability>
      <abilityName>字词错误</abilityName>
      <candidateList>
        <item>黏结剂</item>
      </candidateList>
      <explain/>
      <paraID>6931469D</paraID>
      <start>17</start>
      <end>20</end>
      <status>unmodified</status>
      <modifiedWord/>
      <trackRevisions>false</trackRevisions>
    </reviewItem>
    <reviewItem>
      <errorID>be0e0dda-733d-4f33-ad4f-d40fb1b7d330</errorID>
      <errorWord>粘结剂</errorWord>
      <group>L1_Word</group>
      <groupName>字词问题</groupName>
      <ability>L2_Typo</ability>
      <abilityName>字词错误</abilityName>
      <candidateList>
        <item>黏结剂</item>
      </candidateList>
      <explain/>
      <paraID>6931469D</paraID>
      <start>94</start>
      <end>97</end>
      <status>unmodified</status>
      <modifiedWord/>
      <trackRevisions>false</trackRevisions>
    </reviewItem>
    <reviewItem>
      <errorID>249e568d-e397-4c8e-9272-655bc0fc7f07</errorID>
      <errorWord>（</errorWord>
      <group>L1_Punc</group>
      <groupName>标点问题</groupName>
      <ability>L2_Punc</ability>
      <abilityName>标点符号检查</abilityName>
      <candidateList/>
      <explain>同一形式括号套用。</explain>
      <paraID>313F8DAE</paraID>
      <start>38</start>
      <end>39</end>
      <status>unmodified</status>
      <modifiedWord/>
      <trackRevisions>false</trackRevisions>
    </reviewItem>
    <reviewItem>
      <errorID>f5751359-e3f4-4ac5-9093-842479125466</errorID>
      <errorWord>粘结剂</errorWord>
      <group>L1_Word</group>
      <groupName>字词问题</groupName>
      <ability>L2_Typo</ability>
      <abilityName>字词错误</abilityName>
      <candidateList>
        <item>黏结剂</item>
      </candidateList>
      <explain/>
      <paraID>313F8DAE</paraID>
      <start>54</start>
      <end>57</end>
      <status>unmodified</status>
      <modifiedWord/>
      <trackRevisions>false</trackRevisions>
    </reviewItem>
    <reviewItem>
      <errorID>b82e5f82-f9cd-4b1e-9208-d43732b6a699</errorID>
      <errorWord>）</errorWord>
      <group>L1_Punc</group>
      <groupName>标点问题</groupName>
      <ability>L2_Punc</ability>
      <abilityName>标点符号检查</abilityName>
      <candidateList/>
      <explain>同一形式括号套用。</explain>
      <paraID>313F8DAE</paraID>
      <start>57</start>
      <end>58</end>
      <status>unmodified</status>
      <modifiedWord/>
      <trackRevisions>false</trackRevisions>
    </reviewItem>
    <reviewItem>
      <errorID>3ced59f1-4e0b-4901-a0a1-e7a515a2ad80</errorID>
      <errorWord>：：</errorWord>
      <group>L1_Punc</group>
      <groupName>标点问题</groupName>
      <ability>L2_Punc</ability>
      <abilityName>标点符号检查</abilityName>
      <candidateList>
        <item>：</item>
      </candidateList>
      <explain/>
      <paraID>5761EA53</paraID>
      <start>2</start>
      <end>4</end>
      <status>unmodified</status>
      <modifiedWord/>
      <trackRevisions>false</trackRevisions>
    </reviewItem>
    <reviewItem>
      <errorID>9a92879e-101e-4a7b-907b-ab32332a34b9</errorID>
      <errorWord>粘结剂</errorWord>
      <group>L1_Word</group>
      <groupName>字词问题</groupName>
      <ability>L2_Typo</ability>
      <abilityName>字词错误</abilityName>
      <candidateList>
        <item>黏结剂</item>
      </candidateList>
      <explain/>
      <paraID>6BD389DB</paraID>
      <start>11</start>
      <end>14</end>
      <status>unmodified</status>
      <modifiedWord/>
      <trackRevisions>false</trackRevisions>
    </reviewItem>
    <reviewItem>
      <errorID>fc7975cf-7c8f-4d0e-91be-e6d731e92f54</errorID>
      <errorWord>粘结剂</errorWord>
      <group>L1_Word</group>
      <groupName>字词问题</groupName>
      <ability>L2_Typo</ability>
      <abilityName>字词错误</abilityName>
      <candidateList>
        <item>黏结剂</item>
      </candidateList>
      <explain/>
      <paraID>6BD389DB</paraID>
      <start>61</start>
      <end>64</end>
      <status>unmodified</status>
      <modifiedWord/>
      <trackRevisions>false</trackRevisions>
    </reviewItem>
    <reviewItem>
      <errorID>9ab00e86-b74d-476e-8ba3-f9b9254b57b5</errorID>
      <errorWord>粘结剂</errorWord>
      <group>L1_Word</group>
      <groupName>字词问题</groupName>
      <ability>L2_Typo</ability>
      <abilityName>字词错误</abilityName>
      <candidateList>
        <item>黏结剂</item>
      </candidateList>
      <explain/>
      <paraID>5FF140A1</paraID>
      <start>62</start>
      <end>65</end>
      <status>unmodified</status>
      <modifiedWord/>
      <trackRevisions>false</trackRevisions>
    </reviewItem>
    <reviewItem>
      <errorID>b79ced19-ebfe-4114-a3d3-f3e46abbaec1</errorID>
      <errorWord>粘结剂</errorWord>
      <group>L1_Word</group>
      <groupName>字词问题</groupName>
      <ability>L2_Typo</ability>
      <abilityName>字词错误</abilityName>
      <candidateList>
        <item>黏结剂</item>
      </candidateList>
      <explain/>
      <paraID>6A38F957</paraID>
      <start>78</start>
      <end>81</end>
      <status>unmodified</status>
      <modifiedWord/>
      <trackRevisions>false</trackRevisions>
    </reviewItem>
    <reviewItem>
      <errorID>51ba87fe-a058-4bdc-a525-a920221e5612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AA20082</paraID>
      <start>132</start>
      <end>133</end>
      <status>unmodified</status>
      <modifiedWord/>
      <trackRevisions>false</trackRevisions>
    </reviewItem>
    <reviewItem>
      <errorID>933d1b82-7604-49f8-ad7d-8d95990461fb</errorID>
      <errorWord>(</errorWord>
      <group>L1_Format</group>
      <groupName>格式问题</groupName>
      <ability>L2_HalfPunc</ability>
      <abilityName>全半角检查</abilityName>
      <candidateList>
        <item>（</item>
      </candidateList>
      <explain>文本全半角错误。</explain>
      <paraID>5B413358</paraID>
      <start>80</start>
      <end>81</end>
      <status>unmodified</status>
      <modifiedWord/>
      <trackRevisions>false</trackRevisions>
    </reviewItem>
    <reviewItem>
      <errorID>a54cdc1f-a6a1-43d9-9d4a-bb24cae247f9</errorID>
      <errorWord>)</errorWord>
      <group>L1_Format</group>
      <groupName>格式问题</groupName>
      <ability>L2_HalfPunc</ability>
      <abilityName>全半角检查</abilityName>
      <candidateList>
        <item>）</item>
      </candidateList>
      <explain>文本全半角错误。</explain>
      <paraID>5B413358</paraID>
      <start>94</start>
      <end>95</end>
      <status>unmodified</status>
      <modifiedWord/>
      <trackRevisions>false</trackRevisions>
    </reviewItem>
    <reviewItem>
      <errorID>696fd134-311c-4e02-8489-a25031ab5bdb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7E6B7C71</paraID>
      <start>76</start>
      <end>77</end>
      <status>unmodified</status>
      <modifiedWord/>
      <trackRevisions>false</trackRevisions>
    </reviewItem>
    <reviewItem>
      <errorID>7eea1098-a47f-4108-9485-1aee34a5e4b6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58EB0BE2</paraID>
      <start>0</start>
      <end>2</end>
      <status>unmodified</status>
      <modifiedWord/>
      <trackRevisions>false</trackRevisions>
    </reviewItem>
    <reviewItem>
      <errorID>9fc7542b-057f-4944-93c3-a0f9003562ef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6E5F20C9</paraID>
      <start>0</start>
      <end>2</end>
      <status>unmodified</status>
      <modifiedWord/>
      <trackRevisions>false</trackRevisions>
    </reviewItem>
    <reviewItem>
      <errorID>443d8259-7cff-4103-b9ff-13d8c5657b75</errorID>
      <errorWord>粘结剂</errorWord>
      <group>L1_Word</group>
      <groupName>字词问题</groupName>
      <ability>L2_Typo</ability>
      <abilityName>字词错误</abilityName>
      <candidateList>
        <item>黏结剂</item>
      </candidateList>
      <explain/>
      <paraID> 82F1C54</paraID>
      <start>10</start>
      <end>13</end>
      <status>unmodified</status>
      <modifiedWord/>
      <trackRevisions>false</trackRevisions>
    </reviewItem>
    <reviewItem>
      <errorID>de5288df-e94f-48bc-8e52-dbfb40754330</errorID>
      <errorWord>时的</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40869C81</paraID>
      <start>20</start>
      <end>22</end>
      <status>unmodified</status>
      <modifiedWord/>
      <trackRevisions>false</trackRevisions>
    </reviewItem>
    <reviewItem>
      <errorID>bbc36203-e746-4f5d-9f22-ea3d3c4a7e7d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68A423D0</paraID>
      <start>0</start>
      <end>2</end>
      <status>unmodified</status>
      <modifiedWord/>
      <trackRevisions>false</trackRevisions>
    </reviewItem>
    <reviewItem>
      <errorID>2e0deef2-7b1e-4348-8174-cf21b5ac8406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76AE724F</paraID>
      <start>103</start>
      <end>104</end>
      <status>unmodified</status>
      <modifiedWord/>
      <trackRevisions>false</trackRevisions>
    </reviewItem>
    <reviewItem>
      <errorID>36161468-d328-4405-8e67-b2eaa395691f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308B02A4</paraID>
      <start>129</start>
      <end>130</end>
      <status>unmodified</status>
      <modifiedWord/>
      <trackRevisions>false</trackRevisions>
    </reviewItem>
    <reviewItem>
      <errorID>1479b7ed-3d04-4e24-a0a8-c19eb6e4bb19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E4A6D93</paraID>
      <start>0</start>
      <end>2</end>
      <status>unmodified</status>
      <modifiedWord/>
      <trackRevisions>false</trackRevisions>
    </reviewItem>
    <reviewItem>
      <errorID>44479c39-4f7c-4e51-97c7-09d382a2b7fd</errorID>
      <errorWord>在</errorWord>
      <group>L1_Word</group>
      <groupName>字词问题</groupName>
      <ability>L2_Typo</ability>
      <abilityName>字词错误</abilityName>
      <candidateList>
        <item>再</item>
      </candidateList>
      <explain>存在发音相同字词的误用。</explain>
      <paraID>7F43C57D</paraID>
      <start>188</start>
      <end>189</end>
      <status>unmodified</status>
      <modifiedWord/>
      <trackRevisions>false</trackRevisions>
    </reviewItem>
    <reviewItem>
      <errorID>e2915ac4-cdeb-4be4-9269-445ea16c5ef5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23C4BCD2</paraID>
      <start>74</start>
      <end>75</end>
      <status>unmodified</status>
      <modifiedWord/>
      <trackRevisions>false</trackRevisions>
    </reviewItem>
    <reviewItem>
      <errorID>bc3d10aa-ab2c-4274-bb00-177db8c99b4b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7458FA59</paraID>
      <start>0</start>
      <end>2</end>
      <status>unmodified</status>
      <modifiedWord/>
      <trackRevisions>false</trackRevisions>
    </reviewItem>
    <reviewItem>
      <errorID>e55bc69f-b8d8-43ce-a3ac-61bbcd6760a0</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409DEC8F</paraID>
      <start>0</start>
      <end>2</end>
      <status>unmodified</status>
      <modifiedWord/>
      <trackRevisions>false</trackRevisions>
    </reviewItem>
    <reviewItem>
      <errorID>be834d12-c0f6-4a08-8bb5-02703c530aa4</errorID>
      <errorWord>(</errorWord>
      <group>L1_Format</group>
      <groupName>格式问题</groupName>
      <ability>L2_HalfPunc</ability>
      <abilityName>全半角检查</abilityName>
      <candidateList>
        <item>（</item>
      </candidateList>
      <explain>文本全半角错误。</explain>
      <paraID>1C6D46C6</paraID>
      <start>21</start>
      <end>22</end>
      <status>unmodified</status>
      <modifiedWord/>
      <trackRevisions>false</trackRevisions>
    </reviewItem>
    <reviewItem>
      <errorID>abb313bd-3880-4e45-889c-d82558834ddd</errorID>
      <errorWord>)</errorWord>
      <group>L1_Format</group>
      <groupName>格式问题</groupName>
      <ability>L2_HalfPunc</ability>
      <abilityName>全半角检查</abilityName>
      <candidateList>
        <item>）</item>
      </candidateList>
      <explain>文本全半角错误。</explain>
      <paraID>1C6D46C6</paraID>
      <start>34</start>
      <end>35</end>
      <status>unmodified</status>
      <modifiedWord/>
      <trackRevisions>false</trackRevisions>
    </reviewItem>
    <reviewItem>
      <errorID>2de07324-798c-4f79-9734-a56fe2a20f93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12B741FD</paraID>
      <start>0</start>
      <end>2</end>
      <status>unmodified</status>
      <modifiedWord/>
      <trackRevisions>false</trackRevisions>
    </reviewItem>
    <reviewItem>
      <errorID>0f132755-e67e-42a7-9354-080d63880e7a</errorID>
      <errorWord>-</errorWord>
      <group>L1_Format</group>
      <groupName>格式问题</groupName>
      <ability>L2_HalfPunc</ability>
      <abilityName>全半角检查</abilityName>
      <candidateList>
        <item>－</item>
      </candidateList>
      <explain>文本全半角错误。</explain>
      <paraID>44A62A4C</paraID>
      <start>35</start>
      <end>36</end>
      <status>unmodified</status>
      <modifiedWord/>
      <trackRevisions>false</trackRevisions>
    </reviewItem>
    <reviewItem>
      <errorID>d9dcbcf2-f2ff-49cb-87ae-dbca9d0c8780</errorID>
      <errorWord>(</errorWord>
      <group>L1_Format</group>
      <groupName>格式问题</groupName>
      <ability>L2_HalfPunc</ability>
      <abilityName>全半角检查</abilityName>
      <candidateList>
        <item>（</item>
      </candidateList>
      <explain>文本全半角错误。</explain>
      <paraID>44A62A4C</paraID>
      <start>41</start>
      <end>42</end>
      <status>unmodified</status>
      <modifiedWord/>
      <trackRevisions>false</trackRevisions>
    </reviewItem>
    <reviewItem>
      <errorID>3e38a3ad-0f76-4614-84cb-5cea0e46c0e8</errorID>
      <errorWord>)</errorWord>
      <group>L1_Format</group>
      <groupName>格式问题</groupName>
      <ability>L2_HalfPunc</ability>
      <abilityName>全半角检查</abilityName>
      <candidateList>
        <item>）</item>
      </candidateList>
      <explain>文本全半角错误。</explain>
      <paraID>44A62A4C</paraID>
      <start>47</start>
      <end>48</end>
      <status>unmodified</status>
      <modifiedWord/>
      <trackRevisions>false</trackRevisions>
    </reviewItem>
    <reviewItem>
      <errorID>a3e15a0e-c4e4-4f1b-b7c9-d91c17300b0b</errorID>
      <errorWord>-</errorWord>
      <group>L1_Format</group>
      <groupName>格式问题</groupName>
      <ability>L2_HalfPunc</ability>
      <abilityName>全半角检查</abilityName>
      <candidateList>
        <item>－</item>
      </candidateList>
      <explain>文本全半角错误。</explain>
      <paraID>793D3256</paraID>
      <start>17</start>
      <end>18</end>
      <status>unmodified</status>
      <modifiedWord/>
      <trackRevisions>false</trackRevisions>
    </reviewItem>
    <reviewItem>
      <errorID>4852ff4d-8cf1-497b-b8ce-9e7ad9adcb4b</errorID>
      <errorWord>-</errorWord>
      <group>L1_Format</group>
      <groupName>格式问题</groupName>
      <ability>L2_HalfPunc</ability>
      <abilityName>全半角检查</abilityName>
      <candidateList>
        <item>－</item>
      </candidateList>
      <explain>文本全半角错误。</explain>
      <paraID>793D3256</paraID>
      <start>20</start>
      <end>21</end>
      <status>unmodified</status>
      <modifiedWord/>
      <trackRevisions>false</trackRevisions>
    </reviewItem>
    <reviewItem>
      <errorID>df9e3ba1-8bcb-467e-aced-199e43176095</errorID>
      <errorWord>)</errorWord>
      <group>L1_Format</group>
      <groupName>格式问题</groupName>
      <ability>L2_HalfPunc</ability>
      <abilityName>全半角检查</abilityName>
      <candidateList>
        <item>）</item>
      </candidateList>
      <explain>文本全半角错误。</explain>
      <paraID> 95F73D2</paraID>
      <start>125</start>
      <end>126</end>
      <status>unmodified</status>
      <modifiedWord/>
      <trackRevisions>false</trackRevisions>
    </reviewItem>
    <reviewItem>
      <errorID>c225742a-7763-4987-b9a6-ffa8780cc130</errorID>
      <errorWord>（</errorWord>
      <group>L1_Format</group>
      <groupName>格式问题</groupName>
      <ability>L2_HalfPunc</ability>
      <abilityName>全半角检查</abilityName>
      <candidateList>
        <item>(</item>
      </candidateList>
      <explain>文本全半角错误。</explain>
      <paraID>7FBC62B9</paraID>
      <start>16</start>
      <end>17</end>
      <status>unmodified</status>
      <modifiedWord/>
      <trackRevisions>false</trackRevisions>
    </reviewItem>
    <reviewItem>
      <errorID>f68593ba-2b91-419c-b196-1e437c533132</errorID>
      <errorWord>）</errorWord>
      <group>L1_Format</group>
      <groupName>格式问题</groupName>
      <ability>L2_HalfPunc</ability>
      <abilityName>全半角检查</abilityName>
      <candidateList>
        <item>)</item>
      </candidateList>
      <explain>文本全半角错误。</explain>
      <paraID>7FBC62B9</paraID>
      <start>40</start>
      <end>41</end>
      <status>unmodified</status>
      <modifiedWord/>
      <trackRevisions>false</trackRevisions>
    </reviewItem>
    <reviewItem>
      <errorID>597a4d19-d1e7-4967-8953-4ef523744ac8</errorID>
      <errorWord>其它</errorWord>
      <group>L1_Word</group>
      <groupName>字词问题</groupName>
      <ability>L2_Alias</ability>
      <abilityName>也作/曾用词</abilityName>
      <candidateList>
        <item>其他</item>
      </candidateList>
      <explain>词汇[其它]为不规范表述或旧称，其规范书面表述为[其他]。</explain>
      <paraID>2F89D18F</paraID>
      <start>6</start>
      <end>8</end>
      <status>unmodified</status>
      <modifiedWord/>
      <trackRevisions>false</trackRevisions>
    </reviewItem>
    <reviewItem>
      <errorID>d4b85bfe-37f3-45b2-868d-a8b376fa12f0</errorID>
      <errorWord>)</errorWord>
      <group>L1_Format</group>
      <groupName>格式问题</groupName>
      <ability>L2_HalfPunc</ability>
      <abilityName>全半角检查</abilityName>
      <candidateList>
        <item>）</item>
      </candidateList>
      <explain>文本全半角错误。</explain>
      <paraID>450A25FE</paraID>
      <start>40</start>
      <end>41</end>
      <status>unmodified</status>
      <modifiedWord/>
      <trackRevisions>false</trackRevisions>
    </reviewItem>
    <reviewItem>
      <errorID>74021bb2-7f2a-4064-a639-7b5720b779f1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5DF0DA29</paraID>
      <start>0</start>
      <end>2</end>
      <status>unmodified</status>
      <modifiedWord/>
      <trackRevisions>false</trackRevisions>
    </reviewItem>
    <reviewItem>
      <errorID>50d9d81f-de86-4800-a425-b8b62edc21e2</errorID>
      <errorWord>：</errorWord>
      <group>L1_Format</group>
      <groupName>格式问题</groupName>
      <ability>L2_HalfPunc</ability>
      <abilityName>全半角检查</abilityName>
      <candidateList>
        <item>:</item>
      </candidateList>
      <explain>文本全半角错误。</explain>
      <paraID>79F98F84</paraID>
      <start>36</start>
      <end>37</end>
      <status>unmodified</status>
      <modifiedWord/>
      <trackRevisions>false</trackRevisions>
    </reviewItem>
    <reviewItem>
      <errorID>46637859-5262-4884-aee9-0c93e11ac89d</errorID>
      <errorWord>：</errorWord>
      <group>L1_Format</group>
      <groupName>格式问题</groupName>
      <ability>L2_HalfPunc</ability>
      <abilityName>全半角检查</abilityName>
      <candidateList>
        <item>:</item>
      </candidateList>
      <explain>文本全半角错误。</explain>
      <paraID>79F98F84</paraID>
      <start>70</start>
      <end>71</end>
      <status>unmodified</status>
      <modifiedWord/>
      <trackRevisions>false</trackRevisions>
    </reviewItem>
    <reviewItem>
      <errorID>c6185e33-75ab-4e55-ae01-6ca85322c93d</errorID>
      <errorWord>：</errorWord>
      <group>L1_Format</group>
      <groupName>格式问题</groupName>
      <ability>L2_HalfPunc</ability>
      <abilityName>全半角检查</abilityName>
      <candidateList>
        <item>:</item>
      </candidateList>
      <explain>文本全半角错误。</explain>
      <paraID>79F98F84</paraID>
      <start>119</start>
      <end>120</end>
      <status>unmodified</status>
      <modifiedWord/>
      <trackRevisions>false</trackRevisions>
    </reviewItem>
    <reviewItem>
      <errorID>ac736a7a-022c-491e-b03b-83310041dd0e</errorID>
      <errorWord>）中</errorWord>
      <group>L1_Word</group>
      <groupName>字词问题</groupName>
      <ability>L2_Typo</ability>
      <abilityName>字词错误</abilityName>
      <candidateList>
        <item>）</item>
      </candidateList>
      <explain/>
      <paraID>24D6B491</paraID>
      <start>52</start>
      <end>54</end>
      <status>unmodified</status>
      <modifiedWord/>
      <trackRevisions>false</trackRevisions>
    </reviewItem>
    <reviewItem>
      <errorID>4dc642df-7576-4b51-82c4-8fc77c7a8789</errorID>
      <errorWord>（</errorWord>
      <group>L1_Format</group>
      <groupName>格式问题</groupName>
      <ability>L2_HalfPunc</ability>
      <abilityName>全半角检查</abilityName>
      <candidateList>
        <item>(</item>
      </candidateList>
      <explain>文本全半角错误。</explain>
      <paraID>5284AFDD</paraID>
      <start>4</start>
      <end>5</end>
      <status>unmodified</status>
      <modifiedWord/>
      <trackRevisions>false</trackRevisions>
    </reviewItem>
    <reviewItem>
      <errorID>ed850243-e920-4d84-9788-cf29be9c4be3</errorID>
      <errorWord>）</errorWord>
      <group>L1_Format</group>
      <groupName>格式问题</groupName>
      <ability>L2_HalfPunc</ability>
      <abilityName>全半角检查</abilityName>
      <candidateList>
        <item>)</item>
      </candidateList>
      <explain>文本全半角错误。</explain>
      <paraID>5284AFDD</paraID>
      <start>16</start>
      <end>17</end>
      <status>unmodified</status>
      <modifiedWord/>
      <trackRevisions>false</trackRevisions>
    </reviewItem>
    <reviewItem>
      <errorID>3ee771a1-6e8f-487d-953e-d566939a9f2f</errorID>
      <errorWord>（</errorWord>
      <group>L1_Format</group>
      <groupName>格式问题</groupName>
      <ability>L2_HalfPunc</ability>
      <abilityName>全半角检查</abilityName>
      <candidateList>
        <item>(</item>
      </candidateList>
      <explain>文本全半角错误。</explain>
      <paraID>22115770</paraID>
      <start>4</start>
      <end>5</end>
      <status>unmodified</status>
      <modifiedWord/>
      <trackRevisions>false</trackRevisions>
    </reviewItem>
    <reviewItem>
      <errorID>04d82c00-de57-4941-bf5a-7928897a63fe</errorID>
      <errorWord>）</errorWord>
      <group>L1_Format</group>
      <groupName>格式问题</groupName>
      <ability>L2_HalfPunc</ability>
      <abilityName>全半角检查</abilityName>
      <candidateList>
        <item>)</item>
      </candidateList>
      <explain>文本全半角错误。</explain>
      <paraID>22115770</paraID>
      <start>16</start>
      <end>17</end>
      <status>unmodified</status>
      <modifiedWord/>
      <trackRevisions>false</trackRevisions>
    </reviewItem>
    <reviewItem>
      <errorID>3fbf2d7b-557a-4227-9fe1-d38c829aff5d</errorID>
      <errorWord>（</errorWord>
      <group>L1_Format</group>
      <groupName>格式问题</groupName>
      <ability>L2_HalfPunc</ability>
      <abilityName>全半角检查</abilityName>
      <candidateList>
        <item>(</item>
      </candidateList>
      <explain>文本全半角错误。</explain>
      <paraID>64B0F3EC</paraID>
      <start>4</start>
      <end>5</end>
      <status>unmodified</status>
      <modifiedWord/>
      <trackRevisions>false</trackRevisions>
    </reviewItem>
    <reviewItem>
      <errorID>6507afcc-abd7-467d-96b2-fd7d1e526d40</errorID>
      <errorWord>）</errorWord>
      <group>L1_Format</group>
      <groupName>格式问题</groupName>
      <ability>L2_HalfPunc</ability>
      <abilityName>全半角检查</abilityName>
      <candidateList>
        <item>)</item>
      </candidateList>
      <explain>文本全半角错误。</explain>
      <paraID>64B0F3EC</paraID>
      <start>15</start>
      <end>16</end>
      <status>unmodified</status>
      <modifiedWord/>
      <trackRevisions>false</trackRevisions>
    </reviewItem>
    <reviewItem>
      <errorID>2e7a4008-c13d-4d47-94dc-7481b45328db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5E326462</paraID>
      <start>56</start>
      <end>57</end>
      <status>unmodified</status>
      <modifiedWord/>
      <trackRevisions>false</trackRevisions>
    </reviewItem>
    <reviewItem>
      <errorID>47475329-9d9c-4d11-b081-3294cd7c5d01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5E326462</paraID>
      <start>83</start>
      <end>84</end>
      <status>unmodified</status>
      <modifiedWord/>
      <trackRevisions>false</trackRevisions>
    </reviewItem>
    <reviewItem>
      <errorID>b082c031-1bd7-489f-8eda-a5bccb371d7e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5E326462</paraID>
      <start>133</start>
      <end>134</end>
      <status>unmodified</status>
      <modifiedWord/>
      <trackRevisions>false</trackRevisions>
    </reviewItem>
    <reviewItem>
      <errorID>796700f1-e7a7-4b85-83df-94b787e6e035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56490726</paraID>
      <start>7</start>
      <end>8</end>
      <status>unmodified</status>
      <modifiedWord/>
      <trackRevisions>false</trackRevisions>
    </reviewItem>
    <reviewItem>
      <errorID>668a3158-5a75-41b4-bdef-6558f7f74b61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3A54581F</paraID>
      <start>11</start>
      <end>12</end>
      <status>unmodified</status>
      <modifiedWord/>
      <trackRevisions>false</trackRevisions>
    </reviewItem>
    <reviewItem>
      <errorID>79d2c3d7-5f88-4515-ba1b-320568fac32b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78976E4A</paraID>
      <start>11</start>
      <end>12</end>
      <status>unmodified</status>
      <modifiedWord/>
      <trackRevisions>false</trackRevisions>
    </reviewItem>
    <reviewItem>
      <errorID>0fc310eb-e5ae-4d64-982f-fbd871afe2d2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1AB719E3</paraID>
      <start>26</start>
      <end>27</end>
      <status>unmodified</status>
      <modifiedWord/>
      <trackRevisions>false</trackRevisions>
    </reviewItem>
    <reviewItem>
      <errorID>51804882-3d0f-4998-82c1-81d0d65841e2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10422036</paraID>
      <start>26</start>
      <end>27</end>
      <status>unmodified</status>
      <modifiedWord/>
      <trackRevisions>false</trackRevisions>
    </reviewItem>
    <reviewItem>
      <errorID>6ec6b5db-216e-46fc-8f61-01e04cf0cbb1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63DC7074</paraID>
      <start>26</start>
      <end>27</end>
      <status>unmodified</status>
      <modifiedWord/>
      <trackRevisions>false</trackRevisions>
    </reviewItem>
    <reviewItem>
      <errorID>eb1530a3-e684-4d11-9d71-919f03674e7a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4378738C</paraID>
      <start>26</start>
      <end>27</end>
      <status>unmodified</status>
      <modifiedWord/>
      <trackRevisions>false</trackRevisions>
    </reviewItem>
    <reviewItem>
      <errorID>a1314743-9a7e-4745-8d24-6e42177128fe</errorID>
      <errorWord>水退砂浆</errorWord>
      <group>L1_Word</group>
      <groupName>字词问题</groupName>
      <ability>L2_Typo</ability>
      <abilityName>字词错误</abilityName>
      <candidateList>
        <item>水泥砂浆</item>
      </candidateList>
      <explain/>
      <paraID>6C43CFE9</paraID>
      <start>4</start>
      <end>8</end>
      <status>unmodified</status>
      <modifiedWord/>
      <trackRevisions>false</trackRevisions>
    </reviewItem>
    <reviewItem>
      <errorID>f7b16e6e-25f4-42f7-ad7a-a575c78900d7</errorID>
      <errorWord>水退砂浆</errorWord>
      <group>L1_Word</group>
      <groupName>字词问题</groupName>
      <ability>L2_Typo</ability>
      <abilityName>字词错误</abilityName>
      <candidateList>
        <item>水泥砂浆</item>
      </candidateList>
      <explain/>
      <paraID>78294007</paraID>
      <start>4</start>
      <end>8</end>
      <status>unmodified</status>
      <modifiedWord/>
      <trackRevisions>false</trackRevisions>
    </reviewItem>
    <reviewItem>
      <errorID>e2aa04b0-58a2-4387-b1c3-b9041d98022b</errorID>
      <errorWord>水退砂浆</errorWord>
      <group>L1_Word</group>
      <groupName>字词问题</groupName>
      <ability>L2_Typo</ability>
      <abilityName>字词错误</abilityName>
      <candidateList>
        <item>水泥砂浆</item>
      </candidateList>
      <explain/>
      <paraID>7F17D86A</paraID>
      <start>4</start>
      <end>8</end>
      <status>unmodified</status>
      <modifiedWord/>
      <trackRevisions>false</trackRevisions>
    </reviewItem>
    <reviewItem>
      <errorID>095dcc86-e4a6-4b89-b2cf-5c4a79bf8dc7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3EBAD10E</paraID>
      <start>71</start>
      <end>74</end>
      <status>unmodified</status>
      <modifiedWord/>
      <trackRevisions>false</trackRevisions>
    </reviewItem>
    <reviewItem>
      <errorID>2f330d32-05b6-48a1-9068-dff92f7fc3f9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353E3EA</paraID>
      <start>0</start>
      <end>2</end>
      <status>unmodified</status>
      <modifiedWord/>
      <trackRevisions>false</trackRevisions>
    </reviewItem>
    <reviewItem>
      <errorID>5a238230-fcab-45da-8e77-74f75336d018</errorID>
      <errorWord>程</errorWord>
      <group>L1_Word</group>
      <groupName>字词问题</groupName>
      <ability>L2_Typo</ability>
      <abilityName>字词错误</abilityName>
      <candidateList>
        <item>程中</item>
      </candidateList>
      <explain/>
      <paraID>670E99F3</paraID>
      <start>37</start>
      <end>38</end>
      <status>unmodified</status>
      <modifiedWord/>
      <trackRevisions>false</trackRevisions>
    </reviewItem>
    <reviewItem>
      <errorID>eae2334e-9d58-4f93-9817-dc5fde60f850</errorID>
      <errorWord>范</errorWord>
      <group>L1_Word</group>
      <groupName>字词问题</groupName>
      <ability>L2_Typo</ability>
      <abilityName>字词错误</abilityName>
      <candidateList>
        <item>范和</item>
      </candidateList>
      <explain/>
      <paraID>369C7CEE</paraID>
      <start>11</start>
      <end>12</end>
      <status>unmodified</status>
      <modifiedWord/>
      <trackRevisions>false</trackRevisions>
    </reviewItem>
    <reviewItem>
      <errorID>26a29acb-896a-4d21-8191-38f196f28473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495E4DED</paraID>
      <start>0</start>
      <end>2</end>
      <status>unmodified</status>
      <modifiedWord/>
      <trackRevisions>false</trackRevisions>
    </reviewItem>
    <reviewItem>
      <errorID>cd2ca3c3-b085-4141-a18b-2d56d261b411</errorID>
      <errorWord>(</errorWord>
      <group>L1_Format</group>
      <groupName>格式问题</groupName>
      <ability>L2_HalfPunc</ability>
      <abilityName>全半角检查</abilityName>
      <candidateList>
        <item>（</item>
      </candidateList>
      <explain>文本全半角错误。</explain>
      <paraID> 3481725</paraID>
      <start>3</start>
      <end>4</end>
      <status>unmodified</status>
      <modifiedWord/>
      <trackRevisions>false</trackRevisions>
    </reviewItem>
    <reviewItem>
      <errorID>54a3adb9-7ef2-4f81-aa2b-0129b32ecaa4</errorID>
      <errorWord>)</errorWord>
      <group>L1_Format</group>
      <groupName>格式问题</groupName>
      <ability>L2_HalfPunc</ability>
      <abilityName>全半角检查</abilityName>
      <candidateList>
        <item>）</item>
      </candidateList>
      <explain>文本全半角错误。</explain>
      <paraID> 3481725</paraID>
      <start>9</start>
      <end>10</end>
      <status>unmodified</status>
      <modifiedWord/>
      <trackRevisions>false</trackRevisions>
    </reviewItem>
    <reviewItem>
      <errorID>2134ebd5-24d0-493c-aaad-014f86730e52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54182249</paraID>
      <start>25</start>
      <end>26</end>
      <status>unmodified</status>
      <modifiedWord/>
      <trackRevisions>false</trackRevisions>
    </reviewItem>
    <reviewItem>
      <errorID>a6b6a986-85b2-4745-8664-09f827703b60</errorID>
      <errorWord>。；</errorWord>
      <group>L1_Punc</group>
      <groupName>标点问题</groupName>
      <ability>L2_Punc</ability>
      <abilityName>标点符号检查</abilityName>
      <candidateList>
        <item>。</item>
      </candidateList>
      <explain/>
      <paraID>54182249</paraID>
      <start>32</start>
      <end>34</end>
      <status>unmodified</status>
      <modifiedWord/>
      <trackRevisions>false</trackRevisions>
    </reviewItem>
    <reviewItem>
      <errorID>dd0f2d8f-9e67-4243-af7a-ea69a1f586be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54182249</paraID>
      <start>55</start>
      <end>56</end>
      <status>unmodified</status>
      <modifiedWord/>
      <trackRevisions>false</trackRevisions>
    </reviewItem>
    <reviewItem>
      <errorID>b982a328-f27b-4785-a269-0add370ac0b2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6F346B94</paraID>
      <start>27</start>
      <end>28</end>
      <status>unmodified</status>
      <modifiedWord/>
      <trackRevisions>false</trackRevisions>
    </reviewItem>
    <reviewItem>
      <errorID>80600829-ef87-446f-a175-791ae8400406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6F346B94</paraID>
      <start>93</start>
      <end>94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6e6598-9a59-4541-8a7d-1feb6cffe9a4}">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109</Pages>
  <Words>16</Words>
  <Characters>16</Characters>
  <Lines>2205</Lines>
  <Paragraphs>2187</Paragraphs>
  <TotalTime>4</TotalTime>
  <ScaleCrop>false</ScaleCrop>
  <LinksUpToDate>false</LinksUpToDate>
  <CharactersWithSpaces>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迴到過去</cp:lastModifiedBy>
  <cp:lastPrinted>2020-12-29T02:43:00Z</cp:lastPrinted>
  <dcterms:modified xsi:type="dcterms:W3CDTF">2026-11-02T02:01:38Z</dcterms:modified>
  <dc:title>附件2</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0C04E21093AD4F39A8C3EFF7C8F3E01E_13</vt:lpwstr>
  </property>
  <property fmtid="{D5CDD505-2E9C-101B-9397-08002B2CF9AE}" pid="4" name="KSOTemplateDocerSaveRecord">
    <vt:lpwstr>eyJoZGlkIjoiMTk2OTI4YmMxMzc2MjEzYjIzZmVmZjM5OTliMjZkZjEiLCJ1c2VySWQiOiI0MTE1NDI4MTYifQ==</vt:lpwstr>
  </property>
</Properties>
</file>