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C62F9">
      <w:pPr>
        <w:pStyle w:val="12"/>
        <w:ind w:left="0" w:leftChars="0" w:firstLine="0" w:firstLineChars="0"/>
        <w:rPr>
          <w:rFonts w:hint="default"/>
          <w:b/>
          <w:bCs/>
          <w:color w:val="auto"/>
          <w:highlight w:val="none"/>
        </w:rPr>
      </w:pPr>
      <w:r>
        <w:drawing>
          <wp:inline distT="0" distB="0" distL="114300" distR="114300">
            <wp:extent cx="5617845" cy="8299450"/>
            <wp:effectExtent l="0" t="0" r="1905" b="6350"/>
            <wp:docPr id="1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4"/>
                    <pic:cNvPicPr>
                      <a:picLocks noChangeAspect="1"/>
                    </pic:cNvPicPr>
                  </pic:nvPicPr>
                  <pic:blipFill>
                    <a:blip r:embed="rId14"/>
                    <a:stretch>
                      <a:fillRect/>
                    </a:stretch>
                  </pic:blipFill>
                  <pic:spPr>
                    <a:xfrm>
                      <a:off x="0" y="0"/>
                      <a:ext cx="5617845" cy="8299450"/>
                    </a:xfrm>
                    <a:prstGeom prst="rect">
                      <a:avLst/>
                    </a:prstGeom>
                    <a:noFill/>
                    <a:ln>
                      <a:noFill/>
                    </a:ln>
                  </pic:spPr>
                </pic:pic>
              </a:graphicData>
            </a:graphic>
          </wp:inline>
        </w:drawing>
      </w:r>
      <w:r>
        <w:drawing>
          <wp:inline distT="0" distB="0" distL="114300" distR="114300">
            <wp:extent cx="5534025" cy="7515225"/>
            <wp:effectExtent l="0" t="0" r="9525" b="9525"/>
            <wp:docPr id="14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5"/>
                    <pic:cNvPicPr>
                      <a:picLocks noChangeAspect="1"/>
                    </pic:cNvPicPr>
                  </pic:nvPicPr>
                  <pic:blipFill>
                    <a:blip r:embed="rId15"/>
                    <a:stretch>
                      <a:fillRect/>
                    </a:stretch>
                  </pic:blipFill>
                  <pic:spPr>
                    <a:xfrm>
                      <a:off x="0" y="0"/>
                      <a:ext cx="5534025" cy="7515225"/>
                    </a:xfrm>
                    <a:prstGeom prst="rect">
                      <a:avLst/>
                    </a:prstGeom>
                    <a:noFill/>
                    <a:ln>
                      <a:noFill/>
                    </a:ln>
                  </pic:spPr>
                </pic:pic>
              </a:graphicData>
            </a:graphic>
          </wp:inline>
        </w:drawing>
      </w:r>
      <w:r>
        <w:drawing>
          <wp:inline distT="0" distB="0" distL="114300" distR="114300">
            <wp:extent cx="5614670" cy="7564755"/>
            <wp:effectExtent l="0" t="0" r="5080" b="17145"/>
            <wp:docPr id="17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6"/>
                    <pic:cNvPicPr>
                      <a:picLocks noChangeAspect="1"/>
                    </pic:cNvPicPr>
                  </pic:nvPicPr>
                  <pic:blipFill>
                    <a:blip r:embed="rId16"/>
                    <a:stretch>
                      <a:fillRect/>
                    </a:stretch>
                  </pic:blipFill>
                  <pic:spPr>
                    <a:xfrm>
                      <a:off x="0" y="0"/>
                      <a:ext cx="5614670" cy="7564755"/>
                    </a:xfrm>
                    <a:prstGeom prst="rect">
                      <a:avLst/>
                    </a:prstGeom>
                    <a:noFill/>
                    <a:ln>
                      <a:noFill/>
                    </a:ln>
                  </pic:spPr>
                </pic:pic>
              </a:graphicData>
            </a:graphic>
          </wp:inline>
        </w:drawing>
      </w:r>
      <w:r>
        <w:drawing>
          <wp:inline distT="0" distB="0" distL="114300" distR="114300">
            <wp:extent cx="5612130" cy="7872095"/>
            <wp:effectExtent l="0" t="0" r="7620" b="14605"/>
            <wp:docPr id="17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
                    <pic:cNvPicPr>
                      <a:picLocks noChangeAspect="1"/>
                    </pic:cNvPicPr>
                  </pic:nvPicPr>
                  <pic:blipFill>
                    <a:blip r:embed="rId17"/>
                    <a:stretch>
                      <a:fillRect/>
                    </a:stretch>
                  </pic:blipFill>
                  <pic:spPr>
                    <a:xfrm>
                      <a:off x="0" y="0"/>
                      <a:ext cx="5612130" cy="7872095"/>
                    </a:xfrm>
                    <a:prstGeom prst="rect">
                      <a:avLst/>
                    </a:prstGeom>
                    <a:noFill/>
                    <a:ln>
                      <a:noFill/>
                    </a:ln>
                  </pic:spPr>
                </pic:pic>
              </a:graphicData>
            </a:graphic>
          </wp:inline>
        </w:drawing>
      </w:r>
      <w:r>
        <w:drawing>
          <wp:inline distT="0" distB="0" distL="114300" distR="114300">
            <wp:extent cx="5614035" cy="7469505"/>
            <wp:effectExtent l="0" t="0" r="5715" b="17145"/>
            <wp:docPr id="17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8"/>
                    <pic:cNvPicPr>
                      <a:picLocks noChangeAspect="1"/>
                    </pic:cNvPicPr>
                  </pic:nvPicPr>
                  <pic:blipFill>
                    <a:blip r:embed="rId18"/>
                    <a:stretch>
                      <a:fillRect/>
                    </a:stretch>
                  </pic:blipFill>
                  <pic:spPr>
                    <a:xfrm>
                      <a:off x="0" y="0"/>
                      <a:ext cx="5614035" cy="7469505"/>
                    </a:xfrm>
                    <a:prstGeom prst="rect">
                      <a:avLst/>
                    </a:prstGeom>
                    <a:noFill/>
                    <a:ln>
                      <a:noFill/>
                    </a:ln>
                  </pic:spPr>
                </pic:pic>
              </a:graphicData>
            </a:graphic>
          </wp:inline>
        </w:drawing>
      </w:r>
      <w:r>
        <w:drawing>
          <wp:inline distT="0" distB="0" distL="114300" distR="114300">
            <wp:extent cx="5610225" cy="7609840"/>
            <wp:effectExtent l="0" t="0" r="9525" b="10160"/>
            <wp:docPr id="18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9"/>
                    <pic:cNvPicPr>
                      <a:picLocks noChangeAspect="1"/>
                    </pic:cNvPicPr>
                  </pic:nvPicPr>
                  <pic:blipFill>
                    <a:blip r:embed="rId19"/>
                    <a:stretch>
                      <a:fillRect/>
                    </a:stretch>
                  </pic:blipFill>
                  <pic:spPr>
                    <a:xfrm>
                      <a:off x="0" y="0"/>
                      <a:ext cx="5610225" cy="7609840"/>
                    </a:xfrm>
                    <a:prstGeom prst="rect">
                      <a:avLst/>
                    </a:prstGeom>
                    <a:noFill/>
                    <a:ln>
                      <a:noFill/>
                    </a:ln>
                  </pic:spPr>
                </pic:pic>
              </a:graphicData>
            </a:graphic>
          </wp:inline>
        </w:drawing>
      </w:r>
    </w:p>
    <w:p w14:paraId="38EBCE7B">
      <w:pPr>
        <w:pStyle w:val="12"/>
        <w:ind w:left="0" w:leftChars="0" w:firstLine="0" w:firstLineChars="0"/>
        <w:rPr>
          <w:rFonts w:hint="default"/>
          <w:b/>
          <w:bCs/>
          <w:color w:val="auto"/>
          <w:highlight w:val="none"/>
        </w:rPr>
      </w:pPr>
    </w:p>
    <w:p w14:paraId="2F992026">
      <w:pPr>
        <w:pStyle w:val="12"/>
        <w:ind w:left="0" w:leftChars="0" w:firstLine="0" w:firstLineChars="0"/>
        <w:rPr>
          <w:rFonts w:hint="default"/>
          <w:b/>
          <w:bCs/>
          <w:color w:val="auto"/>
          <w:highlight w:val="none"/>
        </w:rPr>
      </w:pPr>
    </w:p>
    <w:p w14:paraId="3023193F">
      <w:pPr>
        <w:pStyle w:val="12"/>
        <w:ind w:left="0" w:leftChars="0" w:firstLine="0" w:firstLineChars="0"/>
        <w:rPr>
          <w:rFonts w:hint="default"/>
          <w:b/>
          <w:bCs/>
          <w:color w:val="auto"/>
          <w:highlight w:val="none"/>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fmt="numberInDash" w:start="3"/>
          <w:cols w:space="720" w:num="1"/>
          <w:docGrid w:linePitch="312" w:charSpace="0"/>
        </w:sectPr>
      </w:pPr>
    </w:p>
    <w:p w14:paraId="42F59967">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43"/>
        <w:gridCol w:w="1750"/>
        <w:gridCol w:w="1975"/>
        <w:gridCol w:w="3002"/>
      </w:tblGrid>
      <w:tr w14:paraId="03196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1D657C5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6603" w:type="dxa"/>
            <w:gridSpan w:val="3"/>
            <w:noWrap w:val="0"/>
            <w:vAlign w:val="center"/>
          </w:tcPr>
          <w:p w14:paraId="77F9F94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蒙古伊泰煤炭股份有限公司凯达</w:t>
            </w:r>
            <w:r>
              <w:rPr>
                <w:rFonts w:hint="default" w:ascii="Times New Roman" w:hAnsi="Times New Roman" w:cs="Times New Roman"/>
                <w:color w:val="auto"/>
                <w:sz w:val="24"/>
                <w:szCs w:val="24"/>
                <w:highlight w:val="none"/>
                <w:lang w:val="en-US" w:eastAsia="zh-CN"/>
              </w:rPr>
              <w:t>选煤厂锅炉</w:t>
            </w:r>
            <w:r>
              <w:rPr>
                <w:rFonts w:hint="eastAsia" w:cs="Times New Roman"/>
                <w:color w:val="auto"/>
                <w:sz w:val="24"/>
                <w:szCs w:val="24"/>
                <w:highlight w:val="none"/>
                <w:lang w:val="en-US" w:eastAsia="zh-CN"/>
              </w:rPr>
              <w:t>建设</w:t>
            </w:r>
            <w:r>
              <w:rPr>
                <w:rFonts w:hint="default" w:ascii="Times New Roman" w:hAnsi="Times New Roman" w:cs="Times New Roman"/>
                <w:color w:val="auto"/>
                <w:sz w:val="24"/>
                <w:szCs w:val="24"/>
                <w:highlight w:val="none"/>
                <w:lang w:val="en-US" w:eastAsia="zh-CN"/>
              </w:rPr>
              <w:t>项目</w:t>
            </w:r>
          </w:p>
        </w:tc>
      </w:tr>
      <w:tr w14:paraId="29ED8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4970BAD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6603" w:type="dxa"/>
            <w:gridSpan w:val="3"/>
            <w:noWrap w:val="0"/>
            <w:vAlign w:val="center"/>
          </w:tcPr>
          <w:p w14:paraId="2D4CA75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6FDAB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67" w:type="dxa"/>
            <w:noWrap w:val="0"/>
            <w:tcMar>
              <w:top w:w="16" w:type="dxa"/>
              <w:left w:w="16" w:type="dxa"/>
              <w:right w:w="16" w:type="dxa"/>
            </w:tcMar>
            <w:vAlign w:val="center"/>
          </w:tcPr>
          <w:p w14:paraId="0FD4504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752" w:type="dxa"/>
            <w:noWrap w:val="0"/>
            <w:vAlign w:val="center"/>
          </w:tcPr>
          <w:p w14:paraId="6FD769B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李宁</w:t>
            </w:r>
          </w:p>
        </w:tc>
        <w:tc>
          <w:tcPr>
            <w:tcW w:w="1978" w:type="dxa"/>
            <w:noWrap w:val="0"/>
            <w:vAlign w:val="center"/>
          </w:tcPr>
          <w:p w14:paraId="5C6F1B8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2873" w:type="dxa"/>
            <w:noWrap w:val="0"/>
            <w:vAlign w:val="center"/>
          </w:tcPr>
          <w:p w14:paraId="3C07D0D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18909507785</w:t>
            </w:r>
          </w:p>
        </w:tc>
      </w:tr>
      <w:tr w14:paraId="00BC1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5829C74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6603" w:type="dxa"/>
            <w:gridSpan w:val="3"/>
            <w:noWrap w:val="0"/>
            <w:vAlign w:val="center"/>
          </w:tcPr>
          <w:p w14:paraId="29EE2BA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内蒙古自治区鄂尔多斯市准格尔旗纳日松镇，内蒙古伊泰煤炭股份有限公司凯达选煤厂内</w:t>
            </w:r>
          </w:p>
        </w:tc>
      </w:tr>
      <w:tr w14:paraId="3EAFE8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760B182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6603" w:type="dxa"/>
            <w:gridSpan w:val="3"/>
            <w:noWrap w:val="0"/>
            <w:vAlign w:val="center"/>
          </w:tcPr>
          <w:p w14:paraId="07E3A051">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110</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lang w:val="en-US" w:eastAsia="zh-CN"/>
              </w:rPr>
              <w:t>36</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32.233</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lang w:val="en-US" w:eastAsia="zh-CN"/>
              </w:rPr>
              <w:t>39</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lang w:val="en-US" w:eastAsia="zh-CN"/>
              </w:rPr>
              <w:t>21</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lang w:val="en-US" w:eastAsia="zh-CN"/>
              </w:rPr>
              <w:t>54.199</w:t>
            </w:r>
            <w:r>
              <w:rPr>
                <w:rFonts w:hint="default" w:ascii="Times New Roman" w:hAnsi="Times New Roman" w:cs="Times New Roman"/>
                <w:color w:val="auto"/>
                <w:sz w:val="24"/>
                <w:szCs w:val="24"/>
                <w:highlight w:val="none"/>
              </w:rPr>
              <w:t>秒）</w:t>
            </w:r>
          </w:p>
        </w:tc>
      </w:tr>
      <w:tr w14:paraId="32000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267" w:type="dxa"/>
            <w:noWrap w:val="0"/>
            <w:tcMar>
              <w:top w:w="16" w:type="dxa"/>
              <w:left w:w="16" w:type="dxa"/>
              <w:right w:w="16" w:type="dxa"/>
            </w:tcMar>
            <w:vAlign w:val="center"/>
          </w:tcPr>
          <w:p w14:paraId="77708DB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国民经济</w:t>
            </w:r>
          </w:p>
          <w:p w14:paraId="2DE989D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752" w:type="dxa"/>
            <w:noWrap w:val="0"/>
            <w:vAlign w:val="center"/>
          </w:tcPr>
          <w:p w14:paraId="2387FAB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D4430热力生产和供应</w:t>
            </w:r>
          </w:p>
        </w:tc>
        <w:tc>
          <w:tcPr>
            <w:tcW w:w="1978" w:type="dxa"/>
            <w:noWrap w:val="0"/>
            <w:vAlign w:val="center"/>
          </w:tcPr>
          <w:p w14:paraId="5719A81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bookmarkStart w:id="0" w:name="_Hlk49843745"/>
            <w:r>
              <w:rPr>
                <w:rFonts w:hint="default" w:ascii="Times New Roman" w:hAnsi="Times New Roman" w:eastAsia="宋体" w:cs="Times New Roman"/>
                <w:color w:val="auto"/>
                <w:sz w:val="24"/>
                <w:szCs w:val="24"/>
                <w:highlight w:val="none"/>
                <w:lang w:val="en-US" w:eastAsia="zh-CN"/>
              </w:rPr>
              <w:t>建设项目</w:t>
            </w:r>
          </w:p>
          <w:p w14:paraId="3288D85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行业类别</w:t>
            </w:r>
            <w:bookmarkEnd w:id="0"/>
          </w:p>
        </w:tc>
        <w:tc>
          <w:tcPr>
            <w:tcW w:w="2873" w:type="dxa"/>
            <w:noWrap w:val="0"/>
            <w:vAlign w:val="center"/>
          </w:tcPr>
          <w:p w14:paraId="30594B03">
            <w:pPr>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四十一、电力、热力生产和供应业；燃煤、燃油锅炉总容量65</w:t>
            </w:r>
            <w:r>
              <w:rPr>
                <w:rFonts w:hint="eastAsia" w:cs="Times New Roman"/>
                <w:color w:val="auto"/>
                <w:sz w:val="24"/>
                <w:szCs w:val="24"/>
                <w:highlight w:val="none"/>
                <w:lang w:val="en-US" w:eastAsia="zh-CN"/>
              </w:rPr>
              <w:t>t/h</w:t>
            </w:r>
            <w:r>
              <w:rPr>
                <w:rFonts w:hint="default" w:ascii="Times New Roman" w:hAnsi="Times New Roman" w:eastAsia="宋体" w:cs="Times New Roman"/>
                <w:color w:val="auto"/>
                <w:sz w:val="24"/>
                <w:szCs w:val="24"/>
                <w:highlight w:val="none"/>
                <w:lang w:val="en-US" w:eastAsia="zh-CN"/>
              </w:rPr>
              <w:t>（45.5兆瓦）及以下的</w:t>
            </w:r>
          </w:p>
        </w:tc>
      </w:tr>
      <w:tr w14:paraId="12D8E1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267" w:type="dxa"/>
            <w:noWrap w:val="0"/>
            <w:tcMar>
              <w:top w:w="16" w:type="dxa"/>
              <w:left w:w="16" w:type="dxa"/>
              <w:right w:w="16" w:type="dxa"/>
            </w:tcMar>
            <w:vAlign w:val="center"/>
          </w:tcPr>
          <w:p w14:paraId="098D16C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752" w:type="dxa"/>
            <w:noWrap w:val="0"/>
            <w:vAlign w:val="center"/>
          </w:tcPr>
          <w:p w14:paraId="5D9CD1F9">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新建（迁建）</w:t>
            </w:r>
          </w:p>
          <w:p w14:paraId="6990AA75">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改建</w:t>
            </w:r>
          </w:p>
          <w:p w14:paraId="1A0DE63C">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扩建</w:t>
            </w:r>
          </w:p>
          <w:p w14:paraId="26678609">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技术改造</w:t>
            </w:r>
          </w:p>
        </w:tc>
        <w:tc>
          <w:tcPr>
            <w:tcW w:w="1978" w:type="dxa"/>
            <w:noWrap w:val="0"/>
            <w:vAlign w:val="center"/>
          </w:tcPr>
          <w:p w14:paraId="4D9B1CB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5826E1F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2873" w:type="dxa"/>
            <w:noWrap w:val="0"/>
            <w:vAlign w:val="center"/>
          </w:tcPr>
          <w:p w14:paraId="645B2B98">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首次申报项目</w:t>
            </w:r>
          </w:p>
          <w:p w14:paraId="556BF59B">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不予批准后再次申报项目</w:t>
            </w:r>
          </w:p>
          <w:p w14:paraId="2E3B5C52">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超五年重新审核项目</w:t>
            </w:r>
          </w:p>
          <w:p w14:paraId="45D69ACD">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重大变动重新报批项目</w:t>
            </w:r>
          </w:p>
        </w:tc>
      </w:tr>
      <w:tr w14:paraId="4F07A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267" w:type="dxa"/>
            <w:noWrap w:val="0"/>
            <w:tcMar>
              <w:top w:w="16" w:type="dxa"/>
              <w:left w:w="16" w:type="dxa"/>
              <w:right w:w="16" w:type="dxa"/>
            </w:tcMar>
            <w:vAlign w:val="center"/>
          </w:tcPr>
          <w:p w14:paraId="5D07D6C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0BF92A5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备案）部门（选填）</w:t>
            </w:r>
          </w:p>
        </w:tc>
        <w:tc>
          <w:tcPr>
            <w:tcW w:w="1752" w:type="dxa"/>
            <w:noWrap w:val="0"/>
            <w:vAlign w:val="center"/>
          </w:tcPr>
          <w:p w14:paraId="6D3A128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978" w:type="dxa"/>
            <w:noWrap w:val="0"/>
            <w:vAlign w:val="center"/>
          </w:tcPr>
          <w:p w14:paraId="1A5E0B1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w:t>
            </w:r>
          </w:p>
          <w:p w14:paraId="66CA771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备案）文号（选填）</w:t>
            </w:r>
          </w:p>
        </w:tc>
        <w:tc>
          <w:tcPr>
            <w:tcW w:w="2873" w:type="dxa"/>
            <w:noWrap w:val="0"/>
            <w:vAlign w:val="center"/>
          </w:tcPr>
          <w:p w14:paraId="273710A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79E8B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1CAC09A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752" w:type="dxa"/>
            <w:noWrap w:val="0"/>
            <w:vAlign w:val="center"/>
          </w:tcPr>
          <w:p w14:paraId="4C713CC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2700</w:t>
            </w:r>
          </w:p>
        </w:tc>
        <w:tc>
          <w:tcPr>
            <w:tcW w:w="1978" w:type="dxa"/>
            <w:noWrap w:val="0"/>
            <w:tcMar>
              <w:top w:w="16" w:type="dxa"/>
              <w:left w:w="16" w:type="dxa"/>
              <w:right w:w="16" w:type="dxa"/>
            </w:tcMar>
            <w:vAlign w:val="center"/>
          </w:tcPr>
          <w:p w14:paraId="092554D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2873" w:type="dxa"/>
            <w:noWrap w:val="0"/>
            <w:vAlign w:val="center"/>
          </w:tcPr>
          <w:p w14:paraId="7166908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732</w:t>
            </w:r>
          </w:p>
        </w:tc>
      </w:tr>
      <w:tr w14:paraId="5D6CC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24FB4CE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752" w:type="dxa"/>
            <w:noWrap w:val="0"/>
            <w:vAlign w:val="center"/>
          </w:tcPr>
          <w:p w14:paraId="4129812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27.11</w:t>
            </w:r>
          </w:p>
        </w:tc>
        <w:tc>
          <w:tcPr>
            <w:tcW w:w="1978" w:type="dxa"/>
            <w:noWrap w:val="0"/>
            <w:tcMar>
              <w:top w:w="16" w:type="dxa"/>
              <w:left w:w="16" w:type="dxa"/>
              <w:right w:w="16" w:type="dxa"/>
            </w:tcMar>
            <w:vAlign w:val="center"/>
          </w:tcPr>
          <w:p w14:paraId="370AA93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2873" w:type="dxa"/>
            <w:noWrap w:val="0"/>
            <w:vAlign w:val="center"/>
          </w:tcPr>
          <w:p w14:paraId="7D28F94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3个月</w:t>
            </w:r>
          </w:p>
        </w:tc>
      </w:tr>
      <w:tr w14:paraId="521EA7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267" w:type="dxa"/>
            <w:noWrap w:val="0"/>
            <w:tcMar>
              <w:top w:w="16" w:type="dxa"/>
              <w:left w:w="16" w:type="dxa"/>
              <w:right w:w="16" w:type="dxa"/>
            </w:tcMar>
            <w:vAlign w:val="center"/>
          </w:tcPr>
          <w:p w14:paraId="0AD40E1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1752" w:type="dxa"/>
            <w:noWrap w:val="0"/>
            <w:vAlign w:val="center"/>
          </w:tcPr>
          <w:p w14:paraId="0FAA00E7">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p w14:paraId="1F64B0D2">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是：</w:t>
            </w:r>
          </w:p>
        </w:tc>
        <w:tc>
          <w:tcPr>
            <w:tcW w:w="1978" w:type="dxa"/>
            <w:noWrap w:val="0"/>
            <w:tcMar>
              <w:top w:w="16" w:type="dxa"/>
              <w:left w:w="16" w:type="dxa"/>
              <w:right w:w="16" w:type="dxa"/>
            </w:tcMar>
            <w:vAlign w:val="center"/>
          </w:tcPr>
          <w:p w14:paraId="5D8F01A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6"/>
                <w:sz w:val="24"/>
                <w:szCs w:val="24"/>
                <w:highlight w:val="none"/>
              </w:rPr>
              <w:t>用地面积（m</w:t>
            </w:r>
            <w:r>
              <w:rPr>
                <w:rFonts w:hint="default" w:ascii="Times New Roman" w:hAnsi="Times New Roman" w:cs="Times New Roman"/>
                <w:color w:val="auto"/>
                <w:spacing w:val="-6"/>
                <w:sz w:val="24"/>
                <w:szCs w:val="24"/>
                <w:highlight w:val="none"/>
                <w:vertAlign w:val="superscript"/>
              </w:rPr>
              <w:t>2</w:t>
            </w:r>
            <w:r>
              <w:rPr>
                <w:rFonts w:hint="default" w:ascii="Times New Roman" w:hAnsi="Times New Roman" w:cs="Times New Roman"/>
                <w:color w:val="auto"/>
                <w:spacing w:val="-6"/>
                <w:sz w:val="24"/>
                <w:szCs w:val="24"/>
                <w:highlight w:val="none"/>
              </w:rPr>
              <w:t>）</w:t>
            </w:r>
          </w:p>
        </w:tc>
        <w:tc>
          <w:tcPr>
            <w:tcW w:w="2873" w:type="dxa"/>
            <w:noWrap w:val="0"/>
            <w:vAlign w:val="center"/>
          </w:tcPr>
          <w:p w14:paraId="1CD61B1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798</w:t>
            </w:r>
          </w:p>
          <w:p w14:paraId="2056ABD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（利用现有锅炉房，无新增占地）</w:t>
            </w:r>
          </w:p>
        </w:tc>
      </w:tr>
      <w:tr w14:paraId="130C3F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267" w:type="dxa"/>
            <w:noWrap w:val="0"/>
            <w:vAlign w:val="center"/>
          </w:tcPr>
          <w:p w14:paraId="4EAA103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专项评价设置情况</w:t>
            </w:r>
          </w:p>
        </w:tc>
        <w:tc>
          <w:tcPr>
            <w:tcW w:w="6603" w:type="dxa"/>
            <w:gridSpan w:val="3"/>
            <w:noWrap w:val="0"/>
            <w:vAlign w:val="center"/>
          </w:tcPr>
          <w:p w14:paraId="083FCC8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对照《建设项目环境影响报告表编制技术指南（污染影响类）</w:t>
            </w:r>
            <w:r>
              <w:rPr>
                <w:rFonts w:hint="default" w:ascii="Times New Roman" w:hAnsi="Times New Roman" w:cs="Times New Roman"/>
                <w:color w:val="auto"/>
                <w:highlight w:val="none"/>
                <w:lang w:eastAsia="zh-CN"/>
              </w:rPr>
              <w:t>（试行）》</w:t>
            </w:r>
            <w:r>
              <w:rPr>
                <w:rFonts w:hint="default" w:ascii="Times New Roman" w:hAnsi="Times New Roman" w:cs="Times New Roman"/>
                <w:color w:val="auto"/>
                <w:highlight w:val="none"/>
              </w:rPr>
              <w:t>中专项评价设置原则具体见表1-1。</w:t>
            </w:r>
          </w:p>
          <w:p w14:paraId="01765D64">
            <w:pPr>
              <w:bidi w:val="0"/>
              <w:ind w:left="0" w:leftChars="0"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表1-1专项评价情况表</w:t>
            </w:r>
          </w:p>
          <w:tbl>
            <w:tblPr>
              <w:tblStyle w:val="25"/>
              <w:tblW w:w="499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2425"/>
              <w:gridCol w:w="2459"/>
              <w:gridCol w:w="791"/>
            </w:tblGrid>
            <w:tr w14:paraId="4B4B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2" w:type="pct"/>
                  <w:noWrap w:val="0"/>
                  <w:vAlign w:val="center"/>
                </w:tcPr>
                <w:p w14:paraId="3876FE95">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专项评价类别</w:t>
                  </w:r>
                </w:p>
              </w:tc>
              <w:tc>
                <w:tcPr>
                  <w:tcW w:w="1866" w:type="pct"/>
                  <w:noWrap w:val="0"/>
                  <w:vAlign w:val="center"/>
                </w:tcPr>
                <w:p w14:paraId="102A595E">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设置原则</w:t>
                  </w:r>
                </w:p>
              </w:tc>
              <w:tc>
                <w:tcPr>
                  <w:tcW w:w="1892" w:type="pct"/>
                  <w:noWrap w:val="0"/>
                  <w:vAlign w:val="center"/>
                </w:tcPr>
                <w:p w14:paraId="2F721250">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本项目情况</w:t>
                  </w:r>
                </w:p>
              </w:tc>
              <w:tc>
                <w:tcPr>
                  <w:tcW w:w="608" w:type="pct"/>
                  <w:noWrap w:val="0"/>
                  <w:vAlign w:val="center"/>
                </w:tcPr>
                <w:p w14:paraId="6BE2F713">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设置情况</w:t>
                  </w:r>
                </w:p>
              </w:tc>
            </w:tr>
            <w:tr w14:paraId="0C54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2D7B11AC">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大气</w:t>
                  </w:r>
                </w:p>
              </w:tc>
              <w:tc>
                <w:tcPr>
                  <w:tcW w:w="1866" w:type="pct"/>
                  <w:noWrap w:val="0"/>
                  <w:vAlign w:val="center"/>
                </w:tcPr>
                <w:p w14:paraId="0F7AA8B8">
                  <w:pPr>
                    <w:pStyle w:val="62"/>
                    <w:bidi w:val="0"/>
                    <w:spacing w:line="240" w:lineRule="auto"/>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排放废气含有毒有害污染物、二噁英、苯并</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a</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芘、氰化物、氯气的废气且厂界外500米范围内有环境空气保护目标的建设项目</w:t>
                  </w:r>
                </w:p>
              </w:tc>
              <w:tc>
                <w:tcPr>
                  <w:tcW w:w="1892" w:type="pct"/>
                  <w:noWrap w:val="0"/>
                  <w:vAlign w:val="center"/>
                </w:tcPr>
                <w:p w14:paraId="56B712E0">
                  <w:pPr>
                    <w:pStyle w:val="62"/>
                    <w:bidi w:val="0"/>
                    <w:spacing w:line="24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rPr>
                    <w:t>本项目排放的废气中不含有毒有害污染物、</w:t>
                  </w:r>
                  <w:r>
                    <w:rPr>
                      <w:rFonts w:hint="default" w:ascii="Times New Roman" w:hAnsi="Times New Roman" w:eastAsia="宋体" w:cs="Times New Roman"/>
                      <w:color w:val="auto"/>
                      <w:sz w:val="24"/>
                      <w:szCs w:val="24"/>
                      <w:highlight w:val="none"/>
                    </w:rPr>
                    <w:t>二噁英、苯并</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rPr>
                    <w:t>a</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芘、氰化物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氯气等有毒有害物质，且厂界外500m范围内无环境空气保护目标</w:t>
                  </w:r>
                </w:p>
              </w:tc>
              <w:tc>
                <w:tcPr>
                  <w:tcW w:w="608" w:type="pct"/>
                  <w:noWrap w:val="0"/>
                  <w:vAlign w:val="center"/>
                </w:tcPr>
                <w:p w14:paraId="55420298">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3678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632" w:type="pct"/>
                  <w:noWrap w:val="0"/>
                  <w:vAlign w:val="center"/>
                </w:tcPr>
                <w:p w14:paraId="63BC7505">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地表水</w:t>
                  </w:r>
                </w:p>
              </w:tc>
              <w:tc>
                <w:tcPr>
                  <w:tcW w:w="1866" w:type="pct"/>
                  <w:noWrap w:val="0"/>
                  <w:vAlign w:val="center"/>
                </w:tcPr>
                <w:p w14:paraId="19359808">
                  <w:pPr>
                    <w:pStyle w:val="62"/>
                    <w:bidi w:val="0"/>
                    <w:spacing w:line="240" w:lineRule="auto"/>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新增工业废水直排建设项目（槽罐车外送污水处理厂的除外）；新增废水直排的污水集中处理厂</w:t>
                  </w:r>
                </w:p>
              </w:tc>
              <w:tc>
                <w:tcPr>
                  <w:tcW w:w="1892" w:type="pct"/>
                  <w:noWrap w:val="0"/>
                  <w:vAlign w:val="center"/>
                </w:tcPr>
                <w:p w14:paraId="3BB9F069">
                  <w:pPr>
                    <w:pStyle w:val="62"/>
                    <w:bidi w:val="0"/>
                    <w:spacing w:line="240" w:lineRule="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本项目不涉及。</w:t>
                  </w:r>
                </w:p>
              </w:tc>
              <w:tc>
                <w:tcPr>
                  <w:tcW w:w="608" w:type="pct"/>
                  <w:noWrap w:val="0"/>
                  <w:vAlign w:val="center"/>
                </w:tcPr>
                <w:p w14:paraId="41A58AA7">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4E7E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32" w:type="pct"/>
                  <w:noWrap w:val="0"/>
                  <w:vAlign w:val="center"/>
                </w:tcPr>
                <w:p w14:paraId="601E693D">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环境风险</w:t>
                  </w:r>
                </w:p>
              </w:tc>
              <w:tc>
                <w:tcPr>
                  <w:tcW w:w="1866" w:type="pct"/>
                  <w:noWrap w:val="0"/>
                  <w:vAlign w:val="center"/>
                </w:tcPr>
                <w:p w14:paraId="0161F618">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有毒有害和易燃易爆危险物质存储量超过临界量的建设项目</w:t>
                  </w:r>
                </w:p>
              </w:tc>
              <w:tc>
                <w:tcPr>
                  <w:tcW w:w="1892" w:type="pct"/>
                  <w:noWrap w:val="0"/>
                  <w:vAlign w:val="center"/>
                </w:tcPr>
                <w:p w14:paraId="5F62C81D">
                  <w:pPr>
                    <w:pStyle w:val="62"/>
                    <w:bidi w:val="0"/>
                    <w:spacing w:line="240" w:lineRule="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本项目涉及的环境风险源危险物质存储量</w:t>
                  </w:r>
                  <w:r>
                    <w:rPr>
                      <w:rFonts w:hint="eastAsia" w:ascii="Times New Roman" w:hAnsi="Times New Roman" w:eastAsia="宋体" w:cs="Times New Roman"/>
                      <w:color w:val="auto"/>
                      <w:sz w:val="24"/>
                      <w:szCs w:val="24"/>
                      <w:highlight w:val="none"/>
                      <w:lang w:eastAsia="zh-CN"/>
                    </w:rPr>
                    <w:t>与</w:t>
                  </w:r>
                  <w:r>
                    <w:rPr>
                      <w:rFonts w:hint="eastAsia" w:ascii="Times New Roman" w:hAnsi="Times New Roman" w:eastAsia="宋体" w:cs="Times New Roman"/>
                      <w:color w:val="auto"/>
                      <w:sz w:val="24"/>
                      <w:szCs w:val="24"/>
                      <w:highlight w:val="none"/>
                      <w:lang w:val="en-US" w:eastAsia="zh-CN"/>
                    </w:rPr>
                    <w:t>临界量的比值小于1，属于简单分析。</w:t>
                  </w:r>
                </w:p>
              </w:tc>
              <w:tc>
                <w:tcPr>
                  <w:tcW w:w="608" w:type="pct"/>
                  <w:noWrap w:val="0"/>
                  <w:vAlign w:val="center"/>
                </w:tcPr>
                <w:p w14:paraId="415E56A4">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562C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78DDF156">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w:t>
                  </w:r>
                </w:p>
              </w:tc>
              <w:tc>
                <w:tcPr>
                  <w:tcW w:w="1866" w:type="pct"/>
                  <w:noWrap w:val="0"/>
                  <w:vAlign w:val="center"/>
                </w:tcPr>
                <w:p w14:paraId="567C23F9">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取水口下游500m范围内有重要水生生物的自然产卵场、索饵场、越冬场和洄游通道的新增河道取水的污染类建设项目</w:t>
                  </w:r>
                </w:p>
              </w:tc>
              <w:tc>
                <w:tcPr>
                  <w:tcW w:w="1892" w:type="pct"/>
                  <w:noWrap w:val="0"/>
                  <w:vAlign w:val="center"/>
                </w:tcPr>
                <w:p w14:paraId="31DA4B23">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本项目不涉及河道取水。</w:t>
                  </w:r>
                </w:p>
              </w:tc>
              <w:tc>
                <w:tcPr>
                  <w:tcW w:w="608" w:type="pct"/>
                  <w:noWrap w:val="0"/>
                  <w:vAlign w:val="center"/>
                </w:tcPr>
                <w:p w14:paraId="5EDAF9A6">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r w14:paraId="5CE3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noWrap w:val="0"/>
                  <w:vAlign w:val="center"/>
                </w:tcPr>
                <w:p w14:paraId="3269C28D">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海洋</w:t>
                  </w:r>
                </w:p>
              </w:tc>
              <w:tc>
                <w:tcPr>
                  <w:tcW w:w="1866" w:type="pct"/>
                  <w:noWrap w:val="0"/>
                  <w:vAlign w:val="center"/>
                </w:tcPr>
                <w:p w14:paraId="54051352">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直接向海排放污染物的海洋工程建设项目</w:t>
                  </w:r>
                </w:p>
              </w:tc>
              <w:tc>
                <w:tcPr>
                  <w:tcW w:w="1892" w:type="pct"/>
                  <w:noWrap w:val="0"/>
                  <w:vAlign w:val="center"/>
                </w:tcPr>
                <w:p w14:paraId="67A1F17B">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本项目不涉及海洋，无需设置海洋专项。</w:t>
                  </w:r>
                </w:p>
              </w:tc>
              <w:tc>
                <w:tcPr>
                  <w:tcW w:w="608" w:type="pct"/>
                  <w:noWrap w:val="0"/>
                  <w:vAlign w:val="center"/>
                </w:tcPr>
                <w:p w14:paraId="6A48F21F">
                  <w:pPr>
                    <w:pStyle w:val="62"/>
                    <w:bidi w:val="0"/>
                    <w:spacing w:line="240" w:lineRule="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不设置</w:t>
                  </w:r>
                </w:p>
              </w:tc>
            </w:tr>
          </w:tbl>
          <w:p w14:paraId="42A1D58E">
            <w:pPr>
              <w:bidi w:val="0"/>
              <w:rPr>
                <w:rFonts w:hint="default"/>
                <w:color w:val="auto"/>
                <w:highlight w:val="none"/>
                <w:lang w:val="en-US" w:eastAsia="zh-CN"/>
              </w:rPr>
            </w:pPr>
            <w:r>
              <w:rPr>
                <w:rFonts w:hint="default"/>
                <w:color w:val="auto"/>
                <w:highlight w:val="none"/>
                <w:lang w:val="en-US" w:eastAsia="zh-CN"/>
              </w:rPr>
              <w:t>综上判定</w:t>
            </w:r>
            <w:r>
              <w:rPr>
                <w:rFonts w:hint="default"/>
                <w:color w:val="auto"/>
                <w:highlight w:val="none"/>
              </w:rPr>
              <w:t>，本项目不设置专项评价。</w:t>
            </w:r>
          </w:p>
        </w:tc>
      </w:tr>
      <w:tr w14:paraId="57274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2267" w:type="dxa"/>
            <w:noWrap w:val="0"/>
            <w:vAlign w:val="center"/>
          </w:tcPr>
          <w:p w14:paraId="01BE747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规划情况</w:t>
            </w:r>
          </w:p>
        </w:tc>
        <w:tc>
          <w:tcPr>
            <w:tcW w:w="6603" w:type="dxa"/>
            <w:gridSpan w:val="3"/>
            <w:noWrap w:val="0"/>
            <w:vAlign w:val="center"/>
          </w:tcPr>
          <w:p w14:paraId="4478423E">
            <w:pPr>
              <w:bidi w:val="0"/>
              <w:ind w:left="0" w:leftChars="0" w:firstLine="0" w:firstLineChars="0"/>
              <w:jc w:val="center"/>
              <w:rPr>
                <w:rFonts w:hint="default" w:ascii="Times New Roman" w:hAnsi="Times New Roman" w:eastAsia="宋体" w:cs="Times New Roman"/>
                <w:color w:val="auto"/>
                <w:kern w:val="0"/>
                <w:szCs w:val="24"/>
                <w:highlight w:val="none"/>
                <w:lang w:val="en-US" w:eastAsia="zh-CN"/>
              </w:rPr>
            </w:pPr>
            <w:r>
              <w:rPr>
                <w:rFonts w:hint="eastAsia"/>
                <w:color w:val="auto"/>
                <w:highlight w:val="none"/>
                <w:lang w:val="en-US" w:eastAsia="zh-CN"/>
              </w:rPr>
              <w:t>无</w:t>
            </w:r>
          </w:p>
        </w:tc>
      </w:tr>
      <w:tr w14:paraId="49D16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2267" w:type="dxa"/>
            <w:noWrap w:val="0"/>
            <w:vAlign w:val="center"/>
          </w:tcPr>
          <w:p w14:paraId="2484C53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规划环境影响</w:t>
            </w:r>
          </w:p>
          <w:p w14:paraId="078632A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评价情况</w:t>
            </w:r>
          </w:p>
        </w:tc>
        <w:tc>
          <w:tcPr>
            <w:tcW w:w="6603" w:type="dxa"/>
            <w:gridSpan w:val="3"/>
            <w:noWrap w:val="0"/>
            <w:vAlign w:val="center"/>
          </w:tcPr>
          <w:p w14:paraId="7AFCCACE">
            <w:pPr>
              <w:bidi w:val="0"/>
              <w:ind w:left="0" w:leftChars="0" w:firstLine="0" w:firstLineChars="0"/>
              <w:jc w:val="center"/>
              <w:rPr>
                <w:rFonts w:hint="default" w:ascii="Times New Roman" w:hAnsi="Times New Roman" w:eastAsia="宋体" w:cs="Times New Roman"/>
                <w:color w:val="auto"/>
                <w:kern w:val="0"/>
                <w:szCs w:val="24"/>
                <w:highlight w:val="none"/>
                <w:lang w:val="en-US" w:eastAsia="zh-CN"/>
              </w:rPr>
            </w:pPr>
            <w:r>
              <w:rPr>
                <w:rFonts w:hint="eastAsia"/>
                <w:color w:val="auto"/>
                <w:highlight w:val="none"/>
                <w:lang w:val="en-US" w:eastAsia="zh-CN"/>
              </w:rPr>
              <w:t>无</w:t>
            </w:r>
          </w:p>
        </w:tc>
      </w:tr>
      <w:tr w14:paraId="4E4B1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7" w:type="dxa"/>
            <w:noWrap w:val="0"/>
            <w:vAlign w:val="center"/>
          </w:tcPr>
          <w:p w14:paraId="256F42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规划及规划环境影响评价符合性分析</w:t>
            </w:r>
          </w:p>
        </w:tc>
        <w:tc>
          <w:tcPr>
            <w:tcW w:w="6603" w:type="dxa"/>
            <w:gridSpan w:val="3"/>
            <w:noWrap w:val="0"/>
            <w:vAlign w:val="center"/>
          </w:tcPr>
          <w:p w14:paraId="00C36E7A">
            <w:pPr>
              <w:bidi w:val="0"/>
              <w:ind w:left="0" w:leftChars="0" w:firstLine="0" w:firstLineChars="0"/>
              <w:jc w:val="center"/>
              <w:rPr>
                <w:rFonts w:hint="eastAsia" w:eastAsia="宋体"/>
                <w:color w:val="auto"/>
                <w:highlight w:val="none"/>
                <w:lang w:val="en-US" w:eastAsia="zh-CN"/>
              </w:rPr>
            </w:pPr>
            <w:r>
              <w:rPr>
                <w:rFonts w:hint="eastAsia"/>
                <w:color w:val="auto"/>
                <w:highlight w:val="none"/>
                <w:lang w:val="en-US" w:eastAsia="zh-CN"/>
              </w:rPr>
              <w:t>无</w:t>
            </w:r>
          </w:p>
        </w:tc>
      </w:tr>
      <w:tr w14:paraId="38ADA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267" w:type="dxa"/>
            <w:noWrap w:val="0"/>
            <w:vAlign w:val="center"/>
          </w:tcPr>
          <w:p w14:paraId="3345ABB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其他符合性分析</w:t>
            </w:r>
          </w:p>
        </w:tc>
        <w:tc>
          <w:tcPr>
            <w:tcW w:w="6603" w:type="dxa"/>
            <w:gridSpan w:val="3"/>
            <w:noWrap w:val="0"/>
            <w:vAlign w:val="center"/>
          </w:tcPr>
          <w:p w14:paraId="6838D334">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一、产业政策符合性分析</w:t>
            </w:r>
          </w:p>
          <w:p w14:paraId="637BE7AC">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b/>
                <w:bCs w:val="0"/>
                <w:color w:val="auto"/>
                <w:highlight w:val="none"/>
                <w:lang w:val="en-US" w:eastAsia="zh-CN"/>
              </w:rPr>
            </w:pPr>
            <w:r>
              <w:rPr>
                <w:rFonts w:hint="default" w:ascii="Times New Roman" w:hAnsi="Times New Roman" w:cs="Times New Roman"/>
                <w:color w:val="auto"/>
                <w:sz w:val="24"/>
                <w:szCs w:val="24"/>
                <w:highlight w:val="none"/>
                <w:lang w:val="en-US" w:eastAsia="zh-CN"/>
              </w:rPr>
              <w:t>根据《产业结构调整指导目录（2024年本）》，本项目为内蒙古伊泰煤炭股份有限公司凯达选煤厂</w:t>
            </w:r>
            <w:r>
              <w:rPr>
                <w:rFonts w:hint="eastAsia" w:cs="Times New Roman"/>
                <w:color w:val="auto"/>
                <w:sz w:val="24"/>
                <w:szCs w:val="24"/>
                <w:highlight w:val="none"/>
                <w:lang w:val="en-US" w:eastAsia="zh-CN"/>
              </w:rPr>
              <w:t>改扩建的</w:t>
            </w:r>
            <w:r>
              <w:rPr>
                <w:rFonts w:hint="default" w:ascii="Times New Roman" w:hAnsi="Times New Roman" w:cs="Times New Roman"/>
                <w:color w:val="auto"/>
                <w:sz w:val="24"/>
                <w:szCs w:val="24"/>
                <w:highlight w:val="none"/>
                <w:lang w:val="en-US" w:eastAsia="zh-CN"/>
              </w:rPr>
              <w:t>燃煤蒸汽锅炉建设项目，锅炉规模为40t/h</w:t>
            </w:r>
            <w:r>
              <w:rPr>
                <w:rFonts w:hint="eastAsia" w:cs="Times New Roman"/>
                <w:color w:val="auto"/>
                <w:sz w:val="24"/>
                <w:szCs w:val="24"/>
                <w:highlight w:val="none"/>
                <w:lang w:val="en-US" w:eastAsia="zh-CN"/>
              </w:rPr>
              <w:t>，为供热项目</w:t>
            </w:r>
            <w:r>
              <w:rPr>
                <w:rFonts w:hint="default" w:ascii="Times New Roman" w:hAnsi="Times New Roman" w:cs="Times New Roman"/>
                <w:color w:val="auto"/>
                <w:sz w:val="24"/>
                <w:szCs w:val="24"/>
                <w:highlight w:val="none"/>
                <w:lang w:val="en-US" w:eastAsia="zh-CN"/>
              </w:rPr>
              <w:t>。本项目不属于“鼓励类”“限制类”和“淘汰类”，为允许类项目，符合国家产业政策要求。</w:t>
            </w:r>
            <w:r>
              <w:rPr>
                <w:rFonts w:hint="default" w:ascii="Times New Roman" w:hAnsi="Times New Roman" w:eastAsia="宋体" w:cs="Times New Roman"/>
                <w:color w:val="auto"/>
                <w:sz w:val="24"/>
                <w:szCs w:val="22"/>
                <w:highlight w:val="none"/>
                <w:lang w:val="en-US" w:eastAsia="zh-CN"/>
              </w:rPr>
              <w:t>《产业结构调整指导目录</w:t>
            </w:r>
            <w:r>
              <w:rPr>
                <w:rFonts w:hint="default" w:ascii="Times New Roman" w:hAnsi="Times New Roman" w:eastAsia="宋体" w:cs="Times New Roman"/>
                <w:color w:val="auto"/>
                <w:kern w:val="0"/>
                <w:sz w:val="24"/>
                <w:szCs w:val="24"/>
                <w:highlight w:val="none"/>
                <w:lang w:val="en-US" w:eastAsia="zh-CN"/>
              </w:rPr>
              <w:t>（2024年本）</w:t>
            </w:r>
            <w:r>
              <w:rPr>
                <w:rFonts w:hint="default" w:ascii="Times New Roman" w:hAnsi="Times New Roman" w:eastAsia="宋体" w:cs="Times New Roman"/>
                <w:color w:val="auto"/>
                <w:sz w:val="24"/>
                <w:szCs w:val="22"/>
                <w:highlight w:val="none"/>
                <w:lang w:val="en-US" w:eastAsia="zh-CN"/>
              </w:rPr>
              <w:t>》中关于锅炉的限制类和淘汰类相关要求见下表。</w:t>
            </w:r>
          </w:p>
          <w:p w14:paraId="6B087839">
            <w:pPr>
              <w:spacing w:line="360" w:lineRule="auto"/>
              <w:ind w:firstLine="482" w:firstLineChars="200"/>
              <w:jc w:val="center"/>
              <w:rPr>
                <w:rFonts w:hint="default" w:ascii="Times New Roman" w:hAnsi="Times New Roman" w:eastAsia="宋体" w:cs="Times New Roman"/>
                <w:b/>
                <w:bCs/>
                <w:color w:val="auto"/>
                <w:sz w:val="24"/>
                <w:szCs w:val="22"/>
                <w:highlight w:val="none"/>
                <w:lang w:val="en-US" w:eastAsia="zh-CN"/>
              </w:rPr>
            </w:pPr>
            <w:r>
              <w:rPr>
                <w:rFonts w:hint="default" w:ascii="Times New Roman" w:hAnsi="Times New Roman" w:eastAsia="宋体" w:cs="Times New Roman"/>
                <w:b/>
                <w:bCs/>
                <w:color w:val="auto"/>
                <w:sz w:val="24"/>
                <w:szCs w:val="22"/>
                <w:highlight w:val="none"/>
                <w:lang w:val="en-US" w:eastAsia="zh-CN"/>
              </w:rPr>
              <w:t>表1-</w:t>
            </w:r>
            <w:r>
              <w:rPr>
                <w:rFonts w:hint="eastAsia" w:ascii="Times New Roman" w:hAnsi="Times New Roman" w:eastAsia="宋体" w:cs="Times New Roman"/>
                <w:b/>
                <w:bCs/>
                <w:color w:val="auto"/>
                <w:sz w:val="24"/>
                <w:szCs w:val="22"/>
                <w:highlight w:val="none"/>
                <w:lang w:val="en-US" w:eastAsia="zh-CN"/>
              </w:rPr>
              <w:t>3</w:t>
            </w:r>
            <w:r>
              <w:rPr>
                <w:rFonts w:hint="default" w:ascii="Times New Roman" w:hAnsi="Times New Roman" w:eastAsia="宋体" w:cs="Times New Roman"/>
                <w:b/>
                <w:bCs/>
                <w:color w:val="auto"/>
                <w:sz w:val="24"/>
                <w:szCs w:val="22"/>
                <w:highlight w:val="none"/>
                <w:lang w:val="en-US" w:eastAsia="zh-CN"/>
              </w:rPr>
              <w:t>与产业结构调整指导目录符合性分析</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6"/>
              <w:gridCol w:w="2620"/>
              <w:gridCol w:w="981"/>
            </w:tblGrid>
            <w:tr w14:paraId="16C5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2073D3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《产业结构调整指导目录（2024年本）》</w:t>
                  </w:r>
                </w:p>
              </w:tc>
              <w:tc>
                <w:tcPr>
                  <w:tcW w:w="2016" w:type="pct"/>
                  <w:tcBorders>
                    <w:tl2br w:val="nil"/>
                    <w:tr2bl w:val="nil"/>
                  </w:tcBorders>
                  <w:noWrap w:val="0"/>
                  <w:vAlign w:val="center"/>
                </w:tcPr>
                <w:p w14:paraId="2EE1A5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本项目情况</w:t>
                  </w:r>
                </w:p>
              </w:tc>
              <w:tc>
                <w:tcPr>
                  <w:tcW w:w="753" w:type="pct"/>
                  <w:tcBorders>
                    <w:tl2br w:val="nil"/>
                    <w:tr2bl w:val="nil"/>
                  </w:tcBorders>
                  <w:noWrap w:val="0"/>
                  <w:vAlign w:val="center"/>
                </w:tcPr>
                <w:p w14:paraId="14E4B2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相符性</w:t>
                  </w:r>
                </w:p>
              </w:tc>
            </w:tr>
            <w:tr w14:paraId="3078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3"/>
                  <w:tcBorders>
                    <w:tl2br w:val="nil"/>
                    <w:tr2bl w:val="nil"/>
                  </w:tcBorders>
                  <w:noWrap w:val="0"/>
                  <w:vAlign w:val="center"/>
                </w:tcPr>
                <w:p w14:paraId="78FA51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第一类限制类</w:t>
                  </w:r>
                </w:p>
              </w:tc>
            </w:tr>
            <w:tr w14:paraId="47F3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3056EA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每小时35蒸吨及以下固定炉排式生物质锅炉</w:t>
                  </w:r>
                </w:p>
              </w:tc>
              <w:tc>
                <w:tcPr>
                  <w:tcW w:w="2016" w:type="pct"/>
                  <w:tcBorders>
                    <w:tl2br w:val="nil"/>
                    <w:tr2bl w:val="nil"/>
                  </w:tcBorders>
                  <w:noWrap w:val="0"/>
                  <w:vAlign w:val="center"/>
                </w:tcPr>
                <w:p w14:paraId="5163E1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本项目</w:t>
                  </w: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w:t>
                  </w:r>
                  <w:r>
                    <w:rPr>
                      <w:rFonts w:hint="eastAsia"/>
                      <w:color w:val="auto"/>
                      <w:highlight w:val="none"/>
                      <w:lang w:val="en-US" w:eastAsia="zh-CN"/>
                    </w:rPr>
                    <w:t>。</w:t>
                  </w:r>
                </w:p>
              </w:tc>
              <w:tc>
                <w:tcPr>
                  <w:tcW w:w="753" w:type="pct"/>
                  <w:tcBorders>
                    <w:tl2br w:val="nil"/>
                    <w:tr2bl w:val="nil"/>
                  </w:tcBorders>
                  <w:noWrap w:val="0"/>
                  <w:vAlign w:val="center"/>
                </w:tcPr>
                <w:p w14:paraId="642335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7A46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7BC52B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县级及以上城市建成区每小时35蒸吨以下的燃煤锅炉，其他区域每小时10蒸吨以下的燃煤锅炉</w:t>
                  </w:r>
                </w:p>
              </w:tc>
              <w:tc>
                <w:tcPr>
                  <w:tcW w:w="2016" w:type="pct"/>
                  <w:tcBorders>
                    <w:tl2br w:val="nil"/>
                    <w:tr2bl w:val="nil"/>
                  </w:tcBorders>
                  <w:noWrap w:val="0"/>
                  <w:vAlign w:val="center"/>
                </w:tcPr>
                <w:p w14:paraId="051A95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本项目拟建</w:t>
                  </w:r>
                  <w:r>
                    <w:rPr>
                      <w:rFonts w:hint="eastAsia"/>
                      <w:color w:val="auto"/>
                      <w:highlight w:val="none"/>
                      <w:lang w:val="en-US" w:eastAsia="zh-CN"/>
                    </w:rPr>
                    <w:t>1</w:t>
                  </w:r>
                  <w:r>
                    <w:rPr>
                      <w:rFonts w:hint="default"/>
                      <w:color w:val="auto"/>
                      <w:highlight w:val="none"/>
                      <w:lang w:val="en-US" w:eastAsia="zh-CN"/>
                    </w:rPr>
                    <w:t>台40t/h燃煤蒸汽锅炉，</w:t>
                  </w:r>
                  <w:bookmarkStart w:id="4" w:name="_GoBack"/>
                  <w:r>
                    <w:rPr>
                      <w:rFonts w:hint="default"/>
                      <w:color w:val="auto"/>
                      <w:highlight w:val="none"/>
                      <w:lang w:val="en-US" w:eastAsia="zh-CN"/>
                    </w:rPr>
                    <w:t>位于</w:t>
                  </w:r>
                  <w:bookmarkEnd w:id="4"/>
                  <w:r>
                    <w:rPr>
                      <w:rFonts w:hint="default"/>
                      <w:color w:val="auto"/>
                      <w:highlight w:val="none"/>
                      <w:lang w:val="en-US" w:eastAsia="zh-CN"/>
                    </w:rPr>
                    <w:t>凯达选煤厂内，不属于县级及以上城市建成区</w:t>
                  </w:r>
                </w:p>
              </w:tc>
              <w:tc>
                <w:tcPr>
                  <w:tcW w:w="753" w:type="pct"/>
                  <w:tcBorders>
                    <w:tl2br w:val="nil"/>
                    <w:tr2bl w:val="nil"/>
                  </w:tcBorders>
                  <w:noWrap w:val="0"/>
                  <w:vAlign w:val="center"/>
                </w:tcPr>
                <w:p w14:paraId="0DBB46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0148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3"/>
                  <w:tcBorders>
                    <w:tl2br w:val="nil"/>
                    <w:tr2bl w:val="nil"/>
                  </w:tcBorders>
                  <w:noWrap w:val="0"/>
                  <w:vAlign w:val="center"/>
                </w:tcPr>
                <w:p w14:paraId="2B7A0B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第二类淘汰类</w:t>
                  </w:r>
                </w:p>
              </w:tc>
            </w:tr>
            <w:tr w14:paraId="1D88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246A1C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r>
                    <w:rPr>
                      <w:rFonts w:hint="default"/>
                      <w:color w:val="auto"/>
                      <w:highlight w:val="none"/>
                      <w:lang w:val="en-US" w:eastAsia="zh-CN"/>
                    </w:rPr>
                    <w:t>固定炉排燃煤锅炉</w:t>
                  </w:r>
                </w:p>
              </w:tc>
              <w:tc>
                <w:tcPr>
                  <w:tcW w:w="2016" w:type="pct"/>
                  <w:tcBorders>
                    <w:tl2br w:val="nil"/>
                    <w:tr2bl w:val="nil"/>
                  </w:tcBorders>
                  <w:noWrap w:val="0"/>
                  <w:vAlign w:val="center"/>
                </w:tcPr>
                <w:p w14:paraId="49D1D5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台40t/h燃煤蒸汽锅炉，为链条炉排炉</w:t>
                  </w:r>
                </w:p>
              </w:tc>
              <w:tc>
                <w:tcPr>
                  <w:tcW w:w="753" w:type="pct"/>
                  <w:tcBorders>
                    <w:tl2br w:val="nil"/>
                    <w:tr2bl w:val="nil"/>
                  </w:tcBorders>
                  <w:noWrap w:val="0"/>
                  <w:vAlign w:val="center"/>
                </w:tcPr>
                <w:p w14:paraId="62DB74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34A3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2A73E9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每小时10蒸吨及以下燃煤锅炉</w:t>
                  </w:r>
                </w:p>
              </w:tc>
              <w:tc>
                <w:tcPr>
                  <w:tcW w:w="2016" w:type="pct"/>
                  <w:tcBorders>
                    <w:tl2br w:val="nil"/>
                    <w:tr2bl w:val="nil"/>
                  </w:tcBorders>
                  <w:noWrap w:val="0"/>
                  <w:vAlign w:val="center"/>
                </w:tcPr>
                <w:p w14:paraId="1872FD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w:t>
                  </w:r>
                </w:p>
              </w:tc>
              <w:tc>
                <w:tcPr>
                  <w:tcW w:w="753" w:type="pct"/>
                  <w:tcBorders>
                    <w:tl2br w:val="nil"/>
                    <w:tr2bl w:val="nil"/>
                  </w:tcBorders>
                  <w:noWrap w:val="0"/>
                  <w:vAlign w:val="center"/>
                </w:tcPr>
                <w:p w14:paraId="028BC4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7B23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3CEEA8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每小时2蒸吨及以下生物质锅炉</w:t>
                  </w:r>
                </w:p>
              </w:tc>
              <w:tc>
                <w:tcPr>
                  <w:tcW w:w="2016" w:type="pct"/>
                  <w:tcBorders>
                    <w:tl2br w:val="nil"/>
                    <w:tr2bl w:val="nil"/>
                  </w:tcBorders>
                  <w:noWrap w:val="0"/>
                  <w:vAlign w:val="center"/>
                </w:tcPr>
                <w:p w14:paraId="5FBC57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拟建</w:t>
                  </w:r>
                  <w:r>
                    <w:rPr>
                      <w:rFonts w:hint="eastAsia"/>
                      <w:color w:val="auto"/>
                      <w:highlight w:val="none"/>
                      <w:lang w:val="en-US" w:eastAsia="zh-CN"/>
                    </w:rPr>
                    <w:t>1</w:t>
                  </w:r>
                  <w:r>
                    <w:rPr>
                      <w:rFonts w:hint="default"/>
                      <w:color w:val="auto"/>
                      <w:highlight w:val="none"/>
                      <w:lang w:val="en-US" w:eastAsia="zh-CN"/>
                    </w:rPr>
                    <w:t>台40t/h燃煤蒸汽锅炉</w:t>
                  </w:r>
                </w:p>
              </w:tc>
              <w:tc>
                <w:tcPr>
                  <w:tcW w:w="753" w:type="pct"/>
                  <w:tcBorders>
                    <w:tl2br w:val="nil"/>
                    <w:tr2bl w:val="nil"/>
                  </w:tcBorders>
                  <w:noWrap w:val="0"/>
                  <w:vAlign w:val="center"/>
                </w:tcPr>
                <w:p w14:paraId="5AE1E4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r w14:paraId="0F35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29" w:type="pct"/>
                  <w:tcBorders>
                    <w:tl2br w:val="nil"/>
                    <w:tr2bl w:val="nil"/>
                  </w:tcBorders>
                  <w:noWrap w:val="0"/>
                  <w:vAlign w:val="center"/>
                </w:tcPr>
                <w:p w14:paraId="0D4A31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w:t>
                  </w:r>
                  <w:r>
                    <w:rPr>
                      <w:rFonts w:hint="default"/>
                      <w:color w:val="auto"/>
                      <w:highlight w:val="none"/>
                      <w:lang w:val="en-US" w:eastAsia="zh-CN"/>
                    </w:rPr>
                    <w:t>每小时35蒸吨及以下的燃煤锅炉（大气污染防治重点区域）</w:t>
                  </w:r>
                </w:p>
              </w:tc>
              <w:tc>
                <w:tcPr>
                  <w:tcW w:w="2016" w:type="pct"/>
                  <w:tcBorders>
                    <w:tl2br w:val="nil"/>
                    <w:tr2bl w:val="nil"/>
                  </w:tcBorders>
                  <w:noWrap w:val="0"/>
                  <w:vAlign w:val="center"/>
                </w:tcPr>
                <w:p w14:paraId="6AAF21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本项目拟建</w:t>
                  </w:r>
                  <w:r>
                    <w:rPr>
                      <w:rFonts w:hint="eastAsia"/>
                      <w:color w:val="auto"/>
                      <w:highlight w:val="none"/>
                      <w:lang w:val="en-US" w:eastAsia="zh-CN"/>
                    </w:rPr>
                    <w:t>1</w:t>
                  </w:r>
                  <w:r>
                    <w:rPr>
                      <w:rFonts w:hint="default"/>
                      <w:color w:val="auto"/>
                      <w:highlight w:val="none"/>
                      <w:lang w:val="en-US" w:eastAsia="zh-CN"/>
                    </w:rPr>
                    <w:t>台40t/h燃煤蒸汽锅炉，位于准格尔旗，属于大气污染防治重点区域</w:t>
                  </w:r>
                </w:p>
              </w:tc>
              <w:tc>
                <w:tcPr>
                  <w:tcW w:w="753" w:type="pct"/>
                  <w:tcBorders>
                    <w:tl2br w:val="nil"/>
                    <w:tr2bl w:val="nil"/>
                  </w:tcBorders>
                  <w:noWrap w:val="0"/>
                  <w:vAlign w:val="center"/>
                </w:tcPr>
                <w:p w14:paraId="6CC71F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color w:val="auto"/>
                      <w:highlight w:val="none"/>
                      <w:lang w:val="en-US" w:eastAsia="zh-CN"/>
                    </w:rPr>
                    <w:t>不属于</w:t>
                  </w:r>
                </w:p>
              </w:tc>
            </w:tr>
          </w:tbl>
          <w:p w14:paraId="7EAEDDA0">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二、与鄂尔多斯市生态环境分区管控符合性分析</w:t>
            </w:r>
          </w:p>
          <w:p w14:paraId="4431E5CB">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2024年8月6日《鄂尔多斯市生态环境分区管控动态更新成果（2023年版）》，全市共划定环境管控单元171个，包括优先保护单元、重点管控单元、一般管控单元三类，实施分类管控。其中优先保护单元共76个，面积占比为64.35%，主要包括鄂尔多斯市生态保护红线、自然保护地、集中式饮用水水源保护区等生态功能重要区和生态环境敏感区，该区域以生态环境保护优先为原则，依法禁止或限制大规模、高强度的工业开发和城镇建设，确保生态环境功能不降低；重点管控单元共86个，面积占比为28.10%，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一般管控单元共9个，面积占比为7.56%，优先保护单元、重点管控单元之外为一般管控单元，该区域主要落实生态环境保护基本要求。</w:t>
            </w:r>
          </w:p>
          <w:p w14:paraId="6E6C56E5">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（1）生态保护红线</w:t>
            </w:r>
          </w:p>
          <w:p w14:paraId="485C1B9C">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本项目位于内蒙古自治区鄂尔多斯市准格尔旗纳日松镇，经内蒙古自治区生态环境厅“三线一单”数据应用平台查询，项目所在区域</w:t>
            </w:r>
            <w:r>
              <w:rPr>
                <w:rFonts w:hint="eastAsia" w:cs="Times New Roman"/>
                <w:color w:val="auto"/>
                <w:sz w:val="24"/>
                <w:szCs w:val="24"/>
                <w:highlight w:val="none"/>
                <w:lang w:val="en-US" w:eastAsia="zh-CN"/>
              </w:rPr>
              <w:t>环境管控单元名称：准格尔旗煤矿重点管控单元2，环境管控单元编码：</w:t>
            </w:r>
            <w:r>
              <w:rPr>
                <w:rFonts w:hint="default" w:ascii="Times New Roman" w:hAnsi="Times New Roman" w:cs="Times New Roman"/>
                <w:color w:val="auto"/>
                <w:sz w:val="24"/>
                <w:szCs w:val="24"/>
                <w:highlight w:val="none"/>
                <w:lang w:val="en-US" w:eastAsia="zh-CN"/>
              </w:rPr>
              <w:t>ZH15062</w:t>
            </w:r>
            <w:r>
              <w:rPr>
                <w:rFonts w:hint="eastAsia" w:cs="Times New Roman"/>
                <w:color w:val="auto"/>
                <w:sz w:val="24"/>
                <w:szCs w:val="24"/>
                <w:highlight w:val="none"/>
                <w:lang w:val="en-US" w:eastAsia="zh-CN"/>
              </w:rPr>
              <w:t>220011，管控单元分类为：重点管控单元，</w:t>
            </w:r>
            <w:r>
              <w:rPr>
                <w:rFonts w:hint="default" w:ascii="Times New Roman" w:hAnsi="Times New Roman" w:cs="Times New Roman"/>
                <w:color w:val="auto"/>
                <w:sz w:val="24"/>
                <w:szCs w:val="24"/>
                <w:highlight w:val="none"/>
                <w:lang w:val="en-US" w:eastAsia="zh-CN"/>
              </w:rPr>
              <w:t>不涉及生态保护红线</w:t>
            </w:r>
            <w:r>
              <w:rPr>
                <w:rFonts w:hint="eastAsia" w:cs="Times New Roman"/>
                <w:color w:val="auto"/>
                <w:sz w:val="24"/>
                <w:szCs w:val="24"/>
                <w:highlight w:val="none"/>
                <w:lang w:val="en-US" w:eastAsia="zh-CN"/>
              </w:rPr>
              <w:t>，故本项目的建设符合生态保护红线要求</w:t>
            </w:r>
            <w:r>
              <w:rPr>
                <w:rFonts w:hint="default" w:ascii="Times New Roman" w:hAnsi="Times New Roman" w:cs="Times New Roman"/>
                <w:color w:val="auto"/>
                <w:sz w:val="24"/>
                <w:szCs w:val="24"/>
                <w:highlight w:val="none"/>
                <w:lang w:val="en-US" w:eastAsia="zh-CN"/>
              </w:rPr>
              <w:t>。</w:t>
            </w:r>
          </w:p>
          <w:p w14:paraId="0825B0CA">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w:t>
            </w:r>
            <w:r>
              <w:rPr>
                <w:rFonts w:hint="eastAsia"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sz w:val="24"/>
                <w:szCs w:val="24"/>
                <w:highlight w:val="none"/>
                <w:lang w:val="en-US" w:eastAsia="zh-CN"/>
              </w:rPr>
              <w:t>）环境质量底线</w:t>
            </w:r>
          </w:p>
          <w:p w14:paraId="103FF58D">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根据内蒙古自治区生态环境厅</w:t>
            </w:r>
            <w:r>
              <w:rPr>
                <w:rFonts w:hint="eastAsia" w:ascii="Times New Roman" w:hAnsi="Times New Roman" w:cs="Times New Roman"/>
                <w:color w:val="auto"/>
                <w:sz w:val="24"/>
                <w:szCs w:val="24"/>
                <w:highlight w:val="none"/>
                <w:lang w:val="en-US" w:eastAsia="zh-CN"/>
              </w:rPr>
              <w:t>发布的</w:t>
            </w:r>
            <w:r>
              <w:rPr>
                <w:rFonts w:hint="default" w:ascii="Times New Roman" w:hAnsi="Times New Roman" w:cs="Times New Roman"/>
                <w:color w:val="auto"/>
                <w:sz w:val="24"/>
                <w:szCs w:val="24"/>
                <w:highlight w:val="none"/>
                <w:lang w:val="en-US" w:eastAsia="zh-CN"/>
              </w:rPr>
              <w:t>《202</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年内蒙古自治区生态环境状况公报》，</w:t>
            </w:r>
            <w:r>
              <w:rPr>
                <w:rFonts w:hint="eastAsia" w:ascii="Times New Roman" w:hAnsi="Times New Roman" w:cs="Times New Roman"/>
                <w:color w:val="auto"/>
                <w:sz w:val="24"/>
                <w:szCs w:val="24"/>
                <w:highlight w:val="none"/>
                <w:lang w:val="en-US" w:eastAsia="zh-CN"/>
              </w:rPr>
              <w:t>2025年全区为达标区，项目</w:t>
            </w:r>
            <w:r>
              <w:rPr>
                <w:rFonts w:hint="default" w:ascii="Times New Roman" w:hAnsi="Times New Roman" w:cs="Times New Roman"/>
                <w:color w:val="auto"/>
                <w:sz w:val="24"/>
                <w:szCs w:val="24"/>
                <w:highlight w:val="none"/>
                <w:lang w:val="en-US" w:eastAsia="zh-CN"/>
              </w:rPr>
              <w:t>所在</w:t>
            </w:r>
            <w:r>
              <w:rPr>
                <w:rFonts w:hint="eastAsia" w:ascii="Times New Roman" w:hAnsi="Times New Roman" w:cs="Times New Roman"/>
                <w:color w:val="auto"/>
                <w:sz w:val="24"/>
                <w:szCs w:val="24"/>
                <w:highlight w:val="none"/>
                <w:lang w:val="en-US" w:eastAsia="zh-CN"/>
              </w:rPr>
              <w:t>区域鄂尔多斯市为</w:t>
            </w:r>
            <w:r>
              <w:rPr>
                <w:rFonts w:hint="default" w:ascii="Times New Roman" w:hAnsi="Times New Roman" w:cs="Times New Roman"/>
                <w:color w:val="auto"/>
                <w:sz w:val="24"/>
                <w:szCs w:val="24"/>
                <w:highlight w:val="none"/>
                <w:lang w:val="en-US" w:eastAsia="zh-CN"/>
              </w:rPr>
              <w:t>环境空气质量为达标区</w:t>
            </w:r>
            <w:r>
              <w:rPr>
                <w:rFonts w:hint="eastAsia"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本项目特征污染物为TSP，根据TSP现状监测数据，检测数据满足《环境空气质量标准》（GB3095-20</w:t>
            </w:r>
            <w:r>
              <w:rPr>
                <w:rFonts w:hint="eastAsia" w:cs="Times New Roman"/>
                <w:color w:val="auto"/>
                <w:sz w:val="24"/>
                <w:szCs w:val="24"/>
                <w:highlight w:val="none"/>
                <w:lang w:val="en-US" w:eastAsia="zh-CN"/>
              </w:rPr>
              <w:t>26</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表2环境空气污染物其他项目浓度限值</w:t>
            </w:r>
            <w:r>
              <w:rPr>
                <w:rFonts w:hint="eastAsia" w:ascii="Times New Roman" w:hAnsi="Times New Roman" w:cs="Times New Roman"/>
                <w:color w:val="auto"/>
                <w:sz w:val="24"/>
                <w:szCs w:val="24"/>
                <w:highlight w:val="none"/>
                <w:lang w:val="en-US" w:eastAsia="zh-CN"/>
              </w:rPr>
              <w:t>二级</w:t>
            </w:r>
            <w:r>
              <w:rPr>
                <w:rFonts w:hint="eastAsia" w:cs="Times New Roman"/>
                <w:color w:val="auto"/>
                <w:sz w:val="24"/>
                <w:szCs w:val="24"/>
                <w:highlight w:val="none"/>
                <w:lang w:val="en-US" w:eastAsia="zh-CN"/>
              </w:rPr>
              <w:t>浓度</w:t>
            </w:r>
            <w:r>
              <w:rPr>
                <w:rFonts w:hint="eastAsia" w:ascii="Times New Roman" w:hAnsi="Times New Roman" w:cs="Times New Roman"/>
                <w:color w:val="auto"/>
                <w:sz w:val="24"/>
                <w:szCs w:val="24"/>
                <w:highlight w:val="none"/>
                <w:lang w:val="en-US" w:eastAsia="zh-CN"/>
              </w:rPr>
              <w:t>限值要求，总体环境现状符合环境功能区划要求。</w:t>
            </w:r>
          </w:p>
          <w:p w14:paraId="6DC6382E">
            <w:pPr>
              <w:keepNext w:val="0"/>
              <w:keepLines w:val="0"/>
              <w:pageBreakBefore w:val="0"/>
              <w:widowControl w:val="0"/>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运营后会产生一定的污染物，如废气、废水、噪声、固废等。项目建成后，经影响分析各污染物能够达标排放，对环境质量影响处于可接受水平，在采取相应的污染防治措施后，各类污染物的排放对周边环境影响较小，不会改变区域环境功能区质量要求，符合环境质量底线要求。</w:t>
            </w:r>
          </w:p>
          <w:p w14:paraId="299631FF">
            <w:pPr>
              <w:keepNext w:val="0"/>
              <w:keepLines w:val="0"/>
              <w:pageBreakBefore w:val="0"/>
              <w:widowControl w:val="0"/>
              <w:kinsoku/>
              <w:wordWrap/>
              <w:overflowPunct/>
              <w:topLinePunct w:val="0"/>
              <w:bidi w:val="0"/>
              <w:spacing w:line="360" w:lineRule="auto"/>
              <w:ind w:left="0" w:leftChars="0" w:firstLine="482" w:firstLineChars="200"/>
              <w:jc w:val="both"/>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）资源利用上线</w:t>
            </w:r>
          </w:p>
          <w:p w14:paraId="73B2B810">
            <w:pPr>
              <w:ind w:firstLine="480"/>
              <w:rPr>
                <w:color w:val="auto"/>
                <w:highlight w:val="none"/>
              </w:rPr>
            </w:pPr>
            <w:r>
              <w:rPr>
                <w:color w:val="auto"/>
                <w:highlight w:val="none"/>
              </w:rPr>
              <w:t>到2025年，全市国土空间开发强度、能源消费总量得到合理控制。到2030年，全市用水总量控制在19.94亿立方米以内。到2035年，全市生态环境质量实现根本好转，水、大气、土壤环境质量全面改善，节约资源和保护生态环境的空间格局、产业结构、生产方式、生活方式总体形成，我国北方重要生态安全屏障更加牢固，美丽鄂尔多斯目标基本实现。</w:t>
            </w:r>
          </w:p>
          <w:p w14:paraId="705C177E">
            <w:pPr>
              <w:ind w:firstLine="480"/>
              <w:rPr>
                <w:color w:val="auto"/>
                <w:highlight w:val="none"/>
              </w:rPr>
            </w:pPr>
            <w:r>
              <w:rPr>
                <w:rFonts w:hint="default" w:ascii="Times New Roman" w:hAnsi="Times New Roman" w:cs="Times New Roman"/>
                <w:color w:val="auto"/>
                <w:sz w:val="24"/>
                <w:szCs w:val="24"/>
                <w:highlight w:val="none"/>
                <w:lang w:val="en-US" w:eastAsia="zh-CN"/>
              </w:rPr>
              <w:t>本项目为燃煤蒸汽锅炉</w:t>
            </w:r>
            <w:r>
              <w:rPr>
                <w:rFonts w:hint="eastAsia" w:cs="Times New Roman"/>
                <w:color w:val="auto"/>
                <w:sz w:val="24"/>
                <w:szCs w:val="24"/>
                <w:highlight w:val="none"/>
                <w:lang w:val="en-US" w:eastAsia="zh-CN"/>
              </w:rPr>
              <w:t>建设项目</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建成后会</w:t>
            </w:r>
            <w:r>
              <w:rPr>
                <w:color w:val="auto"/>
                <w:highlight w:val="none"/>
              </w:rPr>
              <w:t>消耗一定量电、</w:t>
            </w:r>
            <w:r>
              <w:rPr>
                <w:rFonts w:hint="eastAsia"/>
                <w:color w:val="auto"/>
                <w:highlight w:val="none"/>
                <w:lang w:val="en-US" w:eastAsia="zh-CN"/>
              </w:rPr>
              <w:t>水资源、煤</w:t>
            </w:r>
            <w:r>
              <w:rPr>
                <w:color w:val="auto"/>
                <w:highlight w:val="none"/>
              </w:rPr>
              <w:t>等</w:t>
            </w:r>
            <w:r>
              <w:rPr>
                <w:rFonts w:hint="eastAsia"/>
                <w:color w:val="auto"/>
                <w:highlight w:val="none"/>
                <w:lang w:eastAsia="zh-CN"/>
              </w:rPr>
              <w:t>，</w:t>
            </w:r>
            <w:r>
              <w:rPr>
                <w:rFonts w:hint="eastAsia" w:cs="Times New Roman"/>
                <w:color w:val="auto"/>
                <w:sz w:val="24"/>
                <w:szCs w:val="24"/>
                <w:highlight w:val="none"/>
                <w:lang w:val="en-US" w:eastAsia="zh-CN"/>
              </w:rPr>
              <w:t>使用的燃料为凯达煤矿选煤厂的末煤，锅炉房为利用现有锅炉房，无新增占地，</w:t>
            </w:r>
            <w:r>
              <w:rPr>
                <w:color w:val="auto"/>
                <w:highlight w:val="none"/>
              </w:rPr>
              <w:t>消耗量相对区域资源总量较少，本项目资源利用不会超出当地资源利用上线，满足相关要求。</w:t>
            </w:r>
          </w:p>
          <w:p w14:paraId="1210B849">
            <w:pPr>
              <w:bidi w:val="0"/>
              <w:rPr>
                <w:rFonts w:hint="default"/>
                <w:b/>
                <w:bCs/>
                <w:color w:val="auto"/>
                <w:highlight w:val="none"/>
                <w:lang w:val="en-US" w:eastAsia="zh-CN"/>
              </w:rPr>
            </w:pPr>
            <w:r>
              <w:rPr>
                <w:rFonts w:hint="default"/>
                <w:b/>
                <w:bCs/>
                <w:color w:val="auto"/>
                <w:highlight w:val="none"/>
                <w:lang w:val="en-US" w:eastAsia="zh-CN"/>
              </w:rPr>
              <w:t>（4）生态环境准入清单</w:t>
            </w:r>
          </w:p>
          <w:p w14:paraId="0AE47E12">
            <w:pPr>
              <w:bidi w:val="0"/>
              <w:rPr>
                <w:rFonts w:hint="eastAsia"/>
                <w:color w:val="auto"/>
                <w:highlight w:val="none"/>
                <w:lang w:val="en-US" w:eastAsia="zh-CN"/>
              </w:rPr>
            </w:pPr>
            <w:r>
              <w:rPr>
                <w:rFonts w:hint="eastAsia"/>
                <w:color w:val="auto"/>
                <w:highlight w:val="none"/>
                <w:lang w:val="en-US" w:eastAsia="zh-CN"/>
              </w:rPr>
              <w:t>本项目位于内蒙古自治区鄂尔多斯市准格尔旗纳日松镇，内蒙古伊泰煤炭股份有限公司凯达选煤厂内建设，根据鄂尔多斯市生态环境局提供的“生态环境分区管控核查报告”和《鄂尔多斯市生态环境准入清单》，本项目属于“鄂尔多斯市准格尔旗生态环境准入清单”的“准格尔旗煤矿重点管控单元2”，</w:t>
            </w:r>
            <w:r>
              <w:rPr>
                <w:rFonts w:hint="eastAsia" w:cs="Times New Roman"/>
                <w:color w:val="auto"/>
                <w:sz w:val="24"/>
                <w:szCs w:val="24"/>
                <w:highlight w:val="none"/>
                <w:lang w:val="en-US" w:eastAsia="zh-CN"/>
              </w:rPr>
              <w:t>环境管控单元编码：</w:t>
            </w:r>
            <w:r>
              <w:rPr>
                <w:rFonts w:hint="default" w:ascii="Times New Roman" w:hAnsi="Times New Roman" w:cs="Times New Roman"/>
                <w:color w:val="auto"/>
                <w:sz w:val="24"/>
                <w:szCs w:val="24"/>
                <w:highlight w:val="none"/>
                <w:lang w:val="en-US" w:eastAsia="zh-CN"/>
              </w:rPr>
              <w:t>ZH15062</w:t>
            </w:r>
            <w:r>
              <w:rPr>
                <w:rFonts w:hint="eastAsia" w:cs="Times New Roman"/>
                <w:color w:val="auto"/>
                <w:sz w:val="24"/>
                <w:szCs w:val="24"/>
                <w:highlight w:val="none"/>
                <w:lang w:val="en-US" w:eastAsia="zh-CN"/>
              </w:rPr>
              <w:t>220011，属于重点管控单元，</w:t>
            </w:r>
            <w:r>
              <w:rPr>
                <w:rFonts w:hint="eastAsia"/>
                <w:color w:val="auto"/>
                <w:highlight w:val="none"/>
                <w:lang w:val="en-US" w:eastAsia="zh-CN"/>
              </w:rPr>
              <w:t>单元管控要求见下表。</w:t>
            </w:r>
          </w:p>
          <w:p w14:paraId="03F69BD2">
            <w:pPr>
              <w:bidi w:val="0"/>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表1-</w:t>
            </w:r>
            <w:r>
              <w:rPr>
                <w:rFonts w:hint="eastAsia" w:eastAsia="宋体" w:cs="Times New Roman"/>
                <w:b/>
                <w:bCs/>
                <w:color w:val="auto"/>
                <w:szCs w:val="24"/>
                <w:highlight w:val="none"/>
                <w:lang w:val="en-US" w:eastAsia="zh-CN"/>
              </w:rPr>
              <w:t>4</w:t>
            </w:r>
            <w:r>
              <w:rPr>
                <w:rFonts w:hint="default" w:ascii="Times New Roman" w:hAnsi="Times New Roman" w:eastAsia="宋体" w:cs="Times New Roman"/>
                <w:b/>
                <w:bCs/>
                <w:color w:val="auto"/>
                <w:szCs w:val="24"/>
                <w:highlight w:val="none"/>
              </w:rPr>
              <w:t>本项目与生态环境准入清单符合性分析一览表</w:t>
            </w:r>
          </w:p>
          <w:tbl>
            <w:tblPr>
              <w:tblStyle w:val="25"/>
              <w:tblW w:w="6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1400"/>
              <w:gridCol w:w="1573"/>
              <w:gridCol w:w="2649"/>
            </w:tblGrid>
            <w:tr w14:paraId="29C2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gridSpan w:val="2"/>
                  <w:noWrap w:val="0"/>
                  <w:vAlign w:val="center"/>
                </w:tcPr>
                <w:p w14:paraId="5624EE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环境管控单元编码</w:t>
                  </w:r>
                </w:p>
              </w:tc>
              <w:tc>
                <w:tcPr>
                  <w:tcW w:w="4222" w:type="dxa"/>
                  <w:gridSpan w:val="2"/>
                  <w:noWrap w:val="0"/>
                  <w:vAlign w:val="center"/>
                </w:tcPr>
                <w:p w14:paraId="1E4E94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eastAsia="zh-CN"/>
                    </w:rPr>
                  </w:pPr>
                  <w:r>
                    <w:rPr>
                      <w:rFonts w:hint="default"/>
                      <w:color w:val="auto"/>
                      <w:highlight w:val="none"/>
                      <w:lang w:val="en-US" w:eastAsia="zh-CN"/>
                    </w:rPr>
                    <w:t>ZH15062</w:t>
                  </w:r>
                  <w:r>
                    <w:rPr>
                      <w:rFonts w:hint="eastAsia"/>
                      <w:color w:val="auto"/>
                      <w:highlight w:val="none"/>
                      <w:lang w:val="en-US" w:eastAsia="zh-CN"/>
                    </w:rPr>
                    <w:t>220011</w:t>
                  </w:r>
                </w:p>
              </w:tc>
            </w:tr>
            <w:tr w14:paraId="74B0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gridSpan w:val="2"/>
                  <w:noWrap w:val="0"/>
                  <w:vAlign w:val="center"/>
                </w:tcPr>
                <w:p w14:paraId="66B1B1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环境管控单元名称</w:t>
                  </w:r>
                </w:p>
              </w:tc>
              <w:tc>
                <w:tcPr>
                  <w:tcW w:w="4222" w:type="dxa"/>
                  <w:gridSpan w:val="2"/>
                  <w:noWrap w:val="0"/>
                  <w:vAlign w:val="center"/>
                </w:tcPr>
                <w:p w14:paraId="7FD450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lang w:val="en-US" w:eastAsia="zh-CN"/>
                    </w:rPr>
                    <w:t>准格尔旗煤矿重点管控单元2</w:t>
                  </w:r>
                </w:p>
              </w:tc>
            </w:tr>
            <w:tr w14:paraId="4A69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gridSpan w:val="2"/>
                  <w:noWrap w:val="0"/>
                  <w:vAlign w:val="center"/>
                </w:tcPr>
                <w:p w14:paraId="63C79D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环境管控单元类别</w:t>
                  </w:r>
                </w:p>
              </w:tc>
              <w:tc>
                <w:tcPr>
                  <w:tcW w:w="4222" w:type="dxa"/>
                  <w:gridSpan w:val="2"/>
                  <w:noWrap w:val="0"/>
                  <w:vAlign w:val="center"/>
                </w:tcPr>
                <w:p w14:paraId="7C1A36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重点管控单元</w:t>
                  </w:r>
                </w:p>
              </w:tc>
            </w:tr>
            <w:tr w14:paraId="4CAF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2" w:type="dxa"/>
                  <w:gridSpan w:val="3"/>
                  <w:noWrap w:val="0"/>
                  <w:vAlign w:val="center"/>
                </w:tcPr>
                <w:p w14:paraId="4F0AD6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管控要求</w:t>
                  </w:r>
                </w:p>
              </w:tc>
              <w:tc>
                <w:tcPr>
                  <w:tcW w:w="2649" w:type="dxa"/>
                  <w:noWrap w:val="0"/>
                  <w:vAlign w:val="center"/>
                </w:tcPr>
                <w:p w14:paraId="3CEB34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项目情况</w:t>
                  </w:r>
                </w:p>
              </w:tc>
            </w:tr>
            <w:tr w14:paraId="5274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19" w:type="dxa"/>
                  <w:noWrap w:val="0"/>
                  <w:vAlign w:val="center"/>
                </w:tcPr>
                <w:p w14:paraId="0F944A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空间布局约束</w:t>
                  </w:r>
                </w:p>
              </w:tc>
              <w:tc>
                <w:tcPr>
                  <w:tcW w:w="2973" w:type="dxa"/>
                  <w:gridSpan w:val="2"/>
                  <w:noWrap w:val="0"/>
                  <w:vAlign w:val="center"/>
                </w:tcPr>
                <w:p w14:paraId="583DA4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1.非经国务院授权的有关主管部门同意，不得在《中华人民共和国矿产资源法</w:t>
                  </w:r>
                  <w:r>
                    <w:rPr>
                      <w:rFonts w:hint="eastAsia"/>
                      <w:color w:val="auto"/>
                      <w:highlight w:val="none"/>
                      <w:lang w:eastAsia="zh-CN"/>
                    </w:rPr>
                    <w:t>（</w:t>
                  </w:r>
                  <w:r>
                    <w:rPr>
                      <w:rFonts w:hint="eastAsia"/>
                      <w:color w:val="auto"/>
                      <w:highlight w:val="none"/>
                    </w:rPr>
                    <w:t>修正</w:t>
                  </w:r>
                  <w:r>
                    <w:rPr>
                      <w:rFonts w:hint="eastAsia"/>
                      <w:color w:val="auto"/>
                      <w:highlight w:val="none"/>
                      <w:lang w:eastAsia="zh-CN"/>
                    </w:rPr>
                    <w:t>）</w:t>
                  </w:r>
                  <w:r>
                    <w:rPr>
                      <w:rFonts w:hint="eastAsia"/>
                      <w:color w:val="auto"/>
                      <w:highlight w:val="none"/>
                    </w:rPr>
                    <w:t>》中所列的6种地区开采矿产资源</w:t>
                  </w:r>
                  <w:r>
                    <w:rPr>
                      <w:rFonts w:hint="eastAsia"/>
                      <w:color w:val="auto"/>
                      <w:highlight w:val="none"/>
                      <w:lang w:eastAsia="zh-CN"/>
                    </w:rPr>
                    <w:t>。</w:t>
                  </w:r>
                </w:p>
                <w:p w14:paraId="55CEC3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2.禁止新建、扩建《产业结构调整指导目录</w:t>
                  </w:r>
                  <w:r>
                    <w:rPr>
                      <w:rFonts w:hint="eastAsia"/>
                      <w:color w:val="auto"/>
                      <w:highlight w:val="none"/>
                      <w:lang w:eastAsia="zh-CN"/>
                    </w:rPr>
                    <w:t>（</w:t>
                  </w:r>
                  <w:r>
                    <w:rPr>
                      <w:rFonts w:hint="eastAsia"/>
                      <w:color w:val="auto"/>
                      <w:highlight w:val="none"/>
                    </w:rPr>
                    <w:t>2019年本</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rFonts w:hint="eastAsia"/>
                      <w:color w:val="auto"/>
                      <w:highlight w:val="none"/>
                    </w:rPr>
                    <w:t>2021年修正</w:t>
                  </w:r>
                  <w:r>
                    <w:rPr>
                      <w:rFonts w:hint="eastAsia"/>
                      <w:color w:val="auto"/>
                      <w:highlight w:val="none"/>
                      <w:lang w:eastAsia="zh-CN"/>
                    </w:rPr>
                    <w:t>）</w:t>
                  </w:r>
                  <w:r>
                    <w:rPr>
                      <w:rFonts w:hint="eastAsia"/>
                      <w:color w:val="auto"/>
                      <w:highlight w:val="none"/>
                    </w:rPr>
                    <w:t>明确的淘汰类项目。</w:t>
                  </w:r>
                </w:p>
                <w:p w14:paraId="3101FA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3.符合主体功能定位和产业发展布局的已批准在建运营矿产资源开发项目，生产接续用地需占用草原林地的，应依法依规办理相关手续。</w:t>
                  </w:r>
                </w:p>
                <w:p w14:paraId="74198C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4.在生态保护红线外</w:t>
                  </w:r>
                  <w:r>
                    <w:rPr>
                      <w:rFonts w:hint="eastAsia"/>
                      <w:color w:val="auto"/>
                      <w:highlight w:val="none"/>
                      <w:lang w:eastAsia="zh-CN"/>
                    </w:rPr>
                    <w:t>的基本</w:t>
                  </w:r>
                  <w:r>
                    <w:rPr>
                      <w:rFonts w:hint="eastAsia"/>
                      <w:color w:val="auto"/>
                      <w:highlight w:val="none"/>
                    </w:rPr>
                    <w:t>草原区西部区域严格控制新上矿产资源开发项目，除保障国家能源战略安全的项目外，不得新设</w:t>
                  </w:r>
                  <w:r>
                    <w:rPr>
                      <w:rFonts w:hint="eastAsia"/>
                      <w:color w:val="auto"/>
                      <w:highlight w:val="none"/>
                      <w:lang w:eastAsia="zh-CN"/>
                    </w:rPr>
                    <w:t>（</w:t>
                  </w:r>
                  <w:r>
                    <w:rPr>
                      <w:rFonts w:hint="eastAsia"/>
                      <w:color w:val="auto"/>
                      <w:highlight w:val="none"/>
                    </w:rPr>
                    <w:t>增扩</w:t>
                  </w:r>
                  <w:r>
                    <w:rPr>
                      <w:rFonts w:hint="eastAsia"/>
                      <w:color w:val="auto"/>
                      <w:highlight w:val="none"/>
                      <w:lang w:eastAsia="zh-CN"/>
                    </w:rPr>
                    <w:t>）</w:t>
                  </w:r>
                  <w:r>
                    <w:rPr>
                      <w:rFonts w:hint="eastAsia"/>
                      <w:color w:val="auto"/>
                      <w:highlight w:val="none"/>
                    </w:rPr>
                    <w:t>矿业权。</w:t>
                  </w:r>
                </w:p>
                <w:p w14:paraId="0AEFF6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5.对依法批准的草原上已建和在建矿产资源开发项目，不得在依法确定的矿区范围外平面增扩面积，不得未经批准由井工开采变为露天开采，严格控制排渣场、排土场、煤矸石堆场、场区道路占用草原面积。</w:t>
                  </w:r>
                </w:p>
                <w:p w14:paraId="4BC87E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6.执行《内蒙古自治区矿产资源总体规划</w:t>
                  </w:r>
                  <w:r>
                    <w:rPr>
                      <w:rFonts w:hint="eastAsia"/>
                      <w:color w:val="auto"/>
                      <w:highlight w:val="none"/>
                      <w:lang w:eastAsia="zh-CN"/>
                    </w:rPr>
                    <w:t>（</w:t>
                  </w:r>
                  <w:r>
                    <w:rPr>
                      <w:rFonts w:hint="eastAsia"/>
                      <w:color w:val="auto"/>
                      <w:highlight w:val="none"/>
                    </w:rPr>
                    <w:t>2021-2025年</w:t>
                  </w:r>
                  <w:r>
                    <w:rPr>
                      <w:rFonts w:hint="eastAsia"/>
                      <w:color w:val="auto"/>
                      <w:highlight w:val="none"/>
                      <w:lang w:eastAsia="zh-CN"/>
                    </w:rPr>
                    <w:t>）</w:t>
                  </w:r>
                  <w:r>
                    <w:rPr>
                      <w:rFonts w:hint="eastAsia"/>
                      <w:color w:val="auto"/>
                      <w:highlight w:val="none"/>
                    </w:rPr>
                    <w:t>》中开采规模相关要求,矿山建设规模要与矿床储量规模相适应，防止大矿小开、一矿多开。提高新建矿山最低开采规模，严格新建和改扩建煤矿准入标准，新建井工煤矿原则上产能不低于300万</w:t>
                  </w:r>
                  <w:r>
                    <w:rPr>
                      <w:rFonts w:hint="eastAsia"/>
                      <w:color w:val="auto"/>
                      <w:highlight w:val="none"/>
                      <w:lang w:eastAsia="zh-CN"/>
                    </w:rPr>
                    <w:t>t/a</w:t>
                  </w:r>
                  <w:r>
                    <w:rPr>
                      <w:rFonts w:hint="eastAsia"/>
                      <w:color w:val="auto"/>
                      <w:highlight w:val="none"/>
                    </w:rPr>
                    <w:t>，改扩建煤矿改扩建后产能不低于120万</w:t>
                  </w:r>
                  <w:r>
                    <w:rPr>
                      <w:rFonts w:hint="eastAsia"/>
                      <w:color w:val="auto"/>
                      <w:highlight w:val="none"/>
                      <w:lang w:eastAsia="zh-CN"/>
                    </w:rPr>
                    <w:t>t/a</w:t>
                  </w:r>
                  <w:r>
                    <w:rPr>
                      <w:rFonts w:hint="eastAsia"/>
                      <w:color w:val="auto"/>
                      <w:highlight w:val="none"/>
                    </w:rPr>
                    <w:t>。禁止开采砷和放射性等有毒有害物质超过规定标准的煤炭项目。</w:t>
                  </w:r>
                </w:p>
              </w:tc>
              <w:tc>
                <w:tcPr>
                  <w:tcW w:w="2649" w:type="dxa"/>
                  <w:noWrap w:val="0"/>
                  <w:vAlign w:val="center"/>
                </w:tcPr>
                <w:p w14:paraId="526AF8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1.本项目为燃煤蒸汽锅新建项目，不属于开采矿产资源项目。</w:t>
                  </w:r>
                </w:p>
                <w:p w14:paraId="6C6DEA8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2.本项目为燃煤蒸汽锅炉建设新建项目，</w:t>
                  </w:r>
                  <w:r>
                    <w:rPr>
                      <w:rFonts w:hint="default"/>
                      <w:color w:val="auto"/>
                      <w:highlight w:val="none"/>
                      <w:lang w:val="en-US" w:eastAsia="zh-CN"/>
                    </w:rPr>
                    <w:t>根据《产业结构调整指导目录（2024年本）》</w:t>
                  </w:r>
                  <w:r>
                    <w:rPr>
                      <w:rFonts w:hint="eastAsia"/>
                      <w:color w:val="auto"/>
                      <w:highlight w:val="none"/>
                      <w:lang w:val="en-US" w:eastAsia="zh-CN"/>
                    </w:rPr>
                    <w:t>，为允许类项目。</w:t>
                  </w:r>
                </w:p>
                <w:p w14:paraId="0DD45F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3.本项目为凯达选煤厂配套的供热工程，符合主体功能定位及产业发展布局，本项目建设地点位于</w:t>
                  </w:r>
                  <w:r>
                    <w:rPr>
                      <w:rFonts w:hint="default"/>
                      <w:color w:val="auto"/>
                      <w:highlight w:val="none"/>
                      <w:lang w:val="en-US" w:eastAsia="zh-CN"/>
                    </w:rPr>
                    <w:t>鄂尔多斯市准格尔旗纳日松镇，内蒙古伊泰煤炭股份有限公司凯达选煤厂内</w:t>
                  </w:r>
                  <w:r>
                    <w:rPr>
                      <w:rFonts w:hint="eastAsia"/>
                      <w:color w:val="auto"/>
                      <w:highlight w:val="none"/>
                      <w:lang w:val="en-US" w:eastAsia="zh-CN"/>
                    </w:rPr>
                    <w:t>，无新增占地，占地范围内无草原林地。</w:t>
                  </w:r>
                </w:p>
                <w:p w14:paraId="69068E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4.根据</w:t>
                  </w:r>
                  <w:r>
                    <w:rPr>
                      <w:rFonts w:hint="default"/>
                      <w:color w:val="auto"/>
                      <w:highlight w:val="none"/>
                      <w:lang w:val="en-US" w:eastAsia="zh-CN"/>
                    </w:rPr>
                    <w:t>“三线一单”</w:t>
                  </w:r>
                  <w:r>
                    <w:rPr>
                      <w:rFonts w:hint="eastAsia"/>
                      <w:color w:val="auto"/>
                      <w:highlight w:val="none"/>
                      <w:lang w:val="en-US" w:eastAsia="zh-CN"/>
                    </w:rPr>
                    <w:t>分析，本项目不涉及生态保护红线，占地范围内无草原林地，不属于矿产资源开发项目。</w:t>
                  </w:r>
                </w:p>
                <w:p w14:paraId="5DC50B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5.本项目不涉及矿产资源开发。</w:t>
                  </w:r>
                </w:p>
                <w:p w14:paraId="15EB01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6.本项目为燃煤蒸汽锅炉建设项目，不涉及煤炭开采。</w:t>
                  </w:r>
                </w:p>
              </w:tc>
            </w:tr>
            <w:tr w14:paraId="5766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19" w:type="dxa"/>
                  <w:noWrap w:val="0"/>
                  <w:vAlign w:val="center"/>
                </w:tcPr>
                <w:p w14:paraId="1B99C5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污染物排放管控</w:t>
                  </w:r>
                </w:p>
              </w:tc>
              <w:tc>
                <w:tcPr>
                  <w:tcW w:w="2973" w:type="dxa"/>
                  <w:gridSpan w:val="2"/>
                  <w:noWrap w:val="0"/>
                  <w:vAlign w:val="center"/>
                </w:tcPr>
                <w:p w14:paraId="3CBB93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1.矿产资源勘查以及采选过程中排土场、露天采场、尾矿库、矿区专用道路、矿山工业场地、沉陷区、矸石场、矿山污染场地等的生态环境保护与治理恢复工作须满足《矿山生态环境保护与治理恢复技术规范</w:t>
                  </w:r>
                  <w:r>
                    <w:rPr>
                      <w:rFonts w:hint="eastAsia"/>
                      <w:color w:val="auto"/>
                      <w:highlight w:val="none"/>
                      <w:lang w:eastAsia="zh-CN"/>
                    </w:rPr>
                    <w:t>（</w:t>
                  </w:r>
                  <w:r>
                    <w:rPr>
                      <w:rFonts w:hint="eastAsia"/>
                      <w:color w:val="auto"/>
                      <w:highlight w:val="none"/>
                    </w:rPr>
                    <w:t>试行</w:t>
                  </w:r>
                  <w:r>
                    <w:rPr>
                      <w:rFonts w:hint="eastAsia"/>
                      <w:color w:val="auto"/>
                      <w:highlight w:val="none"/>
                      <w:lang w:eastAsia="zh-CN"/>
                    </w:rPr>
                    <w:t>）</w:t>
                  </w:r>
                  <w:r>
                    <w:rPr>
                      <w:rFonts w:hint="eastAsia"/>
                      <w:color w:val="auto"/>
                      <w:highlight w:val="none"/>
                    </w:rPr>
                    <w:t>》</w:t>
                  </w:r>
                  <w:r>
                    <w:rPr>
                      <w:rFonts w:hint="eastAsia"/>
                      <w:color w:val="auto"/>
                      <w:highlight w:val="none"/>
                      <w:lang w:eastAsia="zh-CN"/>
                    </w:rPr>
                    <w:t>（</w:t>
                  </w:r>
                  <w:r>
                    <w:rPr>
                      <w:rFonts w:hint="eastAsia"/>
                      <w:color w:val="auto"/>
                      <w:highlight w:val="none"/>
                    </w:rPr>
                    <w:t>H651-2013</w:t>
                  </w:r>
                  <w:r>
                    <w:rPr>
                      <w:rFonts w:hint="eastAsia"/>
                      <w:color w:val="auto"/>
                      <w:highlight w:val="none"/>
                      <w:lang w:eastAsia="zh-CN"/>
                    </w:rPr>
                    <w:t>）</w:t>
                  </w:r>
                  <w:r>
                    <w:rPr>
                      <w:rFonts w:hint="eastAsia"/>
                      <w:color w:val="auto"/>
                      <w:highlight w:val="none"/>
                    </w:rPr>
                    <w:t>要求。落实边开采边保护、边</w:t>
                  </w:r>
                  <w:r>
                    <w:rPr>
                      <w:rFonts w:hint="eastAsia"/>
                      <w:color w:val="auto"/>
                      <w:highlight w:val="none"/>
                      <w:lang w:eastAsia="zh-CN"/>
                    </w:rPr>
                    <w:t>复垦</w:t>
                  </w:r>
                  <w:r>
                    <w:rPr>
                      <w:rFonts w:hint="eastAsia"/>
                      <w:color w:val="auto"/>
                      <w:highlight w:val="none"/>
                    </w:rPr>
                    <w:t>的要求，使新建、在建矿山损毁土地得到全面复垦。</w:t>
                  </w:r>
                </w:p>
                <w:p w14:paraId="258669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2.生产矿山年度占用土地面积与年度治理面积基本达到平衡，“三废”排放符合环保指标要求。</w:t>
                  </w:r>
                </w:p>
                <w:p w14:paraId="4D8FE6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3.煤矿地面运煤系统、运输设备、煤炭贮存场所应当全封闭。鼓励有条件的露天矿山采用密闭式皮带运输系统，煤炭企业应当负责矿权范围内和排矸场等着火点灭火工作</w:t>
                  </w:r>
                  <w:r>
                    <w:rPr>
                      <w:rFonts w:hint="eastAsia"/>
                      <w:color w:val="auto"/>
                      <w:highlight w:val="none"/>
                      <w:lang w:eastAsia="zh-CN"/>
                    </w:rPr>
                    <w:t>；</w:t>
                  </w:r>
                  <w:r>
                    <w:rPr>
                      <w:rFonts w:hint="eastAsia"/>
                      <w:color w:val="auto"/>
                      <w:highlight w:val="none"/>
                    </w:rPr>
                    <w:t>提高煤矸石、矿井水的综合利用。</w:t>
                  </w:r>
                </w:p>
              </w:tc>
              <w:tc>
                <w:tcPr>
                  <w:tcW w:w="2649" w:type="dxa"/>
                  <w:noWrap w:val="0"/>
                  <w:vAlign w:val="center"/>
                </w:tcPr>
                <w:p w14:paraId="14619B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1.本项目不涉及土地复垦。</w:t>
                  </w:r>
                </w:p>
                <w:p w14:paraId="1C4D79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2.本项目不涉及矿山治理。</w:t>
                  </w:r>
                </w:p>
                <w:p w14:paraId="754FD4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3.本项目不涉及。</w:t>
                  </w:r>
                </w:p>
              </w:tc>
            </w:tr>
            <w:tr w14:paraId="33BE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19" w:type="dxa"/>
                  <w:noWrap w:val="0"/>
                  <w:vAlign w:val="center"/>
                </w:tcPr>
                <w:p w14:paraId="504B53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环境风险管控</w:t>
                  </w:r>
                </w:p>
              </w:tc>
              <w:tc>
                <w:tcPr>
                  <w:tcW w:w="2973" w:type="dxa"/>
                  <w:gridSpan w:val="2"/>
                  <w:noWrap w:val="0"/>
                  <w:vAlign w:val="center"/>
                </w:tcPr>
                <w:p w14:paraId="42093A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1.制定环境风险应急预案，成立应急组织机构，配备必要的应急设施和应急物资，定期开展环境风险应急演练。</w:t>
                  </w:r>
                </w:p>
                <w:p w14:paraId="5A5D35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2.加强采矿引起的滑坡、</w:t>
                  </w:r>
                  <w:r>
                    <w:rPr>
                      <w:rFonts w:hint="eastAsia"/>
                      <w:color w:val="auto"/>
                      <w:highlight w:val="none"/>
                      <w:lang w:val="en-US" w:eastAsia="zh-CN"/>
                    </w:rPr>
                    <w:t>塌陷</w:t>
                  </w:r>
                  <w:r>
                    <w:rPr>
                      <w:rFonts w:hint="eastAsia"/>
                      <w:color w:val="auto"/>
                      <w:highlight w:val="none"/>
                    </w:rPr>
                    <w:t>等次生地质灾害的防范和治理，及时回填废弃巷道和采空区，要充分利用采矿疏干排出的地下水，</w:t>
                  </w:r>
                  <w:r>
                    <w:rPr>
                      <w:rFonts w:hint="eastAsia"/>
                      <w:color w:val="auto"/>
                      <w:highlight w:val="none"/>
                      <w:lang w:eastAsia="zh-CN"/>
                    </w:rPr>
                    <w:t>最大</w:t>
                  </w:r>
                  <w:r>
                    <w:rPr>
                      <w:rFonts w:hint="eastAsia"/>
                      <w:color w:val="auto"/>
                      <w:highlight w:val="none"/>
                    </w:rPr>
                    <w:t>限度</w:t>
                  </w:r>
                  <w:r>
                    <w:rPr>
                      <w:rFonts w:hint="eastAsia"/>
                      <w:color w:val="auto"/>
                      <w:highlight w:val="none"/>
                      <w:lang w:eastAsia="zh-CN"/>
                    </w:rPr>
                    <w:t>地</w:t>
                  </w:r>
                  <w:r>
                    <w:rPr>
                      <w:rFonts w:hint="eastAsia"/>
                      <w:color w:val="auto"/>
                      <w:highlight w:val="none"/>
                    </w:rPr>
                    <w:t>维持矿区生态平衡。</w:t>
                  </w:r>
                </w:p>
              </w:tc>
              <w:tc>
                <w:tcPr>
                  <w:tcW w:w="2649" w:type="dxa"/>
                  <w:noWrap w:val="0"/>
                  <w:vAlign w:val="center"/>
                </w:tcPr>
                <w:p w14:paraId="343ED6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1.本项目按照相关要求制定环境风险应急预案，并在当地环保部门进行备案。企业定期开展风险应急演练。</w:t>
                  </w:r>
                </w:p>
                <w:p w14:paraId="32348E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2.本项目不涉及。</w:t>
                  </w:r>
                </w:p>
              </w:tc>
            </w:tr>
            <w:tr w14:paraId="315B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noWrap w:val="0"/>
                  <w:vAlign w:val="center"/>
                </w:tcPr>
                <w:p w14:paraId="787D81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资源开发效率</w:t>
                  </w:r>
                </w:p>
              </w:tc>
              <w:tc>
                <w:tcPr>
                  <w:tcW w:w="2973" w:type="dxa"/>
                  <w:gridSpan w:val="2"/>
                  <w:noWrap w:val="0"/>
                  <w:vAlign w:val="center"/>
                </w:tcPr>
                <w:p w14:paraId="37C34D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.严格执行取用水总量控制制度，推进矿井水综合利用，煤炭矿区的补充用水、周边地区生产和生态用水应优先使用矿井水，加强洗煤废水循环利用。</w:t>
                  </w:r>
                </w:p>
                <w:p w14:paraId="6B7C8D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color w:val="auto"/>
                      <w:highlight w:val="none"/>
                      <w:lang w:eastAsia="zh-CN"/>
                    </w:rPr>
                  </w:pPr>
                  <w:r>
                    <w:rPr>
                      <w:rFonts w:hint="eastAsia"/>
                      <w:color w:val="auto"/>
                      <w:highlight w:val="none"/>
                      <w:lang w:val="en-US" w:eastAsia="zh-CN"/>
                    </w:rPr>
                    <w:t>2</w:t>
                  </w:r>
                  <w:r>
                    <w:rPr>
                      <w:rFonts w:hint="eastAsia"/>
                      <w:color w:val="auto"/>
                      <w:highlight w:val="none"/>
                    </w:rPr>
                    <w:t>.限制勘查开发过程中对环境破坏较大的砂金等重砂矿物，原则上不再新设勘查项目确需新立的必须通过环境影响评估，并征得环保部门同意。禁止勘查超贫磁铁矿</w:t>
                  </w:r>
                  <w:r>
                    <w:rPr>
                      <w:rFonts w:hint="eastAsia"/>
                      <w:color w:val="auto"/>
                      <w:highlight w:val="none"/>
                      <w:lang w:eastAsia="zh-CN"/>
                    </w:rPr>
                    <w:t>。</w:t>
                  </w:r>
                </w:p>
              </w:tc>
              <w:tc>
                <w:tcPr>
                  <w:tcW w:w="2649" w:type="dxa"/>
                  <w:noWrap w:val="0"/>
                  <w:vAlign w:val="center"/>
                </w:tcPr>
                <w:p w14:paraId="6D5696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ascii="Times New Roman" w:hAnsi="Times New Roman" w:eastAsia="宋体" w:cs="Times New Roman"/>
                      <w:color w:val="auto"/>
                      <w:highlight w:val="none"/>
                      <w:lang w:val="en-US" w:eastAsia="zh-CN"/>
                    </w:rPr>
                    <w:t>1.本项目用水主要为生产用水，</w:t>
                  </w:r>
                  <w:r>
                    <w:rPr>
                      <w:rFonts w:hint="eastAsia" w:cs="Times New Roman"/>
                      <w:color w:val="auto"/>
                      <w:highlight w:val="none"/>
                      <w:lang w:val="en-US" w:eastAsia="zh-CN"/>
                    </w:rPr>
                    <w:t>锅炉用水，</w:t>
                  </w:r>
                  <w:r>
                    <w:rPr>
                      <w:rFonts w:hint="eastAsia" w:ascii="Times New Roman" w:hAnsi="Times New Roman" w:eastAsia="宋体" w:cs="Times New Roman"/>
                      <w:color w:val="auto"/>
                      <w:highlight w:val="none"/>
                      <w:lang w:val="en-US" w:eastAsia="zh-CN"/>
                    </w:rPr>
                    <w:t>无新增劳动定员，无新增生活用水。生产用水来源</w:t>
                  </w:r>
                  <w:r>
                    <w:rPr>
                      <w:rFonts w:hint="eastAsia"/>
                      <w:color w:val="auto"/>
                      <w:highlight w:val="none"/>
                      <w:lang w:val="en-US" w:eastAsia="zh-CN"/>
                    </w:rPr>
                    <w:t>依托现有供水系统，首先考虑采用凯达煤矿的富余矿井涌水，不足部分由准格尔旗科源水务有限公司提供。科源水务有限公司已准备筹建供水工程向我公司在羊市塔地区选煤厂供水</w:t>
                  </w:r>
                  <w:r>
                    <w:rPr>
                      <w:rFonts w:hint="eastAsia" w:ascii="Times New Roman" w:hAnsi="Times New Roman" w:eastAsia="宋体" w:cs="Times New Roman"/>
                      <w:color w:val="auto"/>
                      <w:highlight w:val="none"/>
                      <w:lang w:val="en-US" w:eastAsia="zh-CN"/>
                    </w:rPr>
                    <w:t>。</w:t>
                  </w:r>
                </w:p>
                <w:p w14:paraId="1A98D2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lang w:val="en-US" w:eastAsia="zh-CN"/>
                    </w:rPr>
                    <w:t>2.本项目不涉及。</w:t>
                  </w:r>
                </w:p>
              </w:tc>
            </w:tr>
          </w:tbl>
          <w:p w14:paraId="11B09A69">
            <w:pPr>
              <w:spacing w:before="120" w:beforeLines="50"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综上所述，本项目符合</w:t>
            </w:r>
            <w:r>
              <w:rPr>
                <w:rFonts w:hint="default" w:ascii="Times New Roman" w:hAnsi="Times New Roman" w:cs="Times New Roman"/>
                <w:bCs/>
                <w:color w:val="auto"/>
                <w:sz w:val="24"/>
                <w:highlight w:val="none"/>
                <w:lang w:val="en-US" w:eastAsia="zh-CN"/>
              </w:rPr>
              <w:t>鄂尔多斯市生态环境分区管控</w:t>
            </w:r>
            <w:r>
              <w:rPr>
                <w:rFonts w:hint="default" w:ascii="Times New Roman" w:hAnsi="Times New Roman" w:cs="Times New Roman"/>
                <w:bCs/>
                <w:color w:val="auto"/>
                <w:sz w:val="24"/>
                <w:highlight w:val="none"/>
              </w:rPr>
              <w:t>要求。</w:t>
            </w:r>
          </w:p>
          <w:p w14:paraId="73315EFE">
            <w:pPr>
              <w:bidi w:val="0"/>
              <w:rPr>
                <w:rFonts w:hint="default"/>
                <w:b/>
                <w:bCs/>
                <w:color w:val="auto"/>
                <w:highlight w:val="none"/>
                <w:lang w:val="en-US" w:eastAsia="zh-CN"/>
              </w:rPr>
            </w:pPr>
            <w:r>
              <w:rPr>
                <w:rFonts w:hint="eastAsia"/>
                <w:b/>
                <w:bCs/>
                <w:color w:val="auto"/>
                <w:highlight w:val="none"/>
                <w:lang w:val="en-US" w:eastAsia="zh-CN"/>
              </w:rPr>
              <w:t>三、</w:t>
            </w:r>
            <w:r>
              <w:rPr>
                <w:rFonts w:hint="default"/>
                <w:b/>
                <w:bCs/>
                <w:color w:val="auto"/>
                <w:highlight w:val="none"/>
                <w:lang w:val="en-US" w:eastAsia="zh-CN"/>
              </w:rPr>
              <w:t>与《国务院关于印发</w:t>
            </w:r>
            <w:r>
              <w:rPr>
                <w:rFonts w:hint="eastAsia"/>
                <w:b/>
                <w:bCs/>
                <w:color w:val="auto"/>
                <w:highlight w:val="none"/>
                <w:lang w:val="en-US" w:eastAsia="zh-CN"/>
              </w:rPr>
              <w:t>〈</w:t>
            </w:r>
            <w:r>
              <w:rPr>
                <w:rFonts w:hint="default"/>
                <w:b/>
                <w:bCs/>
                <w:color w:val="auto"/>
                <w:highlight w:val="none"/>
                <w:lang w:val="en-US" w:eastAsia="zh-CN"/>
              </w:rPr>
              <w:t>空气质量持续改善行动计划的通知&gt;》（国发〔2023〕24号）符合性分析</w:t>
            </w:r>
          </w:p>
          <w:p w14:paraId="7C41D310">
            <w:pPr>
              <w:bidi w:val="0"/>
              <w:rPr>
                <w:rFonts w:hint="default"/>
                <w:color w:val="auto"/>
                <w:highlight w:val="none"/>
                <w:lang w:val="en-US" w:eastAsia="zh-CN"/>
              </w:rPr>
            </w:pPr>
            <w:r>
              <w:rPr>
                <w:rFonts w:hint="default"/>
                <w:color w:val="auto"/>
                <w:highlight w:val="none"/>
                <w:lang w:val="en-US" w:eastAsia="zh-CN"/>
              </w:rPr>
              <w:t>（1）相关文件内容</w:t>
            </w:r>
          </w:p>
          <w:p w14:paraId="53C2D288">
            <w:pPr>
              <w:bidi w:val="0"/>
              <w:rPr>
                <w:rFonts w:hint="default"/>
                <w:color w:val="auto"/>
                <w:highlight w:val="none"/>
                <w:lang w:val="en-US" w:eastAsia="zh-CN"/>
              </w:rPr>
            </w:pPr>
            <w:r>
              <w:rPr>
                <w:rFonts w:hint="default"/>
                <w:color w:val="auto"/>
                <w:highlight w:val="none"/>
                <w:lang w:val="en-US" w:eastAsia="zh-CN"/>
              </w:rPr>
              <w:t>①积极开展燃煤锅炉关停整合。各地要将燃煤供热锅炉替代项目纳入城镇供热规划。县级及以上城市建成区原则上不再新建35蒸</w:t>
            </w:r>
            <w:r>
              <w:rPr>
                <w:rFonts w:hint="eastAsia"/>
                <w:color w:val="auto"/>
                <w:highlight w:val="none"/>
                <w:lang w:val="en-US" w:eastAsia="zh-CN"/>
              </w:rPr>
              <w:t>t/h</w:t>
            </w:r>
            <w:r>
              <w:rPr>
                <w:rFonts w:hint="default"/>
                <w:color w:val="auto"/>
                <w:highlight w:val="none"/>
                <w:lang w:val="en-US" w:eastAsia="zh-CN"/>
              </w:rPr>
              <w:t>及以下燃煤锅炉，重点区域原则上不再新建除集中供暖外的燃煤锅炉。加快热力管网建设，依托电厂、大型工业企业开展远离供热示范，淘汰管网覆盖范围内的燃煤锅炉和散煤。到2025年，PM</w:t>
            </w:r>
            <w:r>
              <w:rPr>
                <w:rFonts w:hint="default"/>
                <w:color w:val="auto"/>
                <w:highlight w:val="none"/>
                <w:vertAlign w:val="subscript"/>
                <w:lang w:val="en-US" w:eastAsia="zh-CN"/>
              </w:rPr>
              <w:t>2.5</w:t>
            </w:r>
            <w:r>
              <w:rPr>
                <w:rFonts w:hint="default"/>
                <w:color w:val="auto"/>
                <w:highlight w:val="none"/>
                <w:lang w:val="en-US" w:eastAsia="zh-CN"/>
              </w:rPr>
              <w:t>未达标城市基本淘汰10蒸</w:t>
            </w:r>
            <w:r>
              <w:rPr>
                <w:rFonts w:hint="eastAsia"/>
                <w:color w:val="auto"/>
                <w:highlight w:val="none"/>
                <w:lang w:val="en-US" w:eastAsia="zh-CN"/>
              </w:rPr>
              <w:t>t/h</w:t>
            </w:r>
            <w:r>
              <w:rPr>
                <w:rFonts w:hint="default"/>
                <w:color w:val="auto"/>
                <w:highlight w:val="none"/>
                <w:lang w:val="en-US" w:eastAsia="zh-CN"/>
              </w:rPr>
              <w:t>及以下燃煤锅炉；重点区域基本淘汰35蒸</w:t>
            </w:r>
            <w:r>
              <w:rPr>
                <w:rFonts w:hint="eastAsia"/>
                <w:color w:val="auto"/>
                <w:highlight w:val="none"/>
                <w:lang w:val="en-US" w:eastAsia="zh-CN"/>
              </w:rPr>
              <w:t>t/h</w:t>
            </w:r>
            <w:r>
              <w:rPr>
                <w:rFonts w:hint="default"/>
                <w:color w:val="auto"/>
                <w:highlight w:val="none"/>
                <w:lang w:val="en-US" w:eastAsia="zh-CN"/>
              </w:rPr>
              <w:t>及以下燃煤锅炉及茶水炉、经营性炉灶、储粮烘干设备、农产品加工等燃煤设施，充分发挥30万千瓦及以上热电联产电厂的供热能力，对其供热半径30公里范围内的燃煤锅炉和落后燃煤小热电机组</w:t>
            </w:r>
            <w:r>
              <w:rPr>
                <w:rFonts w:hint="eastAsia"/>
                <w:color w:val="auto"/>
                <w:highlight w:val="none"/>
                <w:lang w:val="en-US" w:eastAsia="zh-CN"/>
              </w:rPr>
              <w:t>（</w:t>
            </w:r>
            <w:r>
              <w:rPr>
                <w:rFonts w:hint="default"/>
                <w:color w:val="auto"/>
                <w:highlight w:val="none"/>
                <w:lang w:val="en-US" w:eastAsia="zh-CN"/>
              </w:rPr>
              <w:t>含自备电厂</w:t>
            </w:r>
            <w:r>
              <w:rPr>
                <w:rFonts w:hint="eastAsia"/>
                <w:color w:val="auto"/>
                <w:highlight w:val="none"/>
                <w:lang w:val="en-US" w:eastAsia="zh-CN"/>
              </w:rPr>
              <w:t>）</w:t>
            </w:r>
            <w:r>
              <w:rPr>
                <w:rFonts w:hint="default"/>
                <w:color w:val="auto"/>
                <w:highlight w:val="none"/>
                <w:lang w:val="en-US" w:eastAsia="zh-CN"/>
              </w:rPr>
              <w:t>进行关停或整合。</w:t>
            </w:r>
          </w:p>
          <w:p w14:paraId="4E2DDE8D">
            <w:pPr>
              <w:bidi w:val="0"/>
              <w:rPr>
                <w:rFonts w:hint="default"/>
                <w:color w:val="auto"/>
                <w:highlight w:val="none"/>
                <w:lang w:val="en-US" w:eastAsia="zh-CN"/>
              </w:rPr>
            </w:pPr>
            <w:r>
              <w:rPr>
                <w:rFonts w:hint="default"/>
                <w:color w:val="auto"/>
                <w:highlight w:val="none"/>
                <w:lang w:val="en-US" w:eastAsia="zh-CN"/>
              </w:rPr>
              <w:t>②持续推进北方地区清洁取暖。因地制宜成片推进北方地区清洁取暖，确保群众温暖过冬。加大民用、农用散煤替代力度，重点区域平原地区散煤基本清零，逐步推进山区散煤清洁能源替代。纳入中央财政支持北方地区清洁取暖范围的城市，保质保量完成改造任务，其中“煤改气”要落实气源、以供定改。全面提升建筑能效水平，加快既有农房节能改造。各地依法将整体完成清洁取暖改造的地区划定为高污染燃料禁燃区，防止散煤复烧。对暂未实施清洁取暖的地区，强化商品煤质量监管。</w:t>
            </w:r>
          </w:p>
          <w:p w14:paraId="2DBBAF4B">
            <w:pPr>
              <w:bidi w:val="0"/>
              <w:rPr>
                <w:rFonts w:hint="default"/>
                <w:color w:val="auto"/>
                <w:highlight w:val="none"/>
                <w:lang w:val="en-US" w:eastAsia="zh-CN"/>
              </w:rPr>
            </w:pPr>
            <w:r>
              <w:rPr>
                <w:rFonts w:hint="default"/>
                <w:color w:val="auto"/>
                <w:highlight w:val="none"/>
                <w:lang w:val="en-US" w:eastAsia="zh-CN"/>
              </w:rPr>
              <w:t>（2）符合性分析</w:t>
            </w:r>
          </w:p>
          <w:p w14:paraId="235FA63A">
            <w:pPr>
              <w:bidi w:val="0"/>
              <w:rPr>
                <w:rFonts w:hint="default"/>
                <w:color w:val="auto"/>
                <w:highlight w:val="none"/>
                <w:lang w:val="en-US" w:eastAsia="zh-CN"/>
              </w:rPr>
            </w:pPr>
            <w:r>
              <w:rPr>
                <w:rFonts w:hint="default"/>
                <w:color w:val="auto"/>
                <w:highlight w:val="none"/>
                <w:lang w:val="en-US" w:eastAsia="zh-CN"/>
              </w:rPr>
              <w:t>本项目拟建</w:t>
            </w:r>
            <w:r>
              <w:rPr>
                <w:rFonts w:hint="eastAsia"/>
                <w:color w:val="auto"/>
                <w:highlight w:val="none"/>
                <w:lang w:val="en-US" w:eastAsia="zh-CN"/>
              </w:rPr>
              <w:t>1</w:t>
            </w:r>
            <w:r>
              <w:rPr>
                <w:rFonts w:hint="default"/>
                <w:color w:val="auto"/>
                <w:highlight w:val="none"/>
                <w:lang w:val="en-US" w:eastAsia="zh-CN"/>
              </w:rPr>
              <w:t>台40t/h燃煤蒸汽锅炉，位于</w:t>
            </w:r>
            <w:r>
              <w:rPr>
                <w:rFonts w:hint="default" w:ascii="Times New Roman" w:hAnsi="Times New Roman" w:cs="Times New Roman"/>
                <w:color w:val="auto"/>
                <w:sz w:val="24"/>
                <w:szCs w:val="24"/>
                <w:highlight w:val="none"/>
                <w:lang w:val="en-US" w:eastAsia="zh-CN"/>
              </w:rPr>
              <w:t>鄂尔多斯市准格尔旗纳日松镇，内蒙古伊泰煤炭股份有限公司凯达选煤厂内</w:t>
            </w:r>
            <w:r>
              <w:rPr>
                <w:rFonts w:hint="default"/>
                <w:color w:val="auto"/>
                <w:highlight w:val="none"/>
                <w:lang w:val="en-US" w:eastAsia="zh-CN"/>
              </w:rPr>
              <w:t>，不属于</w:t>
            </w:r>
            <w:r>
              <w:rPr>
                <w:rFonts w:hint="default"/>
                <w:color w:val="auto"/>
                <w:highlight w:val="none"/>
              </w:rPr>
              <w:t>旗县及以上城市建成区</w:t>
            </w:r>
            <w:r>
              <w:rPr>
                <w:rFonts w:hint="default"/>
                <w:color w:val="auto"/>
                <w:highlight w:val="none"/>
                <w:lang w:val="en-US" w:eastAsia="zh-CN"/>
              </w:rPr>
              <w:t>。使用的燃料煤为</w:t>
            </w:r>
            <w:r>
              <w:rPr>
                <w:rFonts w:hint="default" w:ascii="Times New Roman" w:hAnsi="Times New Roman" w:cs="Times New Roman"/>
                <w:color w:val="auto"/>
                <w:sz w:val="24"/>
                <w:szCs w:val="24"/>
                <w:highlight w:val="none"/>
                <w:lang w:val="en-US" w:eastAsia="zh-CN"/>
              </w:rPr>
              <w:t>内蒙古伊泰煤炭股份有限公司凯达选煤厂</w:t>
            </w:r>
            <w:r>
              <w:rPr>
                <w:rFonts w:hint="eastAsia" w:ascii="Times New Roman" w:hAnsi="Times New Roman" w:cs="Times New Roman"/>
                <w:color w:val="auto"/>
                <w:sz w:val="24"/>
                <w:szCs w:val="24"/>
                <w:highlight w:val="none"/>
                <w:lang w:val="en-US" w:eastAsia="zh-CN"/>
              </w:rPr>
              <w:t>末煤</w:t>
            </w:r>
            <w:r>
              <w:rPr>
                <w:rFonts w:hint="default"/>
                <w:color w:val="auto"/>
                <w:highlight w:val="none"/>
                <w:lang w:val="en-US" w:eastAsia="zh-CN"/>
              </w:rPr>
              <w:t>，满足《商品煤质量管理暂行办法》。</w:t>
            </w:r>
            <w:r>
              <w:rPr>
                <w:rFonts w:hint="eastAsia"/>
                <w:color w:val="auto"/>
                <w:highlight w:val="none"/>
                <w:lang w:val="en-US" w:eastAsia="zh-CN"/>
              </w:rPr>
              <w:t>本项目</w:t>
            </w:r>
            <w:r>
              <w:rPr>
                <w:rFonts w:hint="default"/>
                <w:color w:val="auto"/>
                <w:highlight w:val="none"/>
                <w:lang w:val="en-US" w:eastAsia="zh-CN"/>
              </w:rPr>
              <w:t>新建40t/h燃煤蒸汽锅炉</w:t>
            </w:r>
            <w:r>
              <w:rPr>
                <w:rFonts w:hint="eastAsia"/>
                <w:color w:val="auto"/>
                <w:highlight w:val="none"/>
                <w:lang w:val="en-US" w:eastAsia="zh-CN"/>
              </w:rPr>
              <w:t>，</w:t>
            </w:r>
            <w:r>
              <w:rPr>
                <w:rFonts w:hint="default"/>
                <w:color w:val="auto"/>
                <w:highlight w:val="none"/>
                <w:lang w:val="en-US" w:eastAsia="zh-CN"/>
              </w:rPr>
              <w:t>有效地提高了资源、能源利用率</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锅炉房废气</w:t>
            </w:r>
            <w:r>
              <w:rPr>
                <w:rFonts w:hint="default" w:ascii="Times New Roman" w:hAnsi="Times New Roman" w:eastAsia="宋体" w:cs="Times New Roman"/>
                <w:color w:val="auto"/>
                <w:highlight w:val="none"/>
                <w:lang w:val="en-US" w:eastAsia="zh-CN"/>
              </w:rPr>
              <w:t>排放满足《锅炉大气污染物排放标准》（GB13271-2014）中表</w:t>
            </w:r>
            <w:r>
              <w:rPr>
                <w:rFonts w:hint="eastAsia"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en-US" w:eastAsia="zh-CN"/>
              </w:rPr>
              <w:t>大气污染物排放浓度限值。</w:t>
            </w:r>
            <w:r>
              <w:rPr>
                <w:rFonts w:hint="default"/>
                <w:color w:val="auto"/>
                <w:highlight w:val="none"/>
                <w:lang w:val="en-US" w:eastAsia="zh-CN"/>
              </w:rPr>
              <w:t>综合分析，本项目符合《国务院关于印发</w:t>
            </w:r>
            <w:r>
              <w:rPr>
                <w:rFonts w:hint="eastAsia"/>
                <w:color w:val="auto"/>
                <w:highlight w:val="none"/>
                <w:lang w:val="en-US" w:eastAsia="zh-CN"/>
              </w:rPr>
              <w:t>〈</w:t>
            </w:r>
            <w:r>
              <w:rPr>
                <w:rFonts w:hint="default"/>
                <w:color w:val="auto"/>
                <w:highlight w:val="none"/>
                <w:lang w:val="en-US" w:eastAsia="zh-CN"/>
              </w:rPr>
              <w:t>空气质量持续改善行动计划的通知&gt;》（国发〔2023〕24号）相关要求。</w:t>
            </w:r>
          </w:p>
          <w:p w14:paraId="2B5A72CC">
            <w:pPr>
              <w:bidi w:val="0"/>
              <w:rPr>
                <w:rFonts w:hint="eastAsia"/>
                <w:b/>
                <w:bCs/>
                <w:color w:val="auto"/>
                <w:highlight w:val="none"/>
                <w:lang w:val="en-US" w:eastAsia="zh-CN"/>
              </w:rPr>
            </w:pPr>
            <w:r>
              <w:rPr>
                <w:rFonts w:hint="eastAsia"/>
                <w:b/>
                <w:bCs/>
                <w:color w:val="auto"/>
                <w:highlight w:val="none"/>
                <w:lang w:val="en-US" w:eastAsia="zh-CN"/>
              </w:rPr>
              <w:t>四、与《鄂尔多斯市大气污染防治条例》符合性分析</w:t>
            </w:r>
          </w:p>
          <w:p w14:paraId="266C7F1E">
            <w:pPr>
              <w:bidi w:val="0"/>
              <w:rPr>
                <w:rFonts w:hint="eastAsia"/>
                <w:color w:val="auto"/>
                <w:highlight w:val="none"/>
                <w:lang w:val="en-US" w:eastAsia="zh-CN"/>
              </w:rPr>
            </w:pPr>
            <w:r>
              <w:rPr>
                <w:rFonts w:hint="eastAsia"/>
                <w:color w:val="auto"/>
                <w:highlight w:val="none"/>
                <w:lang w:val="en-US" w:eastAsia="zh-CN"/>
              </w:rPr>
              <w:t>根据《鄂尔多斯市大气污染防治条例》第三章第五节燃煤和其他污染防治中的要求，对应本项目的符合性情况见下表。</w:t>
            </w:r>
          </w:p>
          <w:p w14:paraId="2546E119">
            <w:pPr>
              <w:bidi w:val="0"/>
              <w:ind w:left="0" w:leftChars="0" w:firstLine="0" w:firstLineChars="0"/>
              <w:jc w:val="center"/>
              <w:rPr>
                <w:rFonts w:hint="eastAsia"/>
                <w:b/>
                <w:bCs/>
                <w:color w:val="auto"/>
                <w:highlight w:val="none"/>
                <w:lang w:val="en-US" w:eastAsia="zh-CN"/>
              </w:rPr>
            </w:pPr>
            <w:r>
              <w:rPr>
                <w:rFonts w:hint="eastAsia"/>
                <w:b/>
                <w:bCs/>
                <w:color w:val="auto"/>
                <w:highlight w:val="none"/>
                <w:lang w:val="en-US" w:eastAsia="zh-CN"/>
              </w:rPr>
              <w:t>表1-5与《鄂尔多斯市大气污染防治条例》的符合性分析</w:t>
            </w:r>
          </w:p>
          <w:tbl>
            <w:tblPr>
              <w:tblStyle w:val="2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1"/>
              <w:gridCol w:w="2679"/>
              <w:gridCol w:w="840"/>
            </w:tblGrid>
            <w:tr w14:paraId="68B0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92" w:type="pct"/>
                  <w:noWrap w:val="0"/>
                  <w:vAlign w:val="center"/>
                </w:tcPr>
                <w:p w14:paraId="761B02B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鄂尔多斯市大气污染防治条例</w:t>
                  </w:r>
                </w:p>
              </w:tc>
              <w:tc>
                <w:tcPr>
                  <w:tcW w:w="2060" w:type="pct"/>
                  <w:noWrap w:val="0"/>
                  <w:vAlign w:val="center"/>
                </w:tcPr>
                <w:p w14:paraId="36CB89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本项目</w:t>
                  </w:r>
                </w:p>
              </w:tc>
              <w:tc>
                <w:tcPr>
                  <w:tcW w:w="646" w:type="pct"/>
                  <w:noWrap w:val="0"/>
                  <w:vAlign w:val="center"/>
                </w:tcPr>
                <w:p w14:paraId="427904E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符合性</w:t>
                  </w:r>
                </w:p>
              </w:tc>
            </w:tr>
            <w:tr w14:paraId="5721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292" w:type="pct"/>
                  <w:noWrap w:val="0"/>
                  <w:vAlign w:val="center"/>
                </w:tcPr>
                <w:p w14:paraId="453147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旗区人民政府应当在城镇规划区优先发展集中供热，完善配套管网建设，提高城镇集中供热普及率。在集中供热管网覆盖区域内，禁止新建、扩建分散燃烧煤炭、重油、渣油的供热设施。已建成不能达标排放的燃煤供热锅炉应当在规定限期内拆除。</w:t>
                  </w:r>
                </w:p>
              </w:tc>
              <w:tc>
                <w:tcPr>
                  <w:tcW w:w="2060" w:type="pct"/>
                  <w:noWrap w:val="0"/>
                  <w:vAlign w:val="center"/>
                </w:tcPr>
                <w:p w14:paraId="2F7FC1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本项目占地不属于城镇规划区，且不属于集中供热管网覆盖区域。拟建40t/h的燃煤蒸汽锅炉一台，燃烧后废气经一根50m排气筒（选煤厂排气筒DA001）排放，各污染物满足《锅炉大气污染物排放标准》（GB13271-2014）中表3大气污染物排放浓度限值。</w:t>
                  </w:r>
                </w:p>
              </w:tc>
              <w:tc>
                <w:tcPr>
                  <w:tcW w:w="646" w:type="pct"/>
                  <w:noWrap w:val="0"/>
                  <w:vAlign w:val="center"/>
                </w:tcPr>
                <w:p w14:paraId="014956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符合</w:t>
                  </w:r>
                </w:p>
              </w:tc>
            </w:tr>
            <w:tr w14:paraId="3332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2292" w:type="pct"/>
                  <w:noWrap w:val="0"/>
                  <w:vAlign w:val="center"/>
                </w:tcPr>
                <w:p w14:paraId="0C5C19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工业园区实行集中供热。在集中供热管网覆盖区域内，禁止新建、改建、扩建分散燃煤供热锅炉，集中供热管网覆盖前已建成使用的燃煤供热锅炉应当限期停止使用。</w:t>
                  </w:r>
                </w:p>
              </w:tc>
              <w:tc>
                <w:tcPr>
                  <w:tcW w:w="2060" w:type="pct"/>
                  <w:noWrap w:val="0"/>
                  <w:vAlign w:val="center"/>
                </w:tcPr>
                <w:p w14:paraId="05F512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本项目不属于工业园区。</w:t>
                  </w:r>
                </w:p>
              </w:tc>
              <w:tc>
                <w:tcPr>
                  <w:tcW w:w="646" w:type="pct"/>
                  <w:noWrap w:val="0"/>
                  <w:vAlign w:val="center"/>
                </w:tcPr>
                <w:p w14:paraId="59E88D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符合</w:t>
                  </w:r>
                </w:p>
              </w:tc>
            </w:tr>
          </w:tbl>
          <w:p w14:paraId="4A93E213">
            <w:pPr>
              <w:bidi w:val="0"/>
              <w:rPr>
                <w:rFonts w:hint="eastAsia"/>
                <w:color w:val="auto"/>
                <w:highlight w:val="none"/>
                <w:lang w:val="en-US" w:eastAsia="zh-CN"/>
              </w:rPr>
            </w:pPr>
            <w:r>
              <w:rPr>
                <w:rFonts w:hint="eastAsia"/>
                <w:color w:val="auto"/>
                <w:highlight w:val="none"/>
                <w:lang w:val="en-US" w:eastAsia="zh-CN"/>
              </w:rPr>
              <w:t>根据上表，本项目符合《鄂尔多斯市大气污染防治条例》中关于防治措施的要求。</w:t>
            </w:r>
          </w:p>
          <w:p w14:paraId="46F21A3F">
            <w:pPr>
              <w:bidi w:val="0"/>
              <w:rPr>
                <w:rFonts w:hint="eastAsia"/>
                <w:b/>
                <w:bCs/>
                <w:color w:val="auto"/>
                <w:highlight w:val="none"/>
                <w:lang w:val="en-US" w:eastAsia="zh-CN"/>
              </w:rPr>
            </w:pPr>
            <w:r>
              <w:rPr>
                <w:rFonts w:hint="eastAsia"/>
                <w:b/>
                <w:bCs/>
                <w:color w:val="auto"/>
                <w:highlight w:val="none"/>
                <w:lang w:val="en-US" w:eastAsia="zh-CN"/>
              </w:rPr>
              <w:t>五、与《内蒙古自治区空气质量持续改善行动实施方案》符合性分析</w:t>
            </w:r>
          </w:p>
          <w:p w14:paraId="35E6F2AF">
            <w:pPr>
              <w:bidi w:val="0"/>
              <w:rPr>
                <w:rFonts w:hint="eastAsia"/>
                <w:color w:val="auto"/>
                <w:highlight w:val="none"/>
                <w:lang w:val="en-US" w:eastAsia="zh-CN"/>
              </w:rPr>
            </w:pPr>
            <w:r>
              <w:rPr>
                <w:rFonts w:hint="eastAsia"/>
                <w:color w:val="auto"/>
                <w:highlight w:val="none"/>
                <w:lang w:val="en-US" w:eastAsia="zh-CN"/>
              </w:rPr>
              <w:t>内蒙古自治区人民政府于2024年5月14日发布了《内蒙古自治区人民政府关于印发内蒙古自治区空气质量持续改善行动实施方案的通知》（内政发〔2024〕17号），行动实施方案指出：旗县及以上城市建成区、工业园区原则上不再新建35蒸t/h及以下燃煤锅炉，其他地区原则上不再新建10蒸t/h以下燃煤锅炉。2025年底前，盟行政公署、市人民政府所在地城市建成区基本淘汰现役35蒸t/h（不含）以下燃煤锅炉，其中，呼和浩特市、包头市、乌海市淘汰65蒸t/h（不含）以下燃煤锅炉。</w:t>
            </w:r>
          </w:p>
          <w:p w14:paraId="2403E0BB">
            <w:pPr>
              <w:bidi w:val="0"/>
              <w:rPr>
                <w:rFonts w:hint="eastAsia"/>
                <w:color w:val="auto"/>
                <w:highlight w:val="none"/>
                <w:lang w:val="en-US" w:eastAsia="zh-CN"/>
              </w:rPr>
            </w:pPr>
            <w:r>
              <w:rPr>
                <w:rFonts w:hint="eastAsia"/>
                <w:color w:val="auto"/>
                <w:highlight w:val="none"/>
                <w:lang w:val="en-US" w:eastAsia="zh-CN"/>
              </w:rPr>
              <w:t>本项目拟建1台40t/h燃煤蒸汽锅炉，位于鄂尔多斯市准格尔旗纳日松镇，内蒙古伊泰煤炭股份有限公司凯达选煤厂范围内，不属于旗县及以上城市建成区、工业园区，因此符合《内蒙古自治区空气质量持续改善行动实施方案》中要求。</w:t>
            </w:r>
          </w:p>
          <w:p w14:paraId="5D28A370">
            <w:pPr>
              <w:keepNext w:val="0"/>
              <w:keepLines w:val="0"/>
              <w:pageBreakBefore w:val="0"/>
              <w:widowControl w:val="0"/>
              <w:kinsoku/>
              <w:wordWrap/>
              <w:overflowPunct/>
              <w:topLinePunct w:val="0"/>
              <w:autoSpaceDE/>
              <w:autoSpaceDN/>
              <w:bidi w:val="0"/>
              <w:adjustRightInd/>
              <w:snapToGrid/>
              <w:textAlignment w:val="auto"/>
              <w:rPr>
                <w:rFonts w:hint="eastAsia"/>
                <w:b/>
                <w:bCs/>
                <w:color w:val="auto"/>
                <w:highlight w:val="none"/>
                <w:lang w:val="en-US" w:eastAsia="zh-CN"/>
              </w:rPr>
            </w:pPr>
            <w:r>
              <w:rPr>
                <w:rFonts w:hint="eastAsia"/>
                <w:b/>
                <w:bCs/>
                <w:color w:val="auto"/>
                <w:highlight w:val="none"/>
                <w:lang w:val="en-US" w:eastAsia="zh-CN"/>
              </w:rPr>
              <w:t>六、项目与《鄂尔多斯市大气污染防治条例》（2019年）符合性分析</w:t>
            </w:r>
          </w:p>
          <w:p w14:paraId="71B332A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bCs/>
                <w:color w:val="auto"/>
                <w:sz w:val="22"/>
                <w:szCs w:val="22"/>
                <w:highlight w:val="none"/>
                <w:lang w:val="en-US" w:eastAsia="zh-CN"/>
              </w:rPr>
            </w:pPr>
            <w:r>
              <w:rPr>
                <w:rFonts w:hint="eastAsia"/>
                <w:b/>
                <w:bCs/>
                <w:color w:val="auto"/>
                <w:sz w:val="22"/>
                <w:szCs w:val="22"/>
                <w:highlight w:val="none"/>
                <w:lang w:val="en-US" w:eastAsia="zh-CN"/>
              </w:rPr>
              <w:t>表1-6与《鄂尔多斯市大气污染防治条例》（2019年）符合性分析</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436"/>
              <w:gridCol w:w="2190"/>
              <w:gridCol w:w="1158"/>
            </w:tblGrid>
            <w:tr w14:paraId="20F1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73" w:type="dxa"/>
                  <w:gridSpan w:val="2"/>
                </w:tcPr>
                <w:p w14:paraId="586261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lang w:val="en-US" w:eastAsia="zh-CN"/>
                    </w:rPr>
                    <w:t>《鄂尔多斯市大气污染防治条例》</w:t>
                  </w:r>
                </w:p>
              </w:tc>
              <w:tc>
                <w:tcPr>
                  <w:tcW w:w="1773" w:type="dxa"/>
                </w:tcPr>
                <w:p w14:paraId="15C0B34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本项目概况</w:t>
                  </w:r>
                </w:p>
              </w:tc>
              <w:tc>
                <w:tcPr>
                  <w:tcW w:w="1270" w:type="dxa"/>
                </w:tcPr>
                <w:p w14:paraId="78A6CF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相符性</w:t>
                  </w:r>
                </w:p>
              </w:tc>
            </w:tr>
            <w:tr w14:paraId="6F1D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59" w:type="dxa"/>
                </w:tcPr>
                <w:p w14:paraId="7BB8E8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第三十四条</w:t>
                  </w:r>
                </w:p>
              </w:tc>
              <w:tc>
                <w:tcPr>
                  <w:tcW w:w="2714" w:type="dxa"/>
                </w:tcPr>
                <w:p w14:paraId="71170A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重点区域执行重点行业污染物特别排放限值。燃煤发电机组和执行火电大气污染物排放标准的锅炉应当执行超低排放限值</w:t>
                  </w:r>
                </w:p>
              </w:tc>
              <w:tc>
                <w:tcPr>
                  <w:tcW w:w="1773" w:type="dxa"/>
                </w:tcPr>
                <w:p w14:paraId="30F6E5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本项目位于准格尔旗，锅炉污染物排放限值执行《锅炉大气污染物排放标准》（GB13271-2014）中表3大气污染物特别排放限值要求</w:t>
                  </w:r>
                </w:p>
              </w:tc>
              <w:tc>
                <w:tcPr>
                  <w:tcW w:w="1270" w:type="dxa"/>
                </w:tcPr>
                <w:p w14:paraId="466B45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符合</w:t>
                  </w:r>
                </w:p>
              </w:tc>
            </w:tr>
            <w:tr w14:paraId="2BE0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59" w:type="dxa"/>
                </w:tcPr>
                <w:p w14:paraId="0670DE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第四十七条</w:t>
                  </w:r>
                </w:p>
              </w:tc>
              <w:tc>
                <w:tcPr>
                  <w:tcW w:w="2714" w:type="dxa"/>
                </w:tcPr>
                <w:p w14:paraId="346428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旗区人民政府应当在城镇规划区优先发展集中供热，完善配套管网建设，提高城镇集中供热普及率。在集中供热管网覆盖区域内，禁止新建、扩建分散燃烧煤炭、重油、渣油的供热设施。已建成不能达标排放的燃煤供热锅炉应当在规定限期内拆除</w:t>
                  </w:r>
                </w:p>
              </w:tc>
              <w:tc>
                <w:tcPr>
                  <w:tcW w:w="1773" w:type="dxa"/>
                </w:tcPr>
                <w:p w14:paraId="692D29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本项目不位于集中供热区域，本项目现有的淘汰类锅炉已经拆除。</w:t>
                  </w:r>
                </w:p>
              </w:tc>
              <w:tc>
                <w:tcPr>
                  <w:tcW w:w="1270" w:type="dxa"/>
                </w:tcPr>
                <w:p w14:paraId="0B75B2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符合</w:t>
                  </w:r>
                </w:p>
              </w:tc>
            </w:tr>
            <w:tr w14:paraId="63AE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759" w:type="dxa"/>
                </w:tcPr>
                <w:p w14:paraId="154605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第四十八条</w:t>
                  </w:r>
                </w:p>
              </w:tc>
              <w:tc>
                <w:tcPr>
                  <w:tcW w:w="2714" w:type="dxa"/>
                </w:tcPr>
                <w:p w14:paraId="1740FE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default"/>
                      <w:b w:val="0"/>
                      <w:bCs w:val="0"/>
                      <w:color w:val="auto"/>
                      <w:highlight w:val="none"/>
                      <w:vertAlign w:val="baseline"/>
                      <w:lang w:val="en-US" w:eastAsia="zh-CN"/>
                    </w:rPr>
                    <w:t>工业园区实行集中供热。在集中供热管网覆盖区域内，禁止新建、改建、扩建分散燃煤供热锅炉，集中供热管网覆盖前已建成使用的燃煤供热锅炉应当限期停止使用</w:t>
                  </w:r>
                </w:p>
              </w:tc>
              <w:tc>
                <w:tcPr>
                  <w:tcW w:w="1773" w:type="dxa"/>
                </w:tcPr>
                <w:p w14:paraId="7CBDCA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本项目不属于集中供热区域。</w:t>
                  </w:r>
                </w:p>
              </w:tc>
              <w:tc>
                <w:tcPr>
                  <w:tcW w:w="1270" w:type="dxa"/>
                </w:tcPr>
                <w:p w14:paraId="404882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符合</w:t>
                  </w:r>
                </w:p>
              </w:tc>
            </w:tr>
          </w:tbl>
          <w:p w14:paraId="19771761">
            <w:pPr>
              <w:keepNext w:val="0"/>
              <w:keepLines w:val="0"/>
              <w:pageBreakBefore w:val="0"/>
              <w:widowControl w:val="0"/>
              <w:kinsoku/>
              <w:wordWrap/>
              <w:overflowPunct/>
              <w:topLinePunct w:val="0"/>
              <w:autoSpaceDE/>
              <w:autoSpaceDN/>
              <w:bidi w:val="0"/>
              <w:adjustRightInd/>
              <w:snapToGrid/>
              <w:textAlignment w:val="auto"/>
              <w:rPr>
                <w:rFonts w:hint="default"/>
                <w:b/>
                <w:bCs/>
                <w:color w:val="auto"/>
                <w:highlight w:val="none"/>
                <w:lang w:val="en-US" w:eastAsia="zh-CN"/>
              </w:rPr>
            </w:pPr>
            <w:r>
              <w:rPr>
                <w:rFonts w:hint="eastAsia"/>
                <w:b/>
                <w:bCs/>
                <w:color w:val="auto"/>
                <w:highlight w:val="none"/>
                <w:lang w:val="en-US" w:eastAsia="zh-CN"/>
              </w:rPr>
              <w:t>七、选址合理分析</w:t>
            </w:r>
          </w:p>
          <w:p w14:paraId="35D7D745">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color w:val="auto"/>
                <w:highlight w:val="none"/>
              </w:rPr>
              <w:t>本项目</w:t>
            </w:r>
            <w:r>
              <w:rPr>
                <w:rFonts w:hint="eastAsia"/>
                <w:color w:val="auto"/>
                <w:highlight w:val="none"/>
                <w:lang w:val="en-US" w:eastAsia="zh-CN"/>
              </w:rPr>
              <w:t>拟新建1台40t/h的燃煤蒸汽锅炉，</w:t>
            </w:r>
            <w:r>
              <w:rPr>
                <w:color w:val="auto"/>
                <w:highlight w:val="none"/>
              </w:rPr>
              <w:t>位于</w:t>
            </w:r>
            <w:r>
              <w:rPr>
                <w:rFonts w:hint="default"/>
                <w:color w:val="auto"/>
                <w:highlight w:val="none"/>
                <w:lang w:val="en-US" w:eastAsia="zh-CN"/>
              </w:rPr>
              <w:t>内蒙古自治区鄂尔多斯市准格尔旗纳日松镇，内蒙古伊泰煤炭股份有限公司凯达选煤厂内建设</w:t>
            </w:r>
            <w:r>
              <w:rPr>
                <w:rFonts w:hint="eastAsia"/>
                <w:color w:val="auto"/>
                <w:highlight w:val="none"/>
                <w:lang w:val="en-US" w:eastAsia="zh-CN"/>
              </w:rPr>
              <w:t>，使用的锅炉房为利用现有，</w:t>
            </w:r>
            <w:r>
              <w:rPr>
                <w:color w:val="auto"/>
                <w:highlight w:val="none"/>
              </w:rPr>
              <w:t>不新增占地。项目选址不涉及基本农田保护区、饮用水水源保护区、自然保护区、</w:t>
            </w:r>
            <w:r>
              <w:rPr>
                <w:rFonts w:hint="eastAsia"/>
                <w:color w:val="auto"/>
                <w:highlight w:val="none"/>
              </w:rPr>
              <w:t>文物保护单位、水源保护区</w:t>
            </w:r>
            <w:r>
              <w:rPr>
                <w:rFonts w:hint="eastAsia"/>
                <w:color w:val="auto"/>
                <w:highlight w:val="none"/>
                <w:lang w:eastAsia="zh-CN"/>
              </w:rPr>
              <w:t>、</w:t>
            </w:r>
            <w:r>
              <w:rPr>
                <w:color w:val="auto"/>
                <w:highlight w:val="none"/>
              </w:rPr>
              <w:t>风景名胜区和其他需要特殊保护地区、不压覆矿产资源、不占用重要通信和军事设施。项目所在区域基础设施条件完善，项目总图布置合理，项目产生的各类污染物均能达标排放，本项目各类污染物对周边环境影响较小，因此，本期项目选址合理。</w:t>
            </w:r>
          </w:p>
        </w:tc>
      </w:tr>
    </w:tbl>
    <w:p w14:paraId="61AA67D0">
      <w:pPr>
        <w:spacing w:line="360" w:lineRule="auto"/>
        <w:outlineLvl w:val="0"/>
        <w:rPr>
          <w:rFonts w:hint="default" w:ascii="Times New Roman" w:hAnsi="Times New Roman" w:eastAsia="黑体" w:cs="Times New Roman"/>
          <w:color w:val="auto"/>
          <w:sz w:val="30"/>
          <w:highlight w:val="none"/>
        </w:rPr>
        <w:sectPr>
          <w:headerReference r:id="rId8" w:type="default"/>
          <w:footerReference r:id="rId9" w:type="default"/>
          <w:pgSz w:w="11906" w:h="16838"/>
          <w:pgMar w:top="1701" w:right="1531" w:bottom="1701" w:left="1531" w:header="1191" w:footer="964" w:gutter="0"/>
          <w:pgBorders>
            <w:top w:val="none" w:sz="0" w:space="0"/>
            <w:left w:val="none" w:sz="0" w:space="0"/>
            <w:bottom w:val="none" w:sz="0" w:space="0"/>
            <w:right w:val="none" w:sz="0" w:space="0"/>
          </w:pgBorders>
          <w:pgNumType w:fmt="numberInDash" w:start="1"/>
          <w:cols w:space="720" w:num="1"/>
          <w:docGrid w:linePitch="312" w:charSpace="0"/>
        </w:sectPr>
      </w:pPr>
    </w:p>
    <w:p w14:paraId="45A5AE65">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二、建设项目工程分析</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37"/>
        <w:gridCol w:w="6924"/>
      </w:tblGrid>
      <w:tr w14:paraId="040F4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7A5C0D9F">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建设内容</w:t>
            </w:r>
          </w:p>
        </w:tc>
        <w:tc>
          <w:tcPr>
            <w:tcW w:w="8161" w:type="dxa"/>
            <w:gridSpan w:val="2"/>
            <w:noWrap w:val="0"/>
            <w:vAlign w:val="top"/>
          </w:tcPr>
          <w:p w14:paraId="1E358C61">
            <w:pPr>
              <w:adjustRightInd w:val="0"/>
              <w:snapToGrid w:val="0"/>
              <w:jc w:val="both"/>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一、现有项目环保手续履行情况</w:t>
            </w:r>
          </w:p>
          <w:p w14:paraId="17B7D79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1.选煤厂环保手续履行情况</w:t>
            </w:r>
          </w:p>
          <w:p w14:paraId="2F9FD053">
            <w:pPr>
              <w:bidi w:val="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内蒙古伊泰煤炭股份有限公司凯达选煤厂位于鄂尔多斯市准格尔旗凯达煤矿工业广场内，行政隶属于准格尔旗羊市塔镇管辖，占地面积为5.95ha，属群矿选煤厂，2011年9月13日，内蒙古自治区环境保护厅以内环审</w:t>
            </w:r>
            <w:r>
              <w:rPr>
                <w:rFonts w:hint="default" w:ascii="Times New Roman" w:hAnsi="Times New Roman" w:cs="Times New Roman"/>
                <w:color w:val="auto"/>
                <w:sz w:val="24"/>
                <w:szCs w:val="24"/>
                <w:highlight w:val="none"/>
                <w:lang w:val="en-US" w:eastAsia="zh-CN"/>
              </w:rPr>
              <w:t>〔2011〕286号文件对《内蒙古伊泰煤炭股份有限公司凯达选煤厂环境影响报告书》予以批复，2014年5月，原鄂尔多斯市环境保护局以鄂环监字〔2014〕10号文出具《内蒙古伊泰煤炭股份有限公司凯达选煤厂竣工环境保护验收意见的通知》。洗选规模为600万t/a，内蒙古伊泰煤炭股份有限公司凯达选煤厂位于准格尔旗凯达煤矿工业广场内，入选原煤主要来自伊泰煤炭股份有限公司所属纳林庙煤矿一号井、二号井、宏景塔一矿和凯达煤矿。项目工艺采用重介浅槽分选+两产品重介旋流器分选+螺旋分选工艺。主要建设内容包括受煤坑、原煤筒仓、筛分车间、矸石和煤泥输送栈桥、矸石仓、排矸场地、块精煤产品筒仓、末煤仓、转载点与栈桥、主厂房、浓缩车间、空压机房、介质库及集控化验楼、综合办公楼等。</w:t>
            </w:r>
          </w:p>
          <w:p w14:paraId="0EEEEE6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2.煤矿环保手续履行情况</w:t>
            </w:r>
          </w:p>
          <w:p w14:paraId="564AA42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内蒙古伊泰煤炭股份有限公司凯达煤矿280万t/a改扩建项目位于神东矿区，地处鄂尔多斯市准格尔旗纳日松镇，项目井田面积为45.7486平方米，原生产规模150万t/a，采用斜井开拓方式，倾斜长壁采煤方法，全部垮落法管理顶板，采出原煤通过带式输送机送至凯达选煤厂筛分、破碎和洗选。原项目于2012年12月取得原自治区环境保护厅环评批复（内环审〔2022〕256号），2015年4月通过原鄂尔多斯市环境保护局竣工环境保护验收（鄂环监字〔2015〕36号）。2022年4月6日，内蒙古自然能源局以（内能煤运函〔2022〕430号）批复《关于内蒙古伊泰煤炭股份有限公司凯达煤矿生产能力核定报告的复函》，同意该矿生产能力由1.5Mt/a核增至2.8Mt/a。改扩建后项目井田面积、盘区划分、开采工艺、工业场地及开拓系统等均不发生变化，剩余服务年限28.3年。采出原煤由内蒙古伊泰煤炭股份有限公司凯达选煤厂加工、洗选，该选煤厂生产规模为600万t/a，可以满足本项目依托需求。内蒙古伊泰煤炭股份有限公司凯达煤矿于2022年7月委托编制完成了《内蒙古伊泰煤炭股份有限公司凯达煤矿280万t/a改扩建项目环境影响报告书》；内蒙古自治区生态环境厅于2022年7月14日以内环审〔2022〕22号文对《内蒙古伊泰煤炭股份有限公司凯达煤矿280万t/a改扩建项目环境影响报告书》进行了批复。2023年6月10日完成了自主竣工环境保护验收。2023年9月，内蒙古伊泰煤炭股份有限公司凯达煤矿委托内蒙古博鑫宇环保咨询有限公司编制完成了《内蒙古伊泰煤炭股份有限公司凯达煤矿增设井筒项目环境影响报表》，2023年11月22日，由鄂尔多斯市生态环境局准格尔旗分局以鄂环审字〔2023〕70号文件对《内蒙古伊泰煤炭股份有限公司凯达煤矿增设井筒项目环境影响报表》予以批复，该项目尚未进行验收。</w:t>
            </w:r>
          </w:p>
          <w:p w14:paraId="0C56B44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3.现有供热设施</w:t>
            </w:r>
          </w:p>
          <w:p w14:paraId="3BC1BCE6">
            <w:pPr>
              <w:bidi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sz w:val="24"/>
                <w:szCs w:val="24"/>
                <w:highlight w:val="none"/>
                <w:lang w:val="en-US" w:eastAsia="zh-CN"/>
              </w:rPr>
              <w:t>选煤厂现有供暖工程</w:t>
            </w:r>
          </w:p>
          <w:p w14:paraId="66B0365A">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本项目选煤厂现有供暖工程见下表2-1</w:t>
            </w:r>
            <w:r>
              <w:rPr>
                <w:rFonts w:hint="default" w:ascii="Times New Roman" w:hAnsi="Times New Roman" w:cs="Times New Roman"/>
                <w:color w:val="auto"/>
                <w:highlight w:val="none"/>
                <w:lang w:val="en-US" w:eastAsia="zh-CN"/>
              </w:rPr>
              <w:t>。</w:t>
            </w:r>
          </w:p>
          <w:p w14:paraId="44440EEF">
            <w:pPr>
              <w:jc w:val="center"/>
              <w:rPr>
                <w:rFonts w:hint="default" w:eastAsiaTheme="minorEastAsia"/>
                <w:b/>
                <w:bCs/>
                <w:color w:val="auto"/>
                <w:highlight w:val="none"/>
                <w:vertAlign w:val="baseline"/>
                <w:lang w:val="en-US" w:eastAsia="zh-CN"/>
              </w:rPr>
            </w:pPr>
            <w:r>
              <w:rPr>
                <w:rFonts w:hint="eastAsia" w:cs="Times New Roman"/>
                <w:b/>
                <w:bCs/>
                <w:color w:val="auto"/>
                <w:sz w:val="24"/>
                <w:szCs w:val="24"/>
                <w:highlight w:val="none"/>
                <w:lang w:val="en-US" w:eastAsia="zh-CN"/>
              </w:rPr>
              <w:t>表2-1</w:t>
            </w:r>
            <w:r>
              <w:rPr>
                <w:rFonts w:hint="eastAsia"/>
                <w:b/>
                <w:bCs/>
                <w:color w:val="auto"/>
                <w:highlight w:val="none"/>
                <w:lang w:val="en-US" w:eastAsia="zh-CN"/>
              </w:rPr>
              <w:t>选煤厂现有供暖设施</w:t>
            </w:r>
          </w:p>
          <w:tbl>
            <w:tblPr>
              <w:tblStyle w:val="26"/>
              <w:tblW w:w="7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7085"/>
            </w:tblGrid>
            <w:tr w14:paraId="5F73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29A7EC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锅炉房</w:t>
                  </w:r>
                </w:p>
              </w:tc>
              <w:tc>
                <w:tcPr>
                  <w:tcW w:w="7085" w:type="dxa"/>
                  <w:vAlign w:val="center"/>
                </w:tcPr>
                <w:p w14:paraId="6F85FC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选煤厂现有1座798㎡的锅炉房</w:t>
                  </w:r>
                </w:p>
              </w:tc>
            </w:tr>
            <w:tr w14:paraId="1306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12D5EC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现有设备</w:t>
                  </w:r>
                </w:p>
              </w:tc>
              <w:tc>
                <w:tcPr>
                  <w:tcW w:w="7085" w:type="dxa"/>
                  <w:vAlign w:val="center"/>
                </w:tcPr>
                <w:p w14:paraId="03069F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3台SZL10-1.25-AII型10t/h的燃煤蒸汽锅炉进行供热</w:t>
                  </w:r>
                  <w:r>
                    <w:rPr>
                      <w:rFonts w:hint="eastAsia"/>
                      <w:color w:val="auto"/>
                      <w:highlight w:val="none"/>
                      <w:lang w:val="en-US" w:eastAsia="zh-CN"/>
                    </w:rPr>
                    <w:t>，现均正常运行</w:t>
                  </w:r>
                </w:p>
              </w:tc>
            </w:tr>
            <w:tr w14:paraId="40F9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16E87F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环保手续</w:t>
                  </w:r>
                </w:p>
              </w:tc>
              <w:tc>
                <w:tcPr>
                  <w:tcW w:w="7085" w:type="dxa"/>
                  <w:vAlign w:val="center"/>
                </w:tcPr>
                <w:p w14:paraId="583BBB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2011年9月13日，内蒙古自治区环境保护厅以内环审〔2011〕286号文件对《内蒙古伊泰煤炭股份有限公司凯达选煤厂环境影响报告书》予以批复，2014年5月，原鄂尔多斯市环境保护局以鄂环监字〔2014〕10号文出具《内蒙古伊泰煤炭股份有限公司凯达选煤厂竣工环境保护验收意见的通知》</w:t>
                  </w:r>
                </w:p>
              </w:tc>
            </w:tr>
            <w:tr w14:paraId="45D3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090DFD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环保措施</w:t>
                  </w:r>
                </w:p>
              </w:tc>
              <w:tc>
                <w:tcPr>
                  <w:tcW w:w="7085" w:type="dxa"/>
                  <w:vAlign w:val="center"/>
                </w:tcPr>
                <w:p w14:paraId="7C69C4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锅炉烟气除尘脱硫系统选用麻石水膜加NaOH碱液脱硫除尘，净化后的烟气经高度50m，出口直径为1.4m的砖砌烟囱（选煤厂排气筒DA001）排入大气。</w:t>
                  </w:r>
                </w:p>
              </w:tc>
            </w:tr>
            <w:tr w14:paraId="10EB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22BD12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总量指标</w:t>
                  </w:r>
                </w:p>
              </w:tc>
              <w:tc>
                <w:tcPr>
                  <w:tcW w:w="7085" w:type="dxa"/>
                  <w:vAlign w:val="center"/>
                </w:tcPr>
                <w:p w14:paraId="70E6AD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2011年7月13日，由原鄂尔多斯市环境保护局以鄂环字〔2011〕165号出具《内蒙古伊泰煤炭股份有限公司凯达选煤厂项目主要污染物排放总量指标的确认意见》，文件中总量排放指标，二氧化硫排放总量为44.13吨/年，氮氧化物排放总量为57.92吨/年。</w:t>
                  </w:r>
                </w:p>
              </w:tc>
            </w:tr>
            <w:tr w14:paraId="7A8C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632890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耗煤量</w:t>
                  </w:r>
                </w:p>
              </w:tc>
              <w:tc>
                <w:tcPr>
                  <w:tcW w:w="7085" w:type="dxa"/>
                  <w:vAlign w:val="center"/>
                </w:tcPr>
                <w:p w14:paraId="7035D6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耗煤使用内蒙古伊泰煤炭股份有限公司凯达选煤厂产煤，年耗煤量为15680t/a</w:t>
                  </w:r>
                </w:p>
              </w:tc>
            </w:tr>
            <w:tr w14:paraId="2854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13F121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供水工程</w:t>
                  </w:r>
                </w:p>
              </w:tc>
              <w:tc>
                <w:tcPr>
                  <w:tcW w:w="7085" w:type="dxa"/>
                  <w:vAlign w:val="center"/>
                </w:tcPr>
                <w:p w14:paraId="150143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锅炉</w:t>
                  </w:r>
                  <w:r>
                    <w:rPr>
                      <w:rFonts w:hint="default"/>
                      <w:color w:val="auto"/>
                      <w:highlight w:val="none"/>
                      <w:lang w:val="en-US" w:eastAsia="zh-CN"/>
                    </w:rPr>
                    <w:t>用水由凯达煤矿的富裕矿井涌水，不足部分由准格尔旗科源水务有限公司提供</w:t>
                  </w:r>
                </w:p>
              </w:tc>
            </w:tr>
            <w:tr w14:paraId="0E50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5C7650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排水工程</w:t>
                  </w:r>
                </w:p>
              </w:tc>
              <w:tc>
                <w:tcPr>
                  <w:tcW w:w="7085" w:type="dxa"/>
                  <w:vAlign w:val="center"/>
                </w:tcPr>
                <w:p w14:paraId="1FD89E3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锅炉废水回用于锅炉除尘、冲渣</w:t>
                  </w:r>
                  <w:r>
                    <w:rPr>
                      <w:rFonts w:hint="eastAsia"/>
                      <w:color w:val="auto"/>
                      <w:highlight w:val="none"/>
                      <w:lang w:val="en-US" w:eastAsia="zh-CN"/>
                    </w:rPr>
                    <w:t>，供热锅炉</w:t>
                  </w:r>
                  <w:r>
                    <w:rPr>
                      <w:rFonts w:hint="default"/>
                      <w:color w:val="auto"/>
                      <w:highlight w:val="none"/>
                      <w:lang w:val="en-US" w:eastAsia="zh-CN"/>
                    </w:rPr>
                    <w:t>夏季锅炉停用。</w:t>
                  </w:r>
                </w:p>
              </w:tc>
            </w:tr>
            <w:tr w14:paraId="16F1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218F04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供热单元</w:t>
                  </w:r>
                </w:p>
              </w:tc>
              <w:tc>
                <w:tcPr>
                  <w:tcW w:w="7085" w:type="dxa"/>
                  <w:vAlign w:val="center"/>
                </w:tcPr>
                <w:p w14:paraId="657498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为选煤厂生活区、生活产区进行供热。</w:t>
                  </w:r>
                </w:p>
              </w:tc>
            </w:tr>
            <w:tr w14:paraId="489A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vAlign w:val="center"/>
                </w:tcPr>
                <w:p w14:paraId="32D64F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固废处置措施</w:t>
                  </w:r>
                </w:p>
              </w:tc>
              <w:tc>
                <w:tcPr>
                  <w:tcW w:w="7085" w:type="dxa"/>
                  <w:vAlign w:val="center"/>
                </w:tcPr>
                <w:p w14:paraId="33DF92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锅炉灰渣和水浴除尘底泥送准格尔旗杨家坡免烧砖厂制砖。</w:t>
                  </w:r>
                </w:p>
              </w:tc>
            </w:tr>
          </w:tbl>
          <w:p w14:paraId="2D625A5A">
            <w:pPr>
              <w:bidi w:val="0"/>
              <w:rPr>
                <w:rFonts w:hint="default" w:ascii="Times New Roman" w:hAnsi="Times New Roman" w:cs="Times New Roman"/>
                <w:b/>
                <w:bCs w:val="0"/>
                <w:color w:val="auto"/>
                <w:sz w:val="24"/>
                <w:szCs w:val="24"/>
                <w:highlight w:val="none"/>
                <w:vertAlign w:val="baseline"/>
                <w:lang w:val="en-US" w:eastAsia="zh-CN"/>
              </w:rPr>
            </w:pPr>
            <w:r>
              <w:rPr>
                <w:rFonts w:hint="default"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highlight w:val="none"/>
                <w:lang w:val="en-US" w:eastAsia="zh-CN"/>
              </w:rPr>
              <w:t>煤矿</w:t>
            </w:r>
            <w:r>
              <w:rPr>
                <w:rFonts w:hint="eastAsia" w:cs="Times New Roman"/>
                <w:b/>
                <w:bCs/>
                <w:color w:val="auto"/>
                <w:highlight w:val="none"/>
                <w:lang w:val="en-US" w:eastAsia="zh-CN"/>
              </w:rPr>
              <w:t>现有</w:t>
            </w:r>
            <w:r>
              <w:rPr>
                <w:rFonts w:hint="default" w:ascii="Times New Roman" w:hAnsi="Times New Roman" w:cs="Times New Roman"/>
                <w:b/>
                <w:bCs/>
                <w:color w:val="auto"/>
                <w:sz w:val="24"/>
                <w:szCs w:val="24"/>
                <w:highlight w:val="none"/>
                <w:lang w:val="en-US" w:eastAsia="zh-CN"/>
              </w:rPr>
              <w:t>供暖工程</w:t>
            </w:r>
          </w:p>
          <w:p w14:paraId="2EDB019B">
            <w:pPr>
              <w:bidi w:val="0"/>
              <w:rPr>
                <w:rFonts w:hint="default" w:ascii="Times New Roman" w:hAnsi="Times New Roman"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本项目煤矿现有供暖设施见下表2-2。</w:t>
            </w:r>
          </w:p>
          <w:p w14:paraId="1A7357F2">
            <w:pPr>
              <w:jc w:val="center"/>
              <w:rPr>
                <w:rFonts w:hint="default" w:eastAsiaTheme="minorEastAsia"/>
                <w:b/>
                <w:bCs/>
                <w:color w:val="auto"/>
                <w:highlight w:val="none"/>
                <w:vertAlign w:val="baseline"/>
                <w:lang w:val="en-US" w:eastAsia="zh-CN"/>
              </w:rPr>
            </w:pPr>
            <w:r>
              <w:rPr>
                <w:rFonts w:hint="eastAsia"/>
                <w:b/>
                <w:bCs/>
                <w:color w:val="auto"/>
                <w:highlight w:val="none"/>
                <w:lang w:val="en-US" w:eastAsia="zh-CN"/>
              </w:rPr>
              <w:t>表2-2煤矿现有供暖设施环保手续履行情况及运行情况</w:t>
            </w:r>
          </w:p>
          <w:tbl>
            <w:tblPr>
              <w:tblStyle w:val="26"/>
              <w:tblW w:w="7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481"/>
              <w:gridCol w:w="825"/>
              <w:gridCol w:w="1045"/>
              <w:gridCol w:w="1103"/>
              <w:gridCol w:w="1361"/>
              <w:gridCol w:w="1068"/>
              <w:gridCol w:w="1635"/>
            </w:tblGrid>
            <w:tr w14:paraId="5CB6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961" w:type="dxa"/>
                  <w:gridSpan w:val="2"/>
                  <w:vAlign w:val="center"/>
                </w:tcPr>
                <w:p w14:paraId="276D0E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现有锅炉房</w:t>
                  </w:r>
                </w:p>
              </w:tc>
              <w:tc>
                <w:tcPr>
                  <w:tcW w:w="1870" w:type="dxa"/>
                  <w:gridSpan w:val="2"/>
                  <w:vAlign w:val="center"/>
                </w:tcPr>
                <w:p w14:paraId="59AD94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副工业场地南侧1个400㎡的锅炉房</w:t>
                  </w:r>
                </w:p>
              </w:tc>
              <w:tc>
                <w:tcPr>
                  <w:tcW w:w="2464" w:type="dxa"/>
                  <w:gridSpan w:val="2"/>
                  <w:vAlign w:val="center"/>
                </w:tcPr>
                <w:p w14:paraId="0DF908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副工业场地北侧1个400㎡的锅炉房</w:t>
                  </w:r>
                </w:p>
              </w:tc>
              <w:tc>
                <w:tcPr>
                  <w:tcW w:w="2703" w:type="dxa"/>
                  <w:gridSpan w:val="2"/>
                  <w:vAlign w:val="center"/>
                </w:tcPr>
                <w:p w14:paraId="53A391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东部风井场地新建1座400㎡的锅炉房</w:t>
                  </w:r>
                </w:p>
              </w:tc>
            </w:tr>
            <w:tr w14:paraId="6A59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480" w:type="dxa"/>
                  <w:vMerge w:val="restart"/>
                  <w:vAlign w:val="center"/>
                </w:tcPr>
                <w:p w14:paraId="28C0A1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环保手续履行情况</w:t>
                  </w:r>
                </w:p>
              </w:tc>
              <w:tc>
                <w:tcPr>
                  <w:tcW w:w="481" w:type="dxa"/>
                  <w:vAlign w:val="center"/>
                </w:tcPr>
                <w:p w14:paraId="385935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环评批复</w:t>
                  </w:r>
                </w:p>
              </w:tc>
              <w:tc>
                <w:tcPr>
                  <w:tcW w:w="1870" w:type="dxa"/>
                  <w:gridSpan w:val="2"/>
                  <w:vAlign w:val="center"/>
                </w:tcPr>
                <w:p w14:paraId="649008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2012年12月13日2取得《内蒙古自治区环境保护厅关于内蒙古伊泰煤炭股份有限公司凯达煤矿升级改造工程环境影响报告书批复》（内环审〔2012〕256号）环评批文</w:t>
                  </w:r>
                </w:p>
              </w:tc>
              <w:tc>
                <w:tcPr>
                  <w:tcW w:w="2464" w:type="dxa"/>
                  <w:gridSpan w:val="2"/>
                  <w:vAlign w:val="center"/>
                </w:tcPr>
                <w:p w14:paraId="4104FF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2022年7月15日取得《内蒙古自治区生态环境厅关于内蒙古伊泰煤炭股份有限公司凯达煤矿280万吨/年改扩建项目环境影响报告书的批复》（内环审〔2022〕22号）环评批文</w:t>
                  </w:r>
                  <w:r>
                    <w:rPr>
                      <w:rFonts w:hint="eastAsia"/>
                      <w:color w:val="auto"/>
                      <w:highlight w:val="none"/>
                      <w:lang w:val="en-US" w:eastAsia="zh-CN"/>
                    </w:rPr>
                    <w:t>。</w:t>
                  </w:r>
                </w:p>
              </w:tc>
              <w:tc>
                <w:tcPr>
                  <w:tcW w:w="2703" w:type="dxa"/>
                  <w:gridSpan w:val="2"/>
                  <w:vAlign w:val="center"/>
                </w:tcPr>
                <w:p w14:paraId="4ABB34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2023年11月22日，由鄂尔多斯市生态环境局准格尔旗分局以鄂环审字〔2023〕70号文件对《内蒙古伊泰煤炭股份有限公司凯达煤矿增设井筒项目环境影响报表》予以批复</w:t>
                  </w:r>
                </w:p>
              </w:tc>
            </w:tr>
            <w:tr w14:paraId="6F99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480" w:type="dxa"/>
                  <w:vMerge w:val="continue"/>
                  <w:vAlign w:val="center"/>
                </w:tcPr>
                <w:p w14:paraId="424307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p>
              </w:tc>
              <w:tc>
                <w:tcPr>
                  <w:tcW w:w="481" w:type="dxa"/>
                  <w:vAlign w:val="center"/>
                </w:tcPr>
                <w:p w14:paraId="2598DC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验收情况</w:t>
                  </w:r>
                </w:p>
              </w:tc>
              <w:tc>
                <w:tcPr>
                  <w:tcW w:w="1870" w:type="dxa"/>
                  <w:gridSpan w:val="2"/>
                  <w:vAlign w:val="center"/>
                </w:tcPr>
                <w:p w14:paraId="7592F8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2015年4月29日取得《鄂尔多斯市环境保护局关于内蒙古伊泰煤炭股份有限公司凯达煤矿升级改造工程竣工环境保护验收意见的通知》（鄂环监字〔201</w:t>
                  </w:r>
                  <w:r>
                    <w:rPr>
                      <w:rFonts w:hint="eastAsia"/>
                      <w:color w:val="auto"/>
                      <w:highlight w:val="none"/>
                      <w:lang w:val="en-US" w:eastAsia="zh-CN"/>
                    </w:rPr>
                    <w:t>5</w:t>
                  </w:r>
                  <w:r>
                    <w:rPr>
                      <w:rFonts w:hint="default"/>
                      <w:color w:val="auto"/>
                      <w:highlight w:val="none"/>
                      <w:lang w:val="en-US" w:eastAsia="zh-CN"/>
                    </w:rPr>
                    <w:t>〕36号）验收意见</w:t>
                  </w:r>
                </w:p>
              </w:tc>
              <w:tc>
                <w:tcPr>
                  <w:tcW w:w="2464" w:type="dxa"/>
                  <w:gridSpan w:val="2"/>
                  <w:vAlign w:val="center"/>
                </w:tcPr>
                <w:p w14:paraId="01D05B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2023年6月10日完成《内蒙古自治区生态环境厅关于内蒙古伊泰煤炭股份有限公司凯达煤矿280万吨/年改扩建项目》环境保护自主验收</w:t>
                  </w:r>
                </w:p>
              </w:tc>
              <w:tc>
                <w:tcPr>
                  <w:tcW w:w="2703" w:type="dxa"/>
                  <w:gridSpan w:val="2"/>
                  <w:vAlign w:val="center"/>
                </w:tcPr>
                <w:p w14:paraId="19FA36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default"/>
                      <w:color w:val="auto"/>
                      <w:highlight w:val="none"/>
                      <w:lang w:val="en-US" w:eastAsia="zh-CN"/>
                    </w:rPr>
                    <w:t>该项目尚未进行验收。</w:t>
                  </w:r>
                </w:p>
              </w:tc>
            </w:tr>
            <w:tr w14:paraId="7D36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1" w:type="dxa"/>
                  <w:gridSpan w:val="2"/>
                  <w:vMerge w:val="restart"/>
                  <w:vAlign w:val="center"/>
                </w:tcPr>
                <w:p w14:paraId="79DB68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环评批复供暖设施设置情况</w:t>
                  </w:r>
                </w:p>
              </w:tc>
              <w:tc>
                <w:tcPr>
                  <w:tcW w:w="825" w:type="dxa"/>
                  <w:vAlign w:val="center"/>
                </w:tcPr>
                <w:p w14:paraId="4E65E0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MF0001</w:t>
                  </w:r>
                </w:p>
              </w:tc>
              <w:tc>
                <w:tcPr>
                  <w:tcW w:w="1045" w:type="dxa"/>
                  <w:vAlign w:val="center"/>
                </w:tcPr>
                <w:p w14:paraId="2E323B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1台4th燃煤蒸汽锅</w:t>
                  </w:r>
                </w:p>
              </w:tc>
              <w:tc>
                <w:tcPr>
                  <w:tcW w:w="1103" w:type="dxa"/>
                  <w:vAlign w:val="center"/>
                </w:tcPr>
                <w:p w14:paraId="766B36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MF0003</w:t>
                  </w:r>
                </w:p>
              </w:tc>
              <w:tc>
                <w:tcPr>
                  <w:tcW w:w="1361" w:type="dxa"/>
                  <w:vAlign w:val="center"/>
                </w:tcPr>
                <w:p w14:paraId="253F67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1台4th燃煤蒸汽锅</w:t>
                  </w:r>
                </w:p>
              </w:tc>
              <w:tc>
                <w:tcPr>
                  <w:tcW w:w="1068" w:type="dxa"/>
                  <w:vAlign w:val="center"/>
                </w:tcPr>
                <w:p w14:paraId="76CFE9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MF0005</w:t>
                  </w:r>
                </w:p>
              </w:tc>
              <w:tc>
                <w:tcPr>
                  <w:tcW w:w="1635" w:type="dxa"/>
                  <w:vAlign w:val="center"/>
                </w:tcPr>
                <w:p w14:paraId="322CBC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南侧锅炉房新增1台15t/h的燃煤蒸汽锅炉</w:t>
                  </w:r>
                </w:p>
              </w:tc>
            </w:tr>
            <w:tr w14:paraId="209B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961" w:type="dxa"/>
                  <w:gridSpan w:val="2"/>
                  <w:vMerge w:val="continue"/>
                  <w:vAlign w:val="center"/>
                </w:tcPr>
                <w:p w14:paraId="7A3623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825" w:type="dxa"/>
                  <w:vAlign w:val="center"/>
                </w:tcPr>
                <w:p w14:paraId="416386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MF0002</w:t>
                  </w:r>
                </w:p>
              </w:tc>
              <w:tc>
                <w:tcPr>
                  <w:tcW w:w="1045" w:type="dxa"/>
                  <w:vAlign w:val="center"/>
                </w:tcPr>
                <w:p w14:paraId="42D54B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1台2th燃煤蒸汽锅炉</w:t>
                  </w:r>
                </w:p>
              </w:tc>
              <w:tc>
                <w:tcPr>
                  <w:tcW w:w="1103" w:type="dxa"/>
                  <w:vAlign w:val="center"/>
                </w:tcPr>
                <w:p w14:paraId="0B7D71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MF0004</w:t>
                  </w:r>
                </w:p>
              </w:tc>
              <w:tc>
                <w:tcPr>
                  <w:tcW w:w="1361" w:type="dxa"/>
                  <w:vAlign w:val="center"/>
                </w:tcPr>
                <w:p w14:paraId="257D39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1台4th燃煤蒸汽锅</w:t>
                  </w:r>
                </w:p>
              </w:tc>
              <w:tc>
                <w:tcPr>
                  <w:tcW w:w="1068" w:type="dxa"/>
                  <w:vAlign w:val="center"/>
                </w:tcPr>
                <w:p w14:paraId="2F1BF3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MF0006、MF0007</w:t>
                  </w:r>
                </w:p>
              </w:tc>
              <w:tc>
                <w:tcPr>
                  <w:tcW w:w="1635" w:type="dxa"/>
                  <w:vAlign w:val="center"/>
                </w:tcPr>
                <w:p w14:paraId="6DF8E7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2台12t/h的燃煤蒸汽锅炉</w:t>
                  </w:r>
                </w:p>
              </w:tc>
            </w:tr>
            <w:tr w14:paraId="3989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961" w:type="dxa"/>
                  <w:gridSpan w:val="2"/>
                  <w:vAlign w:val="center"/>
                </w:tcPr>
                <w:p w14:paraId="139568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验收运行情况</w:t>
                  </w:r>
                </w:p>
              </w:tc>
              <w:tc>
                <w:tcPr>
                  <w:tcW w:w="1870" w:type="dxa"/>
                  <w:gridSpan w:val="2"/>
                  <w:vAlign w:val="center"/>
                </w:tcPr>
                <w:p w14:paraId="4D2AB5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1台2th燃煤蒸汽锅炉、1台4t/h的</w:t>
                  </w:r>
                  <w:r>
                    <w:rPr>
                      <w:rFonts w:hint="default"/>
                      <w:color w:val="auto"/>
                      <w:highlight w:val="none"/>
                      <w:lang w:val="en-US" w:eastAsia="zh-CN"/>
                    </w:rPr>
                    <w:t>燃煤蒸汽锅</w:t>
                  </w:r>
                  <w:r>
                    <w:rPr>
                      <w:rFonts w:hint="eastAsia"/>
                      <w:color w:val="auto"/>
                      <w:highlight w:val="none"/>
                      <w:lang w:val="en-US" w:eastAsia="zh-CN"/>
                    </w:rPr>
                    <w:t>，与环评一致</w:t>
                  </w:r>
                </w:p>
              </w:tc>
              <w:tc>
                <w:tcPr>
                  <w:tcW w:w="2464" w:type="dxa"/>
                  <w:gridSpan w:val="2"/>
                  <w:vAlign w:val="center"/>
                </w:tcPr>
                <w:p w14:paraId="3B5F96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2台4t/h的燃煤蒸汽锅炉，与环评一致</w:t>
                  </w:r>
                </w:p>
              </w:tc>
              <w:tc>
                <w:tcPr>
                  <w:tcW w:w="2703" w:type="dxa"/>
                  <w:gridSpan w:val="2"/>
                  <w:vAlign w:val="center"/>
                </w:tcPr>
                <w:p w14:paraId="46668B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尚未验收。</w:t>
                  </w:r>
                </w:p>
              </w:tc>
            </w:tr>
            <w:tr w14:paraId="31C8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961" w:type="dxa"/>
                  <w:gridSpan w:val="2"/>
                  <w:vAlign w:val="center"/>
                </w:tcPr>
                <w:p w14:paraId="1DD12D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另外说明</w:t>
                  </w:r>
                </w:p>
              </w:tc>
              <w:tc>
                <w:tcPr>
                  <w:tcW w:w="7037" w:type="dxa"/>
                  <w:gridSpan w:val="6"/>
                  <w:vAlign w:val="center"/>
                </w:tcPr>
                <w:p w14:paraId="3B5C1B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2026年3月13日由内蒙古伊泰煤炭股份有限公司凯达煤矿以伊泰凯达发</w:t>
                  </w:r>
                  <w:r>
                    <w:rPr>
                      <w:rFonts w:hint="default"/>
                      <w:color w:val="auto"/>
                      <w:highlight w:val="none"/>
                      <w:lang w:val="en-US" w:eastAsia="zh-CN"/>
                    </w:rPr>
                    <w:t>〔20</w:t>
                  </w:r>
                  <w:r>
                    <w:rPr>
                      <w:rFonts w:hint="eastAsia"/>
                      <w:color w:val="auto"/>
                      <w:highlight w:val="none"/>
                      <w:lang w:val="en-US" w:eastAsia="zh-CN"/>
                    </w:rPr>
                    <w:t>26</w:t>
                  </w:r>
                  <w:r>
                    <w:rPr>
                      <w:rFonts w:hint="default"/>
                      <w:color w:val="auto"/>
                      <w:highlight w:val="none"/>
                      <w:lang w:val="en-US" w:eastAsia="zh-CN"/>
                    </w:rPr>
                    <w:t>〕</w:t>
                  </w:r>
                  <w:r>
                    <w:rPr>
                      <w:rFonts w:hint="eastAsia"/>
                      <w:color w:val="auto"/>
                      <w:highlight w:val="none"/>
                      <w:lang w:val="en-US" w:eastAsia="zh-CN"/>
                    </w:rPr>
                    <w:t>7号文出具煤矿锅炉使用情况说明，文件中指出，煤矿现有锅炉建设情况如下：受环保政策要求凯达选煤厂（现有3台10t/h的燃煤蒸汽锅炉）锅炉即将升级改造成1台40t/h的燃煤蒸汽锅炉（现正在办理方案设计及环评批复手续），能同时满足凯达选煤厂和凯达煤矿副井工业场地供热需求，因此待凯达选煤厂40t/h锅炉建成投入使用后，凯达煤矿新建的1台15t/h的燃煤锅炉不再建设，仅东部风井场内保留1台12t/h燃煤蒸汽锅（MF0006），其余全部拆除。</w:t>
                  </w:r>
                </w:p>
              </w:tc>
            </w:tr>
            <w:tr w14:paraId="7AE2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61" w:type="dxa"/>
                  <w:gridSpan w:val="2"/>
                  <w:vAlign w:val="center"/>
                </w:tcPr>
                <w:p w14:paraId="77C854C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后续煤矿实际锅炉运行情况</w:t>
                  </w:r>
                </w:p>
              </w:tc>
              <w:tc>
                <w:tcPr>
                  <w:tcW w:w="7037" w:type="dxa"/>
                  <w:gridSpan w:val="6"/>
                  <w:vAlign w:val="center"/>
                </w:tcPr>
                <w:p w14:paraId="7F8648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只保留1台12t/h的燃煤蒸汽锅炉，MF0006</w:t>
                  </w:r>
                </w:p>
              </w:tc>
            </w:tr>
            <w:tr w14:paraId="41FE4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961" w:type="dxa"/>
                  <w:gridSpan w:val="2"/>
                  <w:vAlign w:val="center"/>
                </w:tcPr>
                <w:p w14:paraId="7F9CD8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环保措施</w:t>
                  </w:r>
                </w:p>
              </w:tc>
              <w:tc>
                <w:tcPr>
                  <w:tcW w:w="1870" w:type="dxa"/>
                  <w:gridSpan w:val="2"/>
                  <w:vAlign w:val="center"/>
                </w:tcPr>
                <w:p w14:paraId="258CF3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布袋除尘器（TA001）+双碱脱硫除尘器（TA002）</w:t>
                  </w:r>
                  <w:r>
                    <w:rPr>
                      <w:rFonts w:hint="default"/>
                      <w:color w:val="auto"/>
                      <w:highlight w:val="none"/>
                      <w:lang w:val="en-US" w:eastAsia="zh-CN"/>
                    </w:rPr>
                    <w:t>处理后通过4</w:t>
                  </w:r>
                  <w:r>
                    <w:rPr>
                      <w:rFonts w:hint="eastAsia"/>
                      <w:color w:val="auto"/>
                      <w:highlight w:val="none"/>
                      <w:lang w:val="en-US" w:eastAsia="zh-CN"/>
                    </w:rPr>
                    <w:t>5</w:t>
                  </w:r>
                  <w:r>
                    <w:rPr>
                      <w:rFonts w:hint="default"/>
                      <w:color w:val="auto"/>
                      <w:highlight w:val="none"/>
                      <w:lang w:val="en-US" w:eastAsia="zh-CN"/>
                    </w:rPr>
                    <w:t>m高</w:t>
                  </w:r>
                  <w:r>
                    <w:rPr>
                      <w:rFonts w:hint="eastAsia"/>
                      <w:color w:val="auto"/>
                      <w:highlight w:val="none"/>
                      <w:lang w:val="en-US" w:eastAsia="zh-CN"/>
                    </w:rPr>
                    <w:t>排气筒排放（DA001）</w:t>
                  </w:r>
                </w:p>
              </w:tc>
              <w:tc>
                <w:tcPr>
                  <w:tcW w:w="2464" w:type="dxa"/>
                  <w:gridSpan w:val="2"/>
                  <w:vAlign w:val="center"/>
                </w:tcPr>
                <w:p w14:paraId="1B46F0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布袋除尘器（TA002）+双碱脱硫除尘器（TA002）</w:t>
                  </w:r>
                  <w:r>
                    <w:rPr>
                      <w:rFonts w:hint="default"/>
                      <w:color w:val="auto"/>
                      <w:highlight w:val="none"/>
                      <w:lang w:val="en-US" w:eastAsia="zh-CN"/>
                    </w:rPr>
                    <w:t>处理后通过4</w:t>
                  </w:r>
                  <w:r>
                    <w:rPr>
                      <w:rFonts w:hint="eastAsia"/>
                      <w:color w:val="auto"/>
                      <w:highlight w:val="none"/>
                      <w:lang w:val="en-US" w:eastAsia="zh-CN"/>
                    </w:rPr>
                    <w:t>5</w:t>
                  </w:r>
                  <w:r>
                    <w:rPr>
                      <w:rFonts w:hint="default"/>
                      <w:color w:val="auto"/>
                      <w:highlight w:val="none"/>
                      <w:lang w:val="en-US" w:eastAsia="zh-CN"/>
                    </w:rPr>
                    <w:t>m高</w:t>
                  </w:r>
                  <w:r>
                    <w:rPr>
                      <w:rFonts w:hint="eastAsia"/>
                      <w:color w:val="auto"/>
                      <w:highlight w:val="none"/>
                      <w:lang w:val="en-US" w:eastAsia="zh-CN"/>
                    </w:rPr>
                    <w:t>排气筒排放（DA001）</w:t>
                  </w:r>
                </w:p>
              </w:tc>
              <w:tc>
                <w:tcPr>
                  <w:tcW w:w="2703" w:type="dxa"/>
                  <w:gridSpan w:val="2"/>
                  <w:vAlign w:val="center"/>
                </w:tcPr>
                <w:p w14:paraId="54E80E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采用布袋除尘器</w:t>
                  </w:r>
                  <w:r>
                    <w:rPr>
                      <w:rFonts w:hint="eastAsia"/>
                      <w:color w:val="auto"/>
                      <w:highlight w:val="none"/>
                      <w:lang w:val="en-US" w:eastAsia="zh-CN"/>
                    </w:rPr>
                    <w:t>（TA003）</w:t>
                  </w:r>
                  <w:r>
                    <w:rPr>
                      <w:rFonts w:hint="default"/>
                      <w:color w:val="auto"/>
                      <w:highlight w:val="none"/>
                      <w:lang w:val="en-US" w:eastAsia="zh-CN"/>
                    </w:rPr>
                    <w:t>+双碱脱硫除尘器</w:t>
                  </w:r>
                  <w:r>
                    <w:rPr>
                      <w:rFonts w:hint="eastAsia"/>
                      <w:color w:val="auto"/>
                      <w:highlight w:val="none"/>
                      <w:lang w:val="en-US" w:eastAsia="zh-CN"/>
                    </w:rPr>
                    <w:t>（TA004）</w:t>
                  </w:r>
                  <w:r>
                    <w:rPr>
                      <w:rFonts w:hint="default"/>
                      <w:color w:val="auto"/>
                      <w:highlight w:val="none"/>
                      <w:lang w:val="en-US" w:eastAsia="zh-CN"/>
                    </w:rPr>
                    <w:t>尘处理后通过4</w:t>
                  </w:r>
                  <w:r>
                    <w:rPr>
                      <w:rFonts w:hint="eastAsia"/>
                      <w:color w:val="auto"/>
                      <w:highlight w:val="none"/>
                      <w:lang w:val="en-US" w:eastAsia="zh-CN"/>
                    </w:rPr>
                    <w:t>0</w:t>
                  </w:r>
                  <w:r>
                    <w:rPr>
                      <w:rFonts w:hint="default"/>
                      <w:color w:val="auto"/>
                      <w:highlight w:val="none"/>
                      <w:lang w:val="en-US" w:eastAsia="zh-CN"/>
                    </w:rPr>
                    <w:t>m高</w:t>
                  </w:r>
                  <w:r>
                    <w:rPr>
                      <w:rFonts w:hint="eastAsia"/>
                      <w:color w:val="auto"/>
                      <w:highlight w:val="none"/>
                      <w:lang w:val="en-US" w:eastAsia="zh-CN"/>
                    </w:rPr>
                    <w:t>排气筒排放（DA002）</w:t>
                  </w:r>
                </w:p>
              </w:tc>
            </w:tr>
            <w:tr w14:paraId="36DA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961" w:type="dxa"/>
                  <w:gridSpan w:val="2"/>
                  <w:vAlign w:val="center"/>
                </w:tcPr>
                <w:p w14:paraId="6828A7A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总量指标</w:t>
                  </w:r>
                </w:p>
              </w:tc>
              <w:tc>
                <w:tcPr>
                  <w:tcW w:w="1870" w:type="dxa"/>
                  <w:gridSpan w:val="2"/>
                  <w:vAlign w:val="center"/>
                </w:tcPr>
                <w:p w14:paraId="6CA339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w:t>
                  </w:r>
                </w:p>
              </w:tc>
              <w:tc>
                <w:tcPr>
                  <w:tcW w:w="2464" w:type="dxa"/>
                  <w:gridSpan w:val="2"/>
                  <w:vAlign w:val="center"/>
                </w:tcPr>
                <w:p w14:paraId="037DC1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w:t>
                  </w:r>
                </w:p>
              </w:tc>
              <w:tc>
                <w:tcPr>
                  <w:tcW w:w="2703" w:type="dxa"/>
                  <w:gridSpan w:val="2"/>
                  <w:vAlign w:val="center"/>
                </w:tcPr>
                <w:p w14:paraId="1F2A3F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2023年11月6日，鄂尔多斯市生态环境局以鄂环气字</w:t>
                  </w:r>
                  <w:r>
                    <w:rPr>
                      <w:rFonts w:hint="default"/>
                      <w:color w:val="auto"/>
                      <w:highlight w:val="none"/>
                      <w:lang w:val="en-US" w:eastAsia="zh-CN"/>
                    </w:rPr>
                    <w:t>〔20</w:t>
                  </w:r>
                  <w:r>
                    <w:rPr>
                      <w:rFonts w:hint="eastAsia"/>
                      <w:color w:val="auto"/>
                      <w:highlight w:val="none"/>
                      <w:lang w:val="en-US" w:eastAsia="zh-CN"/>
                    </w:rPr>
                    <w:t>23</w:t>
                  </w:r>
                  <w:r>
                    <w:rPr>
                      <w:rFonts w:hint="default"/>
                      <w:color w:val="auto"/>
                      <w:highlight w:val="none"/>
                      <w:lang w:val="en-US" w:eastAsia="zh-CN"/>
                    </w:rPr>
                    <w:t>〕</w:t>
                  </w:r>
                  <w:r>
                    <w:rPr>
                      <w:rFonts w:hint="eastAsia"/>
                      <w:color w:val="auto"/>
                      <w:highlight w:val="none"/>
                      <w:lang w:val="en-US" w:eastAsia="zh-CN"/>
                    </w:rPr>
                    <w:t>65号出具《内蒙古伊泰煤炭股份有限公司凯达煤矿增设井筒项目大气主要污染物排放总量指标确认意见的函》，文件中给出本项目总量指标二氧化硫和氮氧化物总量指标分别为44.41吨和45.92吨</w:t>
                  </w:r>
                </w:p>
              </w:tc>
            </w:tr>
            <w:tr w14:paraId="0364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1" w:type="dxa"/>
                  <w:gridSpan w:val="2"/>
                  <w:vAlign w:val="center"/>
                </w:tcPr>
                <w:p w14:paraId="0C4FA5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耗煤量</w:t>
                  </w:r>
                </w:p>
              </w:tc>
              <w:tc>
                <w:tcPr>
                  <w:tcW w:w="1870" w:type="dxa"/>
                  <w:gridSpan w:val="2"/>
                  <w:vAlign w:val="center"/>
                </w:tcPr>
                <w:p w14:paraId="5F6C8CD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8640吨</w:t>
                  </w:r>
                </w:p>
              </w:tc>
              <w:tc>
                <w:tcPr>
                  <w:tcW w:w="2464" w:type="dxa"/>
                  <w:gridSpan w:val="2"/>
                  <w:vAlign w:val="center"/>
                </w:tcPr>
                <w:p w14:paraId="68B9FC3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840吨</w:t>
                  </w:r>
                </w:p>
              </w:tc>
              <w:tc>
                <w:tcPr>
                  <w:tcW w:w="2703" w:type="dxa"/>
                  <w:gridSpan w:val="2"/>
                  <w:vAlign w:val="center"/>
                </w:tcPr>
                <w:p w14:paraId="35966A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9678吨</w:t>
                  </w:r>
                </w:p>
              </w:tc>
            </w:tr>
            <w:tr w14:paraId="44EF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1" w:type="dxa"/>
                  <w:gridSpan w:val="2"/>
                  <w:vAlign w:val="center"/>
                </w:tcPr>
                <w:p w14:paraId="3EA8AF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供水工程</w:t>
                  </w:r>
                </w:p>
              </w:tc>
              <w:tc>
                <w:tcPr>
                  <w:tcW w:w="7037" w:type="dxa"/>
                  <w:gridSpan w:val="6"/>
                  <w:vAlign w:val="center"/>
                </w:tcPr>
                <w:p w14:paraId="644B35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新鲜用水由科源水务公司供水工程</w:t>
                  </w:r>
                </w:p>
              </w:tc>
            </w:tr>
            <w:tr w14:paraId="017AC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61" w:type="dxa"/>
                  <w:gridSpan w:val="2"/>
                  <w:vAlign w:val="center"/>
                </w:tcPr>
                <w:p w14:paraId="456E60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排水工程</w:t>
                  </w:r>
                </w:p>
              </w:tc>
              <w:tc>
                <w:tcPr>
                  <w:tcW w:w="7037" w:type="dxa"/>
                  <w:gridSpan w:val="6"/>
                  <w:vAlign w:val="center"/>
                </w:tcPr>
                <w:p w14:paraId="7FD9D0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锅炉废水、软化设备废水分别用于储煤棚、渣棚及矿区空地洒水降尘使用，水浴加碱工段水循环使用，不外排。</w:t>
                  </w:r>
                </w:p>
              </w:tc>
            </w:tr>
            <w:tr w14:paraId="307D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61" w:type="dxa"/>
                  <w:gridSpan w:val="2"/>
                  <w:vAlign w:val="center"/>
                </w:tcPr>
                <w:p w14:paraId="73878B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供热单元</w:t>
                  </w:r>
                </w:p>
              </w:tc>
              <w:tc>
                <w:tcPr>
                  <w:tcW w:w="4334" w:type="dxa"/>
                  <w:gridSpan w:val="4"/>
                  <w:vAlign w:val="center"/>
                </w:tcPr>
                <w:p w14:paraId="6C562D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副工业场地</w:t>
                  </w:r>
                </w:p>
              </w:tc>
              <w:tc>
                <w:tcPr>
                  <w:tcW w:w="2703" w:type="dxa"/>
                  <w:gridSpan w:val="2"/>
                  <w:vAlign w:val="center"/>
                </w:tcPr>
                <w:p w14:paraId="52D2ACD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东部风井场地</w:t>
                  </w:r>
                </w:p>
              </w:tc>
            </w:tr>
            <w:tr w14:paraId="0BB8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961" w:type="dxa"/>
                  <w:gridSpan w:val="2"/>
                  <w:vAlign w:val="center"/>
                </w:tcPr>
                <w:p w14:paraId="274F43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固废处置措施</w:t>
                  </w:r>
                </w:p>
              </w:tc>
              <w:tc>
                <w:tcPr>
                  <w:tcW w:w="7037" w:type="dxa"/>
                  <w:gridSpan w:val="6"/>
                  <w:vAlign w:val="center"/>
                </w:tcPr>
                <w:p w14:paraId="6B1F4F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锅炉灰渣、水浴除尘底泥经收集后存于渣棚，与水泥、混凝土混掺后用于本项目地面道路及排洪渠修补等地面工程自行利用。</w:t>
                  </w:r>
                </w:p>
              </w:tc>
            </w:tr>
          </w:tbl>
          <w:p w14:paraId="4B8176BF">
            <w:pPr>
              <w:bidi w:val="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4.项目由来</w:t>
            </w:r>
          </w:p>
          <w:p w14:paraId="4A9F8E0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根据《产业结构调整指导目录（2024年本）》，每小时10蒸吨及以下的燃煤锅炉、</w:t>
            </w:r>
            <w:r>
              <w:rPr>
                <w:rFonts w:hint="default" w:ascii="Times New Roman" w:hAnsi="Times New Roman" w:cs="Times New Roman"/>
                <w:color w:val="auto"/>
                <w:highlight w:val="none"/>
                <w:lang w:val="en-US" w:eastAsia="zh-CN"/>
              </w:rPr>
              <w:t>每小时35蒸吨及以下燃煤锅炉（大气污染防治重点区域）</w:t>
            </w:r>
            <w:r>
              <w:rPr>
                <w:rFonts w:hint="default" w:ascii="Times New Roman" w:hAnsi="Times New Roman" w:cs="Times New Roman"/>
                <w:color w:val="auto"/>
                <w:sz w:val="24"/>
                <w:szCs w:val="24"/>
                <w:highlight w:val="none"/>
                <w:lang w:val="en-US" w:eastAsia="zh-CN"/>
              </w:rPr>
              <w:t>为淘汰类设备，故</w:t>
            </w:r>
            <w:r>
              <w:rPr>
                <w:rFonts w:hint="default" w:ascii="Times New Roman" w:hAnsi="Times New Roman" w:cs="Times New Roman"/>
                <w:color w:val="auto"/>
                <w:highlight w:val="none"/>
                <w:lang w:val="en-US" w:eastAsia="zh-CN"/>
              </w:rPr>
              <w:t>内蒙古伊泰煤炭股份有限公司凯达选煤厂将现有的3台10t/h的燃煤蒸汽锅炉进行拆除淘汰，内蒙古伊泰煤炭股份有限公司凯达煤矿将现有锅炉仅保留1台12t/h的燃煤蒸汽锅炉其他全部拆除淘汰。</w:t>
            </w:r>
          </w:p>
          <w:p w14:paraId="4CC94BDF">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故建设单位内蒙古伊泰煤炭股份有限公司拟利用选煤厂现有一座798㎡的锅炉房新建1座40t/h的燃煤蒸汽锅炉用于选煤厂及煤矿供热，选煤厂与煤矿的井田范围关系图见附图4，选煤厂厂界范围基本</w:t>
            </w:r>
            <w:r>
              <w:rPr>
                <w:rFonts w:hint="eastAsia" w:cs="Times New Roman"/>
                <w:color w:val="auto"/>
                <w:highlight w:val="none"/>
                <w:lang w:val="en-US" w:eastAsia="zh-CN"/>
              </w:rPr>
              <w:t>均</w:t>
            </w:r>
            <w:r>
              <w:rPr>
                <w:rFonts w:hint="default" w:ascii="Times New Roman" w:hAnsi="Times New Roman" w:cs="Times New Roman"/>
                <w:color w:val="auto"/>
                <w:highlight w:val="none"/>
                <w:lang w:val="en-US" w:eastAsia="zh-CN"/>
              </w:rPr>
              <w:t>位于煤矿井田范围内，供热方式采用铺设供热管网进行供热，煤矿与选煤厂签订供热协议，供热协议见附件8。</w:t>
            </w:r>
          </w:p>
          <w:p w14:paraId="7D24CF4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建设项目环境影响评价分类管理名录》（2021年版），本项目属于四十一、热力生产和供应业91、热力生产和供应工程（包括建设单位自建自用的供热工程），应编制环境影响评价报告表。因此，建设单位委托我公司承担了本项目的环境影响评价工作。接到委托后。我单位第一时间进行现场踏勘、必要的现状监测及工程分析，依据《建设项目环境影响报告表编制技术指南（污染影响类）（试行）》以及其他相关标准规范的要求编制完成了本项目的环境影响评价报告表。</w:t>
            </w:r>
          </w:p>
          <w:p w14:paraId="03514DF3">
            <w:pPr>
              <w:adjustRightInd w:val="0"/>
              <w:snapToGrid w:val="0"/>
              <w:jc w:val="both"/>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二、扩建项目概况</w:t>
            </w:r>
          </w:p>
          <w:p w14:paraId="77B956F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项目名称：</w:t>
            </w:r>
            <w:r>
              <w:rPr>
                <w:rFonts w:hint="eastAsia" w:cs="Times New Roman"/>
                <w:color w:val="auto"/>
                <w:highlight w:val="none"/>
                <w:lang w:val="en-US" w:eastAsia="zh-CN"/>
              </w:rPr>
              <w:t>内蒙古伊泰煤炭股份有限公司凯达选煤厂锅炉建设项目</w:t>
            </w:r>
          </w:p>
          <w:p w14:paraId="52696D4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建设性质：改</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扩建</w:t>
            </w:r>
          </w:p>
          <w:p w14:paraId="5504FDC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建设单位：内蒙古伊泰煤炭股份有限公司</w:t>
            </w:r>
          </w:p>
          <w:p w14:paraId="6FEAB60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建设地点：内蒙古自治区鄂尔多斯市准格尔旗纳日松镇，内蒙古伊泰煤炭股份有限公司凯达选煤厂内建设，项目中心地理坐标为：E110°36′32.233″，N39°21′54.199″。</w:t>
            </w:r>
          </w:p>
          <w:p w14:paraId="377DA0D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占地面积：利用现有选煤厂的锅炉房，建筑面积为798㎡，无新增占地，</w:t>
            </w:r>
            <w:r>
              <w:rPr>
                <w:rFonts w:hint="eastAsia" w:cs="Times New Roman"/>
                <w:color w:val="auto"/>
                <w:highlight w:val="none"/>
                <w:lang w:val="en-US" w:eastAsia="zh-CN"/>
              </w:rPr>
              <w:t>拟</w:t>
            </w:r>
            <w:r>
              <w:rPr>
                <w:rFonts w:hint="default" w:ascii="Times New Roman" w:hAnsi="Times New Roman" w:cs="Times New Roman"/>
                <w:color w:val="auto"/>
                <w:highlight w:val="none"/>
                <w:lang w:val="en-US" w:eastAsia="zh-CN"/>
              </w:rPr>
              <w:t>新建一台DZL40-1.25-AII型40t/h的燃煤蒸汽锅炉。</w:t>
            </w:r>
          </w:p>
          <w:p w14:paraId="334CF61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劳动定员及工作制度：本项目劳动定员为3人，从厂区现有劳动定员内调配，新建锅炉仅用于采暖期运行，年运行182天，（当年10月15日至次年4月15日），日运行24h，年运行4368h。</w:t>
            </w:r>
          </w:p>
          <w:p w14:paraId="38C540E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项目投资情况：本项目总投资金额为</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700万元，其中环保投资金额为732万元，占总投资金额为</w:t>
            </w:r>
            <w:r>
              <w:rPr>
                <w:rFonts w:hint="eastAsia" w:cs="Times New Roman"/>
                <w:color w:val="auto"/>
                <w:highlight w:val="none"/>
                <w:lang w:val="en-US" w:eastAsia="zh-CN"/>
              </w:rPr>
              <w:t>27.11%</w:t>
            </w:r>
            <w:r>
              <w:rPr>
                <w:rFonts w:hint="default" w:ascii="Times New Roman" w:hAnsi="Times New Roman" w:cs="Times New Roman"/>
                <w:color w:val="auto"/>
                <w:highlight w:val="none"/>
                <w:lang w:val="en-US" w:eastAsia="zh-CN"/>
              </w:rPr>
              <w:t>。</w:t>
            </w:r>
          </w:p>
          <w:p w14:paraId="112ACF3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内容及规模：利用现有选煤厂798㎡的锅炉房，拆除现有的3台SZL10-1.25-AII型10t/h的燃煤蒸汽锅炉，新建1台型号为DZL40-1.6-AII型40t/h的燃煤蒸汽锅炉，配套建设除尘系统、脱硝系统、脱硫系统，烟气处理工艺采用“SNCR＋SCR联合法脱硝+布袋除尘器处理+</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”，烟气处理后经现有的1根50m，烟囱出口直径为1.4m的根排气筒（选煤厂排气筒DA001）排放。</w:t>
            </w:r>
          </w:p>
          <w:p w14:paraId="3AC050E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仅在采暖期进行运行，为凯达煤矿、选煤厂的主、副井工业场地，厂区生产区及生活区采暖期供暖，非采暖期不运行。燃料为凯达煤矿的末煤。非采暖期采用厂区内的4套47-1550型太阳能热水器供应洗浴。项目组成建设内容见下表2-1。</w:t>
            </w:r>
          </w:p>
          <w:p w14:paraId="2A003FCC">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表2-1项目组成及建设内容一览表</w:t>
            </w:r>
          </w:p>
          <w:tbl>
            <w:tblPr>
              <w:tblStyle w:val="26"/>
              <w:tblW w:w="7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767"/>
              <w:gridCol w:w="2320"/>
              <w:gridCol w:w="2892"/>
              <w:gridCol w:w="1308"/>
            </w:tblGrid>
            <w:tr w14:paraId="5DAF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0" w:type="dxa"/>
                  <w:noWrap w:val="0"/>
                  <w:vAlign w:val="center"/>
                </w:tcPr>
                <w:p w14:paraId="43CA39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767" w:type="dxa"/>
                  <w:noWrap w:val="0"/>
                  <w:vAlign w:val="center"/>
                </w:tcPr>
                <w:p w14:paraId="7F18B0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项目组成</w:t>
                  </w:r>
                </w:p>
              </w:tc>
              <w:tc>
                <w:tcPr>
                  <w:tcW w:w="2320" w:type="dxa"/>
                  <w:noWrap w:val="0"/>
                  <w:vAlign w:val="center"/>
                </w:tcPr>
                <w:p w14:paraId="6837AB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现有工程内容</w:t>
                  </w:r>
                </w:p>
              </w:tc>
              <w:tc>
                <w:tcPr>
                  <w:tcW w:w="2892" w:type="dxa"/>
                  <w:noWrap w:val="0"/>
                  <w:vAlign w:val="center"/>
                </w:tcPr>
                <w:p w14:paraId="62D3FE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改扩建</w:t>
                  </w:r>
                  <w:r>
                    <w:rPr>
                      <w:rFonts w:hint="default" w:ascii="Times New Roman" w:hAnsi="Times New Roman" w:cs="Times New Roman"/>
                      <w:color w:val="auto"/>
                      <w:highlight w:val="none"/>
                    </w:rPr>
                    <w:t>工程内容</w:t>
                  </w:r>
                </w:p>
              </w:tc>
              <w:tc>
                <w:tcPr>
                  <w:tcW w:w="1308" w:type="dxa"/>
                  <w:noWrap w:val="0"/>
                  <w:vAlign w:val="center"/>
                </w:tcPr>
                <w:p w14:paraId="4ABBA2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38EB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0" w:type="dxa"/>
                  <w:vMerge w:val="restart"/>
                  <w:noWrap w:val="0"/>
                  <w:vAlign w:val="center"/>
                </w:tcPr>
                <w:p w14:paraId="0720CB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767" w:type="dxa"/>
                  <w:noWrap w:val="0"/>
                  <w:vAlign w:val="center"/>
                </w:tcPr>
                <w:p w14:paraId="459EBA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锅炉房</w:t>
                  </w:r>
                </w:p>
              </w:tc>
              <w:tc>
                <w:tcPr>
                  <w:tcW w:w="2320" w:type="dxa"/>
                  <w:noWrap w:val="0"/>
                  <w:vAlign w:val="center"/>
                </w:tcPr>
                <w:p w14:paraId="1DF5923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选煤厂现有3台10t/h的燃煤蒸汽锅炉。锅炉房1座，建筑面积为798㎡。锅炉烟气除尘脱硫系统选用麻石水膜加NaOH碱液脱硫除尘，净化后的烟气经高度50m，出口直径为1.4m的砖砌烟囱（DA001）排入大气。</w:t>
                  </w:r>
                </w:p>
              </w:tc>
              <w:tc>
                <w:tcPr>
                  <w:tcW w:w="2892" w:type="dxa"/>
                  <w:noWrap w:val="0"/>
                  <w:vAlign w:val="center"/>
                </w:tcPr>
                <w:p w14:paraId="3E2C3F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本项目利用现有锅炉房，建筑面积为798㎡，拆除现有的3台10t/h燃煤锅炉，新建1座40t/h的燃煤蒸汽锅炉，所有设备均为新购。SNCR＋SCR联合法脱硝+布袋除尘器处理+</w:t>
                  </w:r>
                  <w:r>
                    <w:rPr>
                      <w:rFonts w:hint="eastAsia" w:ascii="Times New Roman" w:hAnsi="Times New Roman" w:cs="Times New Roman"/>
                      <w:color w:val="auto"/>
                      <w:highlight w:val="none"/>
                      <w:lang w:val="en-US" w:eastAsia="zh-CN"/>
                    </w:rPr>
                    <w:t>双碱法脱硫</w:t>
                  </w:r>
                  <w:r>
                    <w:rPr>
                      <w:rFonts w:hint="default" w:ascii="Times New Roman" w:hAnsi="Times New Roman" w:cs="Times New Roman"/>
                      <w:color w:val="auto"/>
                      <w:highlight w:val="none"/>
                      <w:lang w:val="en-US" w:eastAsia="zh-CN"/>
                    </w:rPr>
                    <w:t>”，烟气处理后经现有的1根50m，烟囱出口直径为1.4m的根排气筒（选煤厂排气筒DA001）排放。</w:t>
                  </w:r>
                </w:p>
              </w:tc>
              <w:tc>
                <w:tcPr>
                  <w:tcW w:w="1308" w:type="dxa"/>
                  <w:noWrap w:val="0"/>
                  <w:vAlign w:val="center"/>
                </w:tcPr>
                <w:p w14:paraId="1AEB0D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厂房依托+拆除3台10t/h的燃煤锅炉，新建1台40t/h的燃煤蒸汽锅炉，排气筒依托选煤厂现有锅炉房现有排气筒。</w:t>
                  </w:r>
                </w:p>
              </w:tc>
            </w:tr>
            <w:tr w14:paraId="7CDC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8" w:hRule="atLeast"/>
              </w:trPr>
              <w:tc>
                <w:tcPr>
                  <w:tcW w:w="670" w:type="dxa"/>
                  <w:vMerge w:val="continue"/>
                  <w:noWrap w:val="0"/>
                  <w:vAlign w:val="center"/>
                </w:tcPr>
                <w:p w14:paraId="6A47F9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400106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w:t>
                  </w:r>
                </w:p>
              </w:tc>
              <w:tc>
                <w:tcPr>
                  <w:tcW w:w="2320" w:type="dxa"/>
                  <w:noWrap w:val="0"/>
                  <w:vAlign w:val="center"/>
                </w:tcPr>
                <w:p w14:paraId="77E91C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w:t>
                  </w:r>
                </w:p>
              </w:tc>
              <w:tc>
                <w:tcPr>
                  <w:tcW w:w="2892" w:type="dxa"/>
                  <w:noWrap w:val="0"/>
                  <w:vAlign w:val="center"/>
                </w:tcPr>
                <w:p w14:paraId="2543E9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采用SNCR+SCR脱硝工艺，脱硝催化剂为钒钛系蜂窝状催化剂，还原剂采用尿素，由尿素储存与输送系统、稀释混合系统、溶液喷射系统及相应配套辅助的消防系统、电气系统、控制系统等组成。</w:t>
                  </w:r>
                </w:p>
              </w:tc>
              <w:tc>
                <w:tcPr>
                  <w:tcW w:w="1308" w:type="dxa"/>
                  <w:noWrap w:val="0"/>
                  <w:vAlign w:val="center"/>
                </w:tcPr>
                <w:p w14:paraId="682A29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w:t>
                  </w:r>
                </w:p>
              </w:tc>
            </w:tr>
            <w:tr w14:paraId="2E7C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0" w:type="dxa"/>
                  <w:vMerge w:val="continue"/>
                  <w:noWrap w:val="0"/>
                  <w:vAlign w:val="center"/>
                </w:tcPr>
                <w:p w14:paraId="5EB5D4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39867C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除尘系统</w:t>
                  </w:r>
                </w:p>
              </w:tc>
              <w:tc>
                <w:tcPr>
                  <w:tcW w:w="2320" w:type="dxa"/>
                  <w:vMerge w:val="restart"/>
                  <w:noWrap w:val="0"/>
                  <w:vAlign w:val="center"/>
                </w:tcPr>
                <w:p w14:paraId="1763C7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选用麻石水膜加NaOH碱液脱硫除尘</w:t>
                  </w:r>
                </w:p>
              </w:tc>
              <w:tc>
                <w:tcPr>
                  <w:tcW w:w="2892" w:type="dxa"/>
                  <w:noWrap w:val="0"/>
                  <w:vAlign w:val="center"/>
                </w:tcPr>
                <w:p w14:paraId="48FF11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设置一个布袋除尘器，布袋除尘器下部设气力仓泵输灰系统，经输灰管道将灰输送到灰库内，输送气源采用压缩空气。</w:t>
                  </w:r>
                </w:p>
              </w:tc>
              <w:tc>
                <w:tcPr>
                  <w:tcW w:w="1308" w:type="dxa"/>
                  <w:noWrap w:val="0"/>
                  <w:vAlign w:val="center"/>
                </w:tcPr>
                <w:p w14:paraId="634489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w:t>
                  </w:r>
                </w:p>
              </w:tc>
            </w:tr>
            <w:tr w14:paraId="4C89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0" w:type="dxa"/>
                  <w:vMerge w:val="continue"/>
                  <w:noWrap w:val="0"/>
                  <w:vAlign w:val="center"/>
                </w:tcPr>
                <w:p w14:paraId="57FB9F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63E041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w:t>
                  </w:r>
                </w:p>
              </w:tc>
              <w:tc>
                <w:tcPr>
                  <w:tcW w:w="2320" w:type="dxa"/>
                  <w:vMerge w:val="continue"/>
                  <w:noWrap w:val="0"/>
                  <w:vAlign w:val="center"/>
                </w:tcPr>
                <w:p w14:paraId="1864A4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2892" w:type="dxa"/>
                  <w:noWrap w:val="0"/>
                  <w:vAlign w:val="center"/>
                </w:tcPr>
                <w:p w14:paraId="0CE0FE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新建脱硫设施，拟采用</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，脱硫剂为氢氧化钠</w:t>
                  </w:r>
                  <w:r>
                    <w:rPr>
                      <w:rFonts w:hint="eastAsia" w:cs="Times New Roman"/>
                      <w:color w:val="auto"/>
                      <w:highlight w:val="none"/>
                      <w:lang w:val="en-US" w:eastAsia="zh-CN"/>
                    </w:rPr>
                    <w:t>及熟石灰</w:t>
                  </w:r>
                  <w:r>
                    <w:rPr>
                      <w:rFonts w:hint="default" w:ascii="Times New Roman" w:hAnsi="Times New Roman" w:cs="Times New Roman"/>
                      <w:color w:val="auto"/>
                      <w:highlight w:val="none"/>
                      <w:lang w:val="en-US" w:eastAsia="zh-CN"/>
                    </w:rPr>
                    <w:t>。</w:t>
                  </w:r>
                </w:p>
              </w:tc>
              <w:tc>
                <w:tcPr>
                  <w:tcW w:w="1308" w:type="dxa"/>
                  <w:noWrap w:val="0"/>
                  <w:vAlign w:val="center"/>
                </w:tcPr>
                <w:p w14:paraId="38998F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新建一座90m³的脱硫循环水池</w:t>
                  </w:r>
                </w:p>
              </w:tc>
            </w:tr>
            <w:tr w14:paraId="5D4B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0" w:type="dxa"/>
                  <w:vMerge w:val="continue"/>
                  <w:noWrap w:val="0"/>
                  <w:vAlign w:val="center"/>
                </w:tcPr>
                <w:p w14:paraId="7E1BD20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044EDD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软水制备系统</w:t>
                  </w:r>
                </w:p>
              </w:tc>
              <w:tc>
                <w:tcPr>
                  <w:tcW w:w="2320" w:type="dxa"/>
                  <w:noWrap w:val="0"/>
                  <w:vAlign w:val="center"/>
                </w:tcPr>
                <w:p w14:paraId="0DD97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w:t>
                  </w:r>
                </w:p>
              </w:tc>
              <w:tc>
                <w:tcPr>
                  <w:tcW w:w="2892" w:type="dxa"/>
                  <w:noWrap w:val="0"/>
                  <w:vAlign w:val="center"/>
                </w:tcPr>
                <w:p w14:paraId="14FB99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设置1套软水制备系统，软水制备效率为</w:t>
                  </w:r>
                  <w:r>
                    <w:rPr>
                      <w:rFonts w:hint="default" w:ascii="Times New Roman" w:hAnsi="Times New Roman" w:cs="Times New Roman"/>
                      <w:color w:val="auto"/>
                      <w:highlight w:val="none"/>
                      <w:lang w:val="en-US" w:eastAsia="zh-CN"/>
                    </w:rPr>
                    <w:t>80</w:t>
                  </w:r>
                  <w:r>
                    <w:rPr>
                      <w:rFonts w:hint="default" w:ascii="Times New Roman" w:hAnsi="Times New Roman" w:cs="Times New Roman"/>
                      <w:color w:val="auto"/>
                      <w:highlight w:val="none"/>
                    </w:rPr>
                    <w:t>%。软水制备采取钠离子交换树脂的工艺，用于</w:t>
                  </w:r>
                  <w:r>
                    <w:rPr>
                      <w:rFonts w:hint="default" w:ascii="Times New Roman" w:hAnsi="Times New Roman" w:cs="Times New Roman"/>
                      <w:color w:val="auto"/>
                      <w:highlight w:val="none"/>
                      <w:lang w:eastAsia="zh-CN"/>
                    </w:rPr>
                    <w:t>燃煤</w:t>
                  </w:r>
                  <w:r>
                    <w:rPr>
                      <w:rFonts w:hint="default" w:ascii="Times New Roman" w:hAnsi="Times New Roman" w:cs="Times New Roman"/>
                      <w:color w:val="auto"/>
                      <w:highlight w:val="none"/>
                    </w:rPr>
                    <w:t>蒸汽锅炉软水供给。</w:t>
                  </w:r>
                </w:p>
              </w:tc>
              <w:tc>
                <w:tcPr>
                  <w:tcW w:w="1308" w:type="dxa"/>
                  <w:noWrap w:val="0"/>
                  <w:vAlign w:val="center"/>
                </w:tcPr>
                <w:p w14:paraId="2FD158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新建</w:t>
                  </w:r>
                </w:p>
              </w:tc>
            </w:tr>
            <w:tr w14:paraId="0FB7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670" w:type="dxa"/>
                  <w:vMerge w:val="continue"/>
                  <w:noWrap w:val="0"/>
                  <w:vAlign w:val="center"/>
                </w:tcPr>
                <w:p w14:paraId="1DBB56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67A998E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在线系统</w:t>
                  </w:r>
                </w:p>
              </w:tc>
              <w:tc>
                <w:tcPr>
                  <w:tcW w:w="2320" w:type="dxa"/>
                  <w:noWrap w:val="0"/>
                  <w:vAlign w:val="center"/>
                </w:tcPr>
                <w:p w14:paraId="3921C7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烟囱设置烟气在线监测仪及数据传输系统，对大气污染物排放浓度进行实时监测、数据上传环保主管部门</w:t>
                  </w:r>
                </w:p>
              </w:tc>
              <w:tc>
                <w:tcPr>
                  <w:tcW w:w="2892" w:type="dxa"/>
                  <w:noWrap w:val="0"/>
                  <w:vAlign w:val="center"/>
                </w:tcPr>
                <w:p w14:paraId="698626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依托现有</w:t>
                  </w:r>
                </w:p>
              </w:tc>
              <w:tc>
                <w:tcPr>
                  <w:tcW w:w="1308" w:type="dxa"/>
                  <w:noWrap w:val="0"/>
                  <w:vAlign w:val="center"/>
                </w:tcPr>
                <w:p w14:paraId="114AE2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7164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noWrap w:val="0"/>
                  <w:vAlign w:val="center"/>
                </w:tcPr>
                <w:p w14:paraId="153CAE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辅助工程</w:t>
                  </w:r>
                </w:p>
              </w:tc>
              <w:tc>
                <w:tcPr>
                  <w:tcW w:w="767" w:type="dxa"/>
                  <w:noWrap w:val="0"/>
                  <w:vAlign w:val="center"/>
                </w:tcPr>
                <w:p w14:paraId="0D9A03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综合办公楼</w:t>
                  </w:r>
                </w:p>
              </w:tc>
              <w:tc>
                <w:tcPr>
                  <w:tcW w:w="2320" w:type="dxa"/>
                  <w:noWrap w:val="0"/>
                  <w:vAlign w:val="center"/>
                </w:tcPr>
                <w:p w14:paraId="13B286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选煤厂有1座综合办公楼，用于选煤厂的工作人员生活办公使用</w:t>
                  </w:r>
                </w:p>
              </w:tc>
              <w:tc>
                <w:tcPr>
                  <w:tcW w:w="2892" w:type="dxa"/>
                  <w:noWrap w:val="0"/>
                  <w:vAlign w:val="center"/>
                </w:tcPr>
                <w:p w14:paraId="169DCC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依托现有综合办公楼。</w:t>
                  </w:r>
                </w:p>
              </w:tc>
              <w:tc>
                <w:tcPr>
                  <w:tcW w:w="1308" w:type="dxa"/>
                  <w:noWrap w:val="0"/>
                  <w:vAlign w:val="center"/>
                </w:tcPr>
                <w:p w14:paraId="7F746C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191D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restart"/>
                  <w:noWrap w:val="0"/>
                  <w:vAlign w:val="center"/>
                </w:tcPr>
                <w:p w14:paraId="3B38C1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储运工程</w:t>
                  </w:r>
                </w:p>
              </w:tc>
              <w:tc>
                <w:tcPr>
                  <w:tcW w:w="767" w:type="dxa"/>
                  <w:noWrap w:val="0"/>
                  <w:vAlign w:val="center"/>
                </w:tcPr>
                <w:p w14:paraId="0F63C9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一般固废暂存区</w:t>
                  </w:r>
                </w:p>
              </w:tc>
              <w:tc>
                <w:tcPr>
                  <w:tcW w:w="2320" w:type="dxa"/>
                  <w:noWrap w:val="0"/>
                  <w:vAlign w:val="center"/>
                </w:tcPr>
                <w:p w14:paraId="74B212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现有锅炉房内有1间50㎡的一般固废暂存间。</w:t>
                  </w:r>
                </w:p>
              </w:tc>
              <w:tc>
                <w:tcPr>
                  <w:tcW w:w="2892" w:type="dxa"/>
                  <w:noWrap w:val="0"/>
                  <w:vAlign w:val="center"/>
                </w:tcPr>
                <w:p w14:paraId="60F4A2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依托现有一般固废暂存间，用于本项目的锅炉炉渣、除尘灰、</w:t>
                  </w:r>
                  <w:r>
                    <w:rPr>
                      <w:rFonts w:hint="eastAsia" w:cs="Times New Roman"/>
                      <w:color w:val="auto"/>
                      <w:highlight w:val="none"/>
                      <w:lang w:val="en-US" w:eastAsia="zh-CN"/>
                    </w:rPr>
                    <w:t>脱硫石膏</w:t>
                  </w:r>
                  <w:r>
                    <w:rPr>
                      <w:rFonts w:hint="default" w:ascii="Times New Roman" w:hAnsi="Times New Roman" w:cs="Times New Roman"/>
                      <w:color w:val="auto"/>
                      <w:highlight w:val="none"/>
                      <w:lang w:val="en-US" w:eastAsia="zh-CN"/>
                    </w:rPr>
                    <w:t>暂存。</w:t>
                  </w:r>
                </w:p>
              </w:tc>
              <w:tc>
                <w:tcPr>
                  <w:tcW w:w="1308" w:type="dxa"/>
                  <w:noWrap w:val="0"/>
                  <w:vAlign w:val="center"/>
                </w:tcPr>
                <w:p w14:paraId="6D2F45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依托</w:t>
                  </w:r>
                </w:p>
              </w:tc>
            </w:tr>
            <w:tr w14:paraId="22A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0" w:type="dxa"/>
                  <w:vMerge w:val="continue"/>
                  <w:noWrap w:val="0"/>
                  <w:vAlign w:val="center"/>
                </w:tcPr>
                <w:p w14:paraId="304F87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67" w:type="dxa"/>
                  <w:noWrap w:val="0"/>
                  <w:vAlign w:val="center"/>
                </w:tcPr>
                <w:p w14:paraId="4F402E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原辅材料</w:t>
                  </w:r>
                  <w:r>
                    <w:rPr>
                      <w:rFonts w:hint="eastAsia" w:ascii="Times New Roman" w:hAnsi="Times New Roman" w:cs="Times New Roman"/>
                      <w:color w:val="auto"/>
                      <w:highlight w:val="none"/>
                      <w:lang w:val="en-US" w:eastAsia="zh-CN"/>
                    </w:rPr>
                    <w:t>储存区</w:t>
                  </w:r>
                </w:p>
              </w:tc>
              <w:tc>
                <w:tcPr>
                  <w:tcW w:w="2320" w:type="dxa"/>
                  <w:noWrap w:val="0"/>
                  <w:vAlign w:val="center"/>
                </w:tcPr>
                <w:p w14:paraId="45D4B6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锅炉房的西侧设置原辅材料存储区，用于脱硫剂、脱硝剂、脱硝催化剂的存放，占地面积为60㎡，燃料煤的存储一坨选煤厂的末煤仓进行存储。</w:t>
                  </w:r>
                </w:p>
              </w:tc>
              <w:tc>
                <w:tcPr>
                  <w:tcW w:w="2892" w:type="dxa"/>
                  <w:noWrap w:val="0"/>
                  <w:vAlign w:val="center"/>
                </w:tcPr>
                <w:p w14:paraId="78BB01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在锅炉房的西侧设置</w:t>
                  </w:r>
                  <w:r>
                    <w:rPr>
                      <w:rFonts w:hint="eastAsia" w:ascii="Times New Roman" w:hAnsi="Times New Roman" w:cs="Times New Roman"/>
                      <w:color w:val="auto"/>
                      <w:highlight w:val="none"/>
                      <w:lang w:val="en-US" w:eastAsia="zh-CN"/>
                    </w:rPr>
                    <w:t>原辅材料储存区</w:t>
                  </w:r>
                  <w:r>
                    <w:rPr>
                      <w:rFonts w:hint="default" w:ascii="Times New Roman" w:hAnsi="Times New Roman" w:cs="Times New Roman"/>
                      <w:color w:val="auto"/>
                      <w:highlight w:val="none"/>
                      <w:lang w:val="en-US" w:eastAsia="zh-CN"/>
                    </w:rPr>
                    <w:t>，用于脱硫剂、脱硝剂</w:t>
                  </w:r>
                  <w:r>
                    <w:rPr>
                      <w:rFonts w:hint="eastAsia" w:ascii="Times New Roman" w:hAnsi="Times New Roman" w:cs="Times New Roman"/>
                      <w:color w:val="auto"/>
                      <w:highlight w:val="none"/>
                      <w:lang w:val="en-US" w:eastAsia="zh-CN"/>
                    </w:rPr>
                    <w:t>（新建1个尿素溶液储罐，容积为15m³，可满足3天生产需求），</w:t>
                  </w:r>
                  <w:r>
                    <w:rPr>
                      <w:rFonts w:hint="default" w:ascii="Times New Roman" w:hAnsi="Times New Roman" w:cs="Times New Roman"/>
                      <w:color w:val="auto"/>
                      <w:highlight w:val="none"/>
                      <w:lang w:val="en-US" w:eastAsia="zh-CN"/>
                    </w:rPr>
                    <w:t>脱硝催化剂的存放，占地面积为60㎡。原料煤依托选煤厂现有末煤仓存储。</w:t>
                  </w:r>
                </w:p>
              </w:tc>
              <w:tc>
                <w:tcPr>
                  <w:tcW w:w="1308" w:type="dxa"/>
                  <w:noWrap w:val="0"/>
                  <w:vAlign w:val="center"/>
                </w:tcPr>
                <w:p w14:paraId="3545526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r>
                    <w:rPr>
                      <w:rFonts w:hint="eastAsia" w:cs="Times New Roman"/>
                      <w:color w:val="auto"/>
                      <w:highlight w:val="none"/>
                      <w:lang w:val="en-US" w:eastAsia="zh-CN"/>
                    </w:rPr>
                    <w:t>+新建</w:t>
                  </w:r>
                </w:p>
              </w:tc>
            </w:tr>
            <w:tr w14:paraId="60C5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38AAF5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67" w:type="dxa"/>
                  <w:noWrap w:val="0"/>
                  <w:vAlign w:val="center"/>
                </w:tcPr>
                <w:p w14:paraId="4AD26F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危废库</w:t>
                  </w:r>
                </w:p>
              </w:tc>
              <w:tc>
                <w:tcPr>
                  <w:tcW w:w="2320" w:type="dxa"/>
                  <w:noWrap w:val="0"/>
                  <w:vAlign w:val="center"/>
                </w:tcPr>
                <w:p w14:paraId="372882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选煤厂现有一座60㎡的危废库，用于暂存选煤厂设备维修等过程中产生的废机油、废齿轮油、废液压油、废油桶。库内设置废液收集池和导流沟，导流沟与废液收集池相连。</w:t>
                  </w:r>
                </w:p>
              </w:tc>
              <w:tc>
                <w:tcPr>
                  <w:tcW w:w="2892" w:type="dxa"/>
                  <w:noWrap w:val="0"/>
                  <w:vAlign w:val="center"/>
                </w:tcPr>
                <w:p w14:paraId="6E433F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依托厂区内现有的一座60㎡的危废库，用于项目运行过程中产生的危险废物的暂存。</w:t>
                  </w:r>
                </w:p>
              </w:tc>
              <w:tc>
                <w:tcPr>
                  <w:tcW w:w="1308" w:type="dxa"/>
                  <w:noWrap w:val="0"/>
                  <w:vAlign w:val="center"/>
                </w:tcPr>
                <w:p w14:paraId="3BB7AA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2021年3月12日取得“鄂环审字〔2021〕135号批复”，2021年4月26日通过自主验收</w:t>
                  </w:r>
                </w:p>
              </w:tc>
            </w:tr>
            <w:tr w14:paraId="10AA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4B8AA6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67" w:type="dxa"/>
                  <w:noWrap w:val="0"/>
                  <w:vAlign w:val="center"/>
                </w:tcPr>
                <w:p w14:paraId="793488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脱硫循环水池</w:t>
                  </w:r>
                </w:p>
              </w:tc>
              <w:tc>
                <w:tcPr>
                  <w:tcW w:w="2320" w:type="dxa"/>
                  <w:noWrap w:val="0"/>
                  <w:vAlign w:val="center"/>
                </w:tcPr>
                <w:p w14:paraId="5C453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现有1座90m³的脱硫循环水池</w:t>
                  </w:r>
                </w:p>
              </w:tc>
              <w:tc>
                <w:tcPr>
                  <w:tcW w:w="2892" w:type="dxa"/>
                  <w:noWrap w:val="0"/>
                  <w:vAlign w:val="center"/>
                </w:tcPr>
                <w:p w14:paraId="3E819C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拆除现有的循环水池，新建1座400m³的脱硫循环水池</w:t>
                  </w:r>
                </w:p>
              </w:tc>
              <w:tc>
                <w:tcPr>
                  <w:tcW w:w="1308" w:type="dxa"/>
                  <w:noWrap w:val="0"/>
                  <w:vAlign w:val="center"/>
                </w:tcPr>
                <w:p w14:paraId="5391F5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新建</w:t>
                  </w:r>
                </w:p>
              </w:tc>
            </w:tr>
            <w:tr w14:paraId="4350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restart"/>
                  <w:noWrap w:val="0"/>
                  <w:vAlign w:val="center"/>
                </w:tcPr>
                <w:p w14:paraId="31E557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公共工程</w:t>
                  </w:r>
                </w:p>
              </w:tc>
              <w:tc>
                <w:tcPr>
                  <w:tcW w:w="767" w:type="dxa"/>
                  <w:noWrap w:val="0"/>
                  <w:vAlign w:val="center"/>
                </w:tcPr>
                <w:p w14:paraId="4707056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供水工程</w:t>
                  </w:r>
                </w:p>
              </w:tc>
              <w:tc>
                <w:tcPr>
                  <w:tcW w:w="2320" w:type="dxa"/>
                  <w:noWrap w:val="0"/>
                  <w:vAlign w:val="center"/>
                </w:tcPr>
                <w:p w14:paraId="2D3E2B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项目生产用水由</w:t>
                  </w:r>
                  <w:r>
                    <w:rPr>
                      <w:rFonts w:hint="default" w:ascii="Times New Roman" w:hAnsi="Times New Roman" w:eastAsia="宋体" w:cs="Times New Roman"/>
                      <w:color w:val="auto"/>
                      <w:highlight w:val="none"/>
                    </w:rPr>
                    <w:t>凯达煤矿的富裕矿井涌水，不足部分由准格尔旗科源水务有限公司提供</w:t>
                  </w:r>
                  <w:r>
                    <w:rPr>
                      <w:rFonts w:hint="default" w:ascii="Times New Roman" w:hAnsi="Times New Roman" w:eastAsia="宋体" w:cs="Times New Roman"/>
                      <w:color w:val="auto"/>
                      <w:highlight w:val="none"/>
                      <w:lang w:eastAsia="zh-CN"/>
                    </w:rPr>
                    <w:t>。</w:t>
                  </w:r>
                </w:p>
              </w:tc>
              <w:tc>
                <w:tcPr>
                  <w:tcW w:w="2892" w:type="dxa"/>
                  <w:noWrap w:val="0"/>
                  <w:vAlign w:val="center"/>
                </w:tcPr>
                <w:p w14:paraId="3B942F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本项目无新增劳动定员，无新增生活用水，</w:t>
                  </w:r>
                  <w:r>
                    <w:rPr>
                      <w:rFonts w:hint="default" w:ascii="Times New Roman" w:hAnsi="Times New Roman" w:cs="Times New Roman"/>
                      <w:color w:val="auto"/>
                      <w:highlight w:val="none"/>
                      <w:lang w:eastAsia="zh-CN"/>
                    </w:rPr>
                    <w:t>软水制备系统用水、脱硫系统用水依托现有供水系统，采用凯达煤矿的富余矿井涌水，不足部分由准格尔旗科源水务有限公司提供。锅炉</w:t>
                  </w:r>
                  <w:r>
                    <w:rPr>
                      <w:rFonts w:hint="eastAsia" w:ascii="Times New Roman" w:hAnsi="Times New Roman" w:cs="Times New Roman"/>
                      <w:color w:val="auto"/>
                      <w:highlight w:val="none"/>
                      <w:lang w:val="en-US" w:eastAsia="zh-CN"/>
                    </w:rPr>
                    <w:t>用水</w:t>
                  </w:r>
                  <w:r>
                    <w:rPr>
                      <w:rFonts w:hint="default" w:ascii="Times New Roman" w:hAnsi="Times New Roman" w:cs="Times New Roman"/>
                      <w:color w:val="auto"/>
                      <w:highlight w:val="none"/>
                      <w:lang w:eastAsia="zh-CN"/>
                    </w:rPr>
                    <w:t>、脱硝系统用水使用纯水。</w:t>
                  </w:r>
                </w:p>
              </w:tc>
              <w:tc>
                <w:tcPr>
                  <w:tcW w:w="1308" w:type="dxa"/>
                  <w:noWrap w:val="0"/>
                  <w:vAlign w:val="center"/>
                </w:tcPr>
                <w:p w14:paraId="1EE652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依托</w:t>
                  </w:r>
                </w:p>
              </w:tc>
            </w:tr>
            <w:tr w14:paraId="2EA6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21EA80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672EA9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供暖工程</w:t>
                  </w:r>
                </w:p>
              </w:tc>
              <w:tc>
                <w:tcPr>
                  <w:tcW w:w="2320" w:type="dxa"/>
                  <w:noWrap w:val="0"/>
                  <w:vAlign w:val="center"/>
                </w:tcPr>
                <w:p w14:paraId="0318CD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锅炉房选用三台SZL10-1.25-AⅡ蒸汽锅炉，在采暖季三台锅炉同时工作供洗浴和供热使用，非采暖季由现场采用太阳能供应洗浴。</w:t>
                  </w:r>
                </w:p>
              </w:tc>
              <w:tc>
                <w:tcPr>
                  <w:tcW w:w="2892" w:type="dxa"/>
                  <w:noWrap w:val="0"/>
                  <w:vAlign w:val="center"/>
                </w:tcPr>
                <w:p w14:paraId="466C39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冬季采暖期由新建1台40t/h的燃煤锅炉提供。非采暖期使用现有太阳能供应洗浴。</w:t>
                  </w:r>
                </w:p>
              </w:tc>
              <w:tc>
                <w:tcPr>
                  <w:tcW w:w="1308" w:type="dxa"/>
                  <w:noWrap w:val="0"/>
                  <w:vAlign w:val="center"/>
                </w:tcPr>
                <w:p w14:paraId="2686BF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新建</w:t>
                  </w:r>
                </w:p>
              </w:tc>
            </w:tr>
            <w:tr w14:paraId="19EA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0" w:type="dxa"/>
                  <w:vMerge w:val="continue"/>
                  <w:noWrap w:val="0"/>
                  <w:vAlign w:val="center"/>
                </w:tcPr>
                <w:p w14:paraId="5E3E29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39DF12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供电工程</w:t>
                  </w:r>
                </w:p>
              </w:tc>
              <w:tc>
                <w:tcPr>
                  <w:tcW w:w="2320" w:type="dxa"/>
                  <w:noWrap w:val="0"/>
                  <w:vAlign w:val="center"/>
                </w:tcPr>
                <w:p w14:paraId="393709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在凯达矿工业广场内，新建一个35/10kV变电所，所需两路35kV电源，引自纳林庙一矿35/10kV变电所内两个备用35kV出线间隔，采用两回35kV钢芯铝绞线架空线路，将电源引至凯达矿区新建35/10kV变电所。</w:t>
                  </w:r>
                </w:p>
              </w:tc>
              <w:tc>
                <w:tcPr>
                  <w:tcW w:w="2892" w:type="dxa"/>
                  <w:noWrap w:val="0"/>
                  <w:vAlign w:val="center"/>
                </w:tcPr>
                <w:p w14:paraId="6EBA2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由</w:t>
                  </w:r>
                  <w:r>
                    <w:rPr>
                      <w:rFonts w:hint="default" w:ascii="Times New Roman" w:hAnsi="Times New Roman" w:cs="Times New Roman"/>
                      <w:color w:val="auto"/>
                      <w:highlight w:val="none"/>
                      <w:lang w:val="en-US" w:eastAsia="zh-CN"/>
                    </w:rPr>
                    <w:t>厂区现有</w:t>
                  </w:r>
                  <w:r>
                    <w:rPr>
                      <w:rFonts w:hint="default" w:ascii="Times New Roman" w:hAnsi="Times New Roman" w:cs="Times New Roman"/>
                      <w:color w:val="auto"/>
                      <w:highlight w:val="none"/>
                    </w:rPr>
                    <w:t>供电电网提供。</w:t>
                  </w:r>
                </w:p>
              </w:tc>
              <w:tc>
                <w:tcPr>
                  <w:tcW w:w="1308" w:type="dxa"/>
                  <w:noWrap w:val="0"/>
                  <w:vAlign w:val="center"/>
                </w:tcPr>
                <w:p w14:paraId="173B168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2458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670" w:type="dxa"/>
                  <w:vMerge w:val="restart"/>
                  <w:noWrap w:val="0"/>
                  <w:vAlign w:val="center"/>
                </w:tcPr>
                <w:p w14:paraId="1E77A3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环保工程</w:t>
                  </w:r>
                </w:p>
              </w:tc>
              <w:tc>
                <w:tcPr>
                  <w:tcW w:w="767" w:type="dxa"/>
                  <w:noWrap w:val="0"/>
                  <w:vAlign w:val="center"/>
                </w:tcPr>
                <w:p w14:paraId="0B4FBE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2320" w:type="dxa"/>
                  <w:noWrap w:val="0"/>
                  <w:vAlign w:val="center"/>
                </w:tcPr>
                <w:p w14:paraId="574D39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锅炉烟气除尘脱硫系统选用麻石水膜加NaOH碱液脱硫除尘，净化后的烟气经高度50m，出口直径为1.4m的砖砌烟囱（选煤厂排气筒DA001）排入大气。</w:t>
                  </w:r>
                </w:p>
              </w:tc>
              <w:tc>
                <w:tcPr>
                  <w:tcW w:w="2892" w:type="dxa"/>
                  <w:noWrap w:val="0"/>
                  <w:vAlign w:val="center"/>
                </w:tcPr>
                <w:p w14:paraId="5512233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拆除现有废气处理措施，新建项目锅炉烟气采用“SNCR＋SCR联合法脱硝+布袋除尘器处理+</w:t>
                  </w:r>
                  <w:r>
                    <w:rPr>
                      <w:rFonts w:hint="eastAsia" w:ascii="Times New Roman" w:hAnsi="Times New Roman" w:cs="Times New Roman"/>
                      <w:color w:val="auto"/>
                      <w:highlight w:val="none"/>
                      <w:lang w:val="en-US" w:eastAsia="zh-CN"/>
                    </w:rPr>
                    <w:t>双碱法脱硫</w:t>
                  </w:r>
                  <w:r>
                    <w:rPr>
                      <w:rFonts w:hint="default" w:ascii="Times New Roman" w:hAnsi="Times New Roman" w:cs="Times New Roman"/>
                      <w:color w:val="auto"/>
                      <w:highlight w:val="none"/>
                      <w:lang w:val="en-US" w:eastAsia="zh-CN"/>
                    </w:rPr>
                    <w:t>”，净化后的烟气经现有的1根50m高的烟囱排入大气，烟囱出口内径为1.4m。</w:t>
                  </w:r>
                </w:p>
              </w:tc>
              <w:tc>
                <w:tcPr>
                  <w:tcW w:w="1308" w:type="dxa"/>
                  <w:noWrap w:val="0"/>
                  <w:vAlign w:val="center"/>
                </w:tcPr>
                <w:p w14:paraId="25055D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新建</w:t>
                  </w:r>
                </w:p>
              </w:tc>
            </w:tr>
            <w:tr w14:paraId="27B7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670" w:type="dxa"/>
                  <w:vMerge w:val="continue"/>
                  <w:noWrap w:val="0"/>
                  <w:vAlign w:val="center"/>
                </w:tcPr>
                <w:p w14:paraId="642947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03DE3C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2320" w:type="dxa"/>
                  <w:noWrap w:val="0"/>
                  <w:vAlign w:val="center"/>
                </w:tcPr>
                <w:p w14:paraId="6414B1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冬季锅炉废水回用于锅炉除尘、冲渣，夏季锅炉停用。</w:t>
                  </w:r>
                </w:p>
              </w:tc>
              <w:tc>
                <w:tcPr>
                  <w:tcW w:w="2892" w:type="dxa"/>
                  <w:noWrap w:val="0"/>
                  <w:vAlign w:val="center"/>
                </w:tcPr>
                <w:p w14:paraId="780B3E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锅炉系统排污废水：</w:t>
                  </w:r>
                  <w:r>
                    <w:rPr>
                      <w:rFonts w:hint="eastAsia" w:ascii="Times New Roman" w:hAnsi="Times New Roman"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w:t>
                  </w:r>
                </w:p>
                <w:p w14:paraId="7A3360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软水制备系统排污废水：浓水池（100m³）暂存后，定期交由有浓水处理资质的单位进行处置。</w:t>
                  </w:r>
                </w:p>
                <w:p w14:paraId="11210A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脱硝系统废水：全部蒸发散失。</w:t>
                  </w:r>
                </w:p>
                <w:p w14:paraId="248938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脱硫系统废水：</w:t>
                  </w:r>
                  <w:r>
                    <w:rPr>
                      <w:rFonts w:hint="eastAsia" w:ascii="Times New Roman" w:hAnsi="Times New Roman" w:cs="Times New Roman"/>
                      <w:color w:val="auto"/>
                      <w:highlight w:val="none"/>
                      <w:lang w:val="en-US" w:eastAsia="zh-CN"/>
                    </w:rPr>
                    <w:t>脱硫系统循环水</w:t>
                  </w:r>
                  <w:r>
                    <w:rPr>
                      <w:rFonts w:hint="default" w:ascii="Times New Roman" w:hAnsi="Times New Roman" w:cs="Times New Roman"/>
                      <w:color w:val="auto"/>
                      <w:highlight w:val="none"/>
                      <w:lang w:val="en-US" w:eastAsia="zh-CN"/>
                    </w:rPr>
                    <w:t>循环使用不外排。</w:t>
                  </w:r>
                </w:p>
              </w:tc>
              <w:tc>
                <w:tcPr>
                  <w:tcW w:w="1308" w:type="dxa"/>
                  <w:noWrap w:val="0"/>
                  <w:vAlign w:val="center"/>
                </w:tcPr>
                <w:p w14:paraId="70CD79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6F8B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70" w:type="dxa"/>
                  <w:vMerge w:val="continue"/>
                  <w:noWrap w:val="0"/>
                  <w:vAlign w:val="center"/>
                </w:tcPr>
                <w:p w14:paraId="061EFB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noWrap w:val="0"/>
                  <w:vAlign w:val="center"/>
                </w:tcPr>
                <w:p w14:paraId="5840C56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2320" w:type="dxa"/>
                  <w:noWrap w:val="0"/>
                  <w:vAlign w:val="center"/>
                </w:tcPr>
                <w:p w14:paraId="701FCB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选用低噪声设备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泵类等高噪设备安装基础减振措施，风机安装消声器等降噪措施。</w:t>
                  </w:r>
                </w:p>
              </w:tc>
              <w:tc>
                <w:tcPr>
                  <w:tcW w:w="2892" w:type="dxa"/>
                  <w:noWrap w:val="0"/>
                  <w:vAlign w:val="center"/>
                </w:tcPr>
                <w:p w14:paraId="557804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选用低噪声设备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泵类等高噪设备安装基础减振措施，风机安装消声器等降噪措施。</w:t>
                  </w:r>
                </w:p>
              </w:tc>
              <w:tc>
                <w:tcPr>
                  <w:tcW w:w="1308" w:type="dxa"/>
                  <w:noWrap w:val="0"/>
                  <w:vAlign w:val="center"/>
                </w:tcPr>
                <w:p w14:paraId="49D0E7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新建</w:t>
                  </w:r>
                </w:p>
              </w:tc>
            </w:tr>
            <w:tr w14:paraId="4DCA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7BE01E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vMerge w:val="restart"/>
                  <w:noWrap w:val="0"/>
                  <w:vAlign w:val="center"/>
                </w:tcPr>
                <w:p w14:paraId="1ABDAA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2320" w:type="dxa"/>
                  <w:noWrap w:val="0"/>
                  <w:vAlign w:val="center"/>
                </w:tcPr>
                <w:p w14:paraId="4BFA26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锅炉灰渣和水浴除尘底泥送准格尔旗杨家坡免烧砖厂制砖。</w:t>
                  </w:r>
                </w:p>
              </w:tc>
              <w:tc>
                <w:tcPr>
                  <w:tcW w:w="2892" w:type="dxa"/>
                  <w:noWrap w:val="0"/>
                  <w:vAlign w:val="center"/>
                </w:tcPr>
                <w:p w14:paraId="1A08185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一般固废：</w:t>
                  </w:r>
                  <w:r>
                    <w:rPr>
                      <w:rFonts w:hint="eastAsia" w:cs="Times New Roman"/>
                      <w:color w:val="auto"/>
                      <w:highlight w:val="none"/>
                      <w:lang w:val="en-US" w:eastAsia="zh-CN"/>
                    </w:rPr>
                    <w:t>锅炉炉渣、除尘灰、脱硫石膏</w:t>
                  </w:r>
                  <w:r>
                    <w:rPr>
                      <w:rFonts w:hint="default" w:ascii="Times New Roman" w:hAnsi="Times New Roman" w:cs="Times New Roman"/>
                      <w:color w:val="auto"/>
                      <w:highlight w:val="none"/>
                      <w:lang w:val="en-US" w:eastAsia="zh-CN"/>
                    </w:rPr>
                    <w:t>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产生的废离子交换树脂由厂家定期回收处置，不在厂区内暂存。</w:t>
                  </w:r>
                </w:p>
              </w:tc>
              <w:tc>
                <w:tcPr>
                  <w:tcW w:w="1308" w:type="dxa"/>
                  <w:noWrap w:val="0"/>
                  <w:vAlign w:val="center"/>
                </w:tcPr>
                <w:p w14:paraId="12E904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依托现有处理措施</w:t>
                  </w:r>
                </w:p>
              </w:tc>
            </w:tr>
            <w:tr w14:paraId="1EBE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0609DF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67" w:type="dxa"/>
                  <w:vMerge w:val="continue"/>
                  <w:noWrap w:val="0"/>
                  <w:vAlign w:val="center"/>
                </w:tcPr>
                <w:p w14:paraId="003D1E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2320" w:type="dxa"/>
                  <w:noWrap w:val="0"/>
                  <w:vAlign w:val="center"/>
                </w:tcPr>
                <w:p w14:paraId="7F57D3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产生危险废物委托科领环保股份有限公司进行处理。</w:t>
                  </w:r>
                </w:p>
              </w:tc>
              <w:tc>
                <w:tcPr>
                  <w:tcW w:w="2892" w:type="dxa"/>
                  <w:noWrap w:val="0"/>
                  <w:vAlign w:val="center"/>
                </w:tcPr>
                <w:p w14:paraId="14026B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危险废物：本项目运行检修过程中产生的废矿物油、废油桶及废气处理措施更换下的废催化剂，定期交由有资质单位进行处置。</w:t>
                  </w:r>
                </w:p>
              </w:tc>
              <w:tc>
                <w:tcPr>
                  <w:tcW w:w="1308" w:type="dxa"/>
                  <w:noWrap w:val="0"/>
                  <w:vAlign w:val="center"/>
                </w:tcPr>
                <w:p w14:paraId="2A65F9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w:t>
                  </w:r>
                </w:p>
              </w:tc>
            </w:tr>
            <w:tr w14:paraId="7634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restart"/>
                  <w:noWrap w:val="0"/>
                  <w:vAlign w:val="center"/>
                </w:tcPr>
                <w:p w14:paraId="200EBA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依托工程</w:t>
                  </w:r>
                </w:p>
              </w:tc>
              <w:tc>
                <w:tcPr>
                  <w:tcW w:w="767" w:type="dxa"/>
                  <w:noWrap w:val="0"/>
                  <w:vAlign w:val="center"/>
                </w:tcPr>
                <w:p w14:paraId="13679A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危废库</w:t>
                  </w:r>
                </w:p>
              </w:tc>
              <w:tc>
                <w:tcPr>
                  <w:tcW w:w="5212" w:type="dxa"/>
                  <w:gridSpan w:val="2"/>
                  <w:noWrap w:val="0"/>
                  <w:vAlign w:val="center"/>
                </w:tcPr>
                <w:p w14:paraId="2512F8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依托厂区内现有的一座60㎡的危废库，用于项目运行过程中产生的危险废物的暂存。</w:t>
                  </w:r>
                </w:p>
              </w:tc>
              <w:tc>
                <w:tcPr>
                  <w:tcW w:w="1308" w:type="dxa"/>
                  <w:noWrap w:val="0"/>
                  <w:vAlign w:val="center"/>
                </w:tcPr>
                <w:p w14:paraId="70488F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2021年3月12日取得“鄂环审字〔2021〕135号批复”，2021年4月26日通过自主验收</w:t>
                  </w:r>
                </w:p>
              </w:tc>
            </w:tr>
            <w:tr w14:paraId="5EEB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2FAB78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p>
              </w:tc>
              <w:tc>
                <w:tcPr>
                  <w:tcW w:w="767" w:type="dxa"/>
                  <w:noWrap w:val="0"/>
                  <w:vAlign w:val="center"/>
                </w:tcPr>
                <w:p w14:paraId="177450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原煤储存及输送系统</w:t>
                  </w:r>
                </w:p>
              </w:tc>
              <w:tc>
                <w:tcPr>
                  <w:tcW w:w="5212" w:type="dxa"/>
                  <w:gridSpan w:val="2"/>
                  <w:noWrap w:val="0"/>
                  <w:vAlign w:val="center"/>
                </w:tcPr>
                <w:p w14:paraId="0112E2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采用带式全封闭输送机运输燃料煤。锅炉前设前煤斗，溜煤槽，燃煤经溜煤槽进入锅炉炉膛。</w:t>
                  </w:r>
                </w:p>
              </w:tc>
              <w:tc>
                <w:tcPr>
                  <w:tcW w:w="1308" w:type="dxa"/>
                  <w:noWrap w:val="0"/>
                  <w:vAlign w:val="center"/>
                </w:tcPr>
                <w:p w14:paraId="02A72D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依托选煤厂现有的输送系统。</w:t>
                  </w:r>
                </w:p>
              </w:tc>
            </w:tr>
            <w:tr w14:paraId="13FF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22EB76C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p>
              </w:tc>
              <w:tc>
                <w:tcPr>
                  <w:tcW w:w="767" w:type="dxa"/>
                  <w:noWrap w:val="0"/>
                  <w:vAlign w:val="center"/>
                </w:tcPr>
                <w:p w14:paraId="07D120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储煤仓</w:t>
                  </w:r>
                </w:p>
              </w:tc>
              <w:tc>
                <w:tcPr>
                  <w:tcW w:w="5212" w:type="dxa"/>
                  <w:gridSpan w:val="2"/>
                  <w:noWrap w:val="0"/>
                  <w:vAlign w:val="center"/>
                </w:tcPr>
                <w:p w14:paraId="0657B7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依托选煤厂厂区内现有的2末煤仓，单仓容量为10000吨，用于存储本项目的燃料煤。</w:t>
                  </w:r>
                </w:p>
              </w:tc>
              <w:tc>
                <w:tcPr>
                  <w:tcW w:w="1308" w:type="dxa"/>
                  <w:noWrap w:val="0"/>
                  <w:vAlign w:val="center"/>
                </w:tcPr>
                <w:p w14:paraId="76557B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储煤仓</w:t>
                  </w:r>
                </w:p>
              </w:tc>
            </w:tr>
            <w:tr w14:paraId="2052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vMerge w:val="continue"/>
                  <w:noWrap w:val="0"/>
                  <w:vAlign w:val="center"/>
                </w:tcPr>
                <w:p w14:paraId="31F997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s="Times New Roman"/>
                      <w:color w:val="auto"/>
                      <w:highlight w:val="none"/>
                      <w:lang w:val="en-US" w:eastAsia="zh-CN"/>
                    </w:rPr>
                  </w:pPr>
                </w:p>
              </w:tc>
              <w:tc>
                <w:tcPr>
                  <w:tcW w:w="767" w:type="dxa"/>
                  <w:noWrap w:val="0"/>
                  <w:vAlign w:val="center"/>
                </w:tcPr>
                <w:p w14:paraId="547A3C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办公生活区</w:t>
                  </w:r>
                </w:p>
              </w:tc>
              <w:tc>
                <w:tcPr>
                  <w:tcW w:w="5212" w:type="dxa"/>
                  <w:gridSpan w:val="2"/>
                  <w:noWrap w:val="0"/>
                  <w:vAlign w:val="center"/>
                </w:tcPr>
                <w:p w14:paraId="4936AB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本项目依托选煤厂现有的办公生活区。</w:t>
                  </w:r>
                </w:p>
              </w:tc>
              <w:tc>
                <w:tcPr>
                  <w:tcW w:w="1308" w:type="dxa"/>
                  <w:noWrap w:val="0"/>
                  <w:vAlign w:val="center"/>
                </w:tcPr>
                <w:p w14:paraId="222DC47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依托选煤厂现有</w:t>
                  </w:r>
                </w:p>
              </w:tc>
            </w:tr>
          </w:tbl>
          <w:p w14:paraId="7CAB94D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2.主要设备</w:t>
            </w:r>
          </w:p>
          <w:p w14:paraId="2E888425">
            <w:pPr>
              <w:pStyle w:val="2"/>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本项目主要生产设备一览表见下表2-2。</w:t>
            </w:r>
          </w:p>
          <w:p w14:paraId="20753F05">
            <w:pPr>
              <w:ind w:firstLine="964" w:firstLineChars="4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表2-2主要生产设备一览表</w:t>
            </w:r>
          </w:p>
          <w:tbl>
            <w:tblPr>
              <w:tblStyle w:val="25"/>
              <w:tblW w:w="7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897"/>
              <w:gridCol w:w="3919"/>
              <w:gridCol w:w="814"/>
              <w:gridCol w:w="704"/>
            </w:tblGrid>
            <w:tr w14:paraId="30C7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603" w:type="dxa"/>
                  <w:noWrap w:val="0"/>
                  <w:vAlign w:val="center"/>
                </w:tcPr>
                <w:p w14:paraId="0E77BF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1897" w:type="dxa"/>
                  <w:noWrap w:val="0"/>
                  <w:vAlign w:val="center"/>
                </w:tcPr>
                <w:p w14:paraId="51093C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设备名称</w:t>
                  </w:r>
                </w:p>
              </w:tc>
              <w:tc>
                <w:tcPr>
                  <w:tcW w:w="3919" w:type="dxa"/>
                  <w:noWrap w:val="0"/>
                  <w:vAlign w:val="center"/>
                </w:tcPr>
                <w:p w14:paraId="1F440C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设备型号</w:t>
                  </w:r>
                </w:p>
              </w:tc>
              <w:tc>
                <w:tcPr>
                  <w:tcW w:w="814" w:type="dxa"/>
                  <w:noWrap w:val="0"/>
                  <w:vAlign w:val="center"/>
                </w:tcPr>
                <w:p w14:paraId="0768C8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数量</w:t>
                  </w:r>
                </w:p>
              </w:tc>
              <w:tc>
                <w:tcPr>
                  <w:tcW w:w="704" w:type="dxa"/>
                  <w:noWrap w:val="0"/>
                  <w:vAlign w:val="center"/>
                </w:tcPr>
                <w:p w14:paraId="1DA13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76B0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937" w:type="dxa"/>
                  <w:gridSpan w:val="5"/>
                  <w:noWrap w:val="0"/>
                  <w:vAlign w:val="center"/>
                </w:tcPr>
                <w:p w14:paraId="64A51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一、锅炉部分</w:t>
                  </w:r>
                </w:p>
              </w:tc>
            </w:tr>
            <w:tr w14:paraId="34BC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0EA48A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1897" w:type="dxa"/>
                  <w:noWrap w:val="0"/>
                  <w:vAlign w:val="center"/>
                </w:tcPr>
                <w:p w14:paraId="669BAE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燃煤蒸汽锅炉</w:t>
                  </w:r>
                </w:p>
              </w:tc>
              <w:tc>
                <w:tcPr>
                  <w:tcW w:w="3919" w:type="dxa"/>
                  <w:noWrap w:val="0"/>
                  <w:vAlign w:val="center"/>
                </w:tcPr>
                <w:p w14:paraId="65D9CC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DZL40-1.25-AII</w:t>
                  </w:r>
                </w:p>
              </w:tc>
              <w:tc>
                <w:tcPr>
                  <w:tcW w:w="814" w:type="dxa"/>
                  <w:noWrap w:val="0"/>
                  <w:vAlign w:val="center"/>
                </w:tcPr>
                <w:p w14:paraId="32837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4DFE85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0A42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7FA093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897" w:type="dxa"/>
                  <w:noWrap w:val="0"/>
                  <w:vAlign w:val="center"/>
                </w:tcPr>
                <w:p w14:paraId="5B1846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配电机</w:t>
                  </w:r>
                </w:p>
              </w:tc>
              <w:tc>
                <w:tcPr>
                  <w:tcW w:w="3919" w:type="dxa"/>
                  <w:noWrap w:val="0"/>
                  <w:vAlign w:val="center"/>
                </w:tcPr>
                <w:p w14:paraId="72D1A4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N=280</w:t>
                  </w:r>
                  <w:r>
                    <w:rPr>
                      <w:rFonts w:hint="eastAsia" w:cs="Times New Roman"/>
                      <w:color w:val="auto"/>
                      <w:highlight w:val="none"/>
                      <w:lang w:val="en-US" w:eastAsia="zh-CN"/>
                    </w:rPr>
                    <w:t>kW</w:t>
                  </w:r>
                  <w:r>
                    <w:rPr>
                      <w:rFonts w:hint="default" w:ascii="Times New Roman" w:hAnsi="Times New Roman" w:cs="Times New Roman"/>
                      <w:color w:val="auto"/>
                      <w:highlight w:val="none"/>
                      <w:lang w:val="en-US" w:eastAsia="zh-CN"/>
                    </w:rPr>
                    <w:t>（变频）</w:t>
                  </w:r>
                </w:p>
              </w:tc>
              <w:tc>
                <w:tcPr>
                  <w:tcW w:w="814" w:type="dxa"/>
                  <w:noWrap w:val="0"/>
                  <w:vAlign w:val="center"/>
                </w:tcPr>
                <w:p w14:paraId="71882B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2EAD23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79ED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49F663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1897" w:type="dxa"/>
                  <w:noWrap w:val="0"/>
                  <w:vAlign w:val="center"/>
                </w:tcPr>
                <w:p w14:paraId="79CFB1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鼓风机</w:t>
                  </w:r>
                </w:p>
              </w:tc>
              <w:tc>
                <w:tcPr>
                  <w:tcW w:w="3919" w:type="dxa"/>
                  <w:noWrap w:val="0"/>
                  <w:vAlign w:val="center"/>
                </w:tcPr>
                <w:p w14:paraId="4085B9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机功率110kW；电压AC380V风量73000m³/h，风压2700Pa；变频控制</w:t>
                  </w:r>
                </w:p>
              </w:tc>
              <w:tc>
                <w:tcPr>
                  <w:tcW w:w="814" w:type="dxa"/>
                  <w:noWrap w:val="0"/>
                  <w:vAlign w:val="center"/>
                </w:tcPr>
                <w:p w14:paraId="54C4D3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3E5111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6B20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506C8B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1897" w:type="dxa"/>
                  <w:noWrap w:val="0"/>
                  <w:vAlign w:val="center"/>
                </w:tcPr>
                <w:p w14:paraId="1E3F30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锅炉给水泵</w:t>
                  </w:r>
                </w:p>
              </w:tc>
              <w:tc>
                <w:tcPr>
                  <w:tcW w:w="3919" w:type="dxa"/>
                  <w:noWrap w:val="0"/>
                  <w:vAlign w:val="center"/>
                </w:tcPr>
                <w:p w14:paraId="53CC98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P=144MHO</w:t>
                  </w:r>
                </w:p>
              </w:tc>
              <w:tc>
                <w:tcPr>
                  <w:tcW w:w="814" w:type="dxa"/>
                  <w:noWrap w:val="0"/>
                  <w:vAlign w:val="center"/>
                </w:tcPr>
                <w:p w14:paraId="15CE2F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704" w:type="dxa"/>
                  <w:noWrap w:val="0"/>
                  <w:vAlign w:val="center"/>
                </w:tcPr>
                <w:p w14:paraId="09C29A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439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5BCE9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1897" w:type="dxa"/>
                  <w:noWrap w:val="0"/>
                  <w:vAlign w:val="center"/>
                </w:tcPr>
                <w:p w14:paraId="6AA845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连续排污器</w:t>
                  </w:r>
                </w:p>
              </w:tc>
              <w:tc>
                <w:tcPr>
                  <w:tcW w:w="3919" w:type="dxa"/>
                  <w:noWrap w:val="0"/>
                  <w:vAlign w:val="center"/>
                </w:tcPr>
                <w:p w14:paraId="6BAA4B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LP-1.5</w:t>
                  </w:r>
                </w:p>
              </w:tc>
              <w:tc>
                <w:tcPr>
                  <w:tcW w:w="814" w:type="dxa"/>
                  <w:noWrap w:val="0"/>
                  <w:vAlign w:val="center"/>
                </w:tcPr>
                <w:p w14:paraId="4AA173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39096F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1AE7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31388F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1897" w:type="dxa"/>
                  <w:noWrap w:val="0"/>
                  <w:vAlign w:val="center"/>
                </w:tcPr>
                <w:p w14:paraId="6312CA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定期排污器</w:t>
                  </w:r>
                </w:p>
              </w:tc>
              <w:tc>
                <w:tcPr>
                  <w:tcW w:w="3919" w:type="dxa"/>
                  <w:noWrap w:val="0"/>
                  <w:vAlign w:val="center"/>
                </w:tcPr>
                <w:p w14:paraId="630942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DP-3.5</w:t>
                  </w:r>
                </w:p>
              </w:tc>
              <w:tc>
                <w:tcPr>
                  <w:tcW w:w="814" w:type="dxa"/>
                  <w:noWrap w:val="0"/>
                  <w:vAlign w:val="center"/>
                </w:tcPr>
                <w:p w14:paraId="352ED9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台</w:t>
                  </w:r>
                </w:p>
              </w:tc>
              <w:tc>
                <w:tcPr>
                  <w:tcW w:w="704" w:type="dxa"/>
                  <w:noWrap w:val="0"/>
                  <w:vAlign w:val="center"/>
                </w:tcPr>
                <w:p w14:paraId="62C41B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DF6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37" w:type="dxa"/>
                  <w:gridSpan w:val="5"/>
                  <w:noWrap w:val="0"/>
                  <w:vAlign w:val="center"/>
                </w:tcPr>
                <w:p w14:paraId="3B8D7A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二、脱硫系统</w:t>
                  </w:r>
                </w:p>
              </w:tc>
            </w:tr>
            <w:tr w14:paraId="1303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221EA6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76417C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双碱法脱硫</w:t>
                  </w:r>
                </w:p>
              </w:tc>
              <w:tc>
                <w:tcPr>
                  <w:tcW w:w="3919" w:type="dxa"/>
                  <w:noWrap w:val="0"/>
                  <w:vAlign w:val="center"/>
                </w:tcPr>
                <w:p w14:paraId="6B70C1D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脱硫塔为钢体结构，塔底喷吹管采用金属软管，阻力≤1800Pa。</w:t>
                  </w:r>
                </w:p>
              </w:tc>
              <w:tc>
                <w:tcPr>
                  <w:tcW w:w="814" w:type="dxa"/>
                  <w:noWrap w:val="0"/>
                  <w:vAlign w:val="center"/>
                </w:tcPr>
                <w:p w14:paraId="14C806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1702DD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依托现有</w:t>
                  </w:r>
                </w:p>
              </w:tc>
            </w:tr>
            <w:tr w14:paraId="7BB4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094EE3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897" w:type="dxa"/>
                  <w:noWrap w:val="0"/>
                  <w:vAlign w:val="center"/>
                </w:tcPr>
                <w:p w14:paraId="67E353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自动拉板压滤机</w:t>
                  </w:r>
                </w:p>
              </w:tc>
              <w:tc>
                <w:tcPr>
                  <w:tcW w:w="3919" w:type="dxa"/>
                  <w:noWrap w:val="0"/>
                  <w:vAlign w:val="center"/>
                </w:tcPr>
                <w:p w14:paraId="097F94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814" w:type="dxa"/>
                  <w:noWrap w:val="0"/>
                  <w:vAlign w:val="center"/>
                </w:tcPr>
                <w:p w14:paraId="0F72A0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6C35AB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4874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937" w:type="dxa"/>
                  <w:gridSpan w:val="5"/>
                  <w:noWrap w:val="0"/>
                  <w:vAlign w:val="center"/>
                </w:tcPr>
                <w:p w14:paraId="5AEDE1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三、脱硝系统</w:t>
                  </w:r>
                </w:p>
              </w:tc>
            </w:tr>
            <w:tr w14:paraId="6F1D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0D1D8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6D6F81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ascii="Times New Roman" w:hAnsi="Times New Roman" w:eastAsia="宋体" w:cs="Times New Roman"/>
                      <w:color w:val="auto"/>
                      <w:highlight w:val="none"/>
                      <w:lang w:val="en-US" w:eastAsia="zh-CN"/>
                    </w:rPr>
                    <w:t>SCR</w:t>
                  </w:r>
                </w:p>
              </w:tc>
              <w:tc>
                <w:tcPr>
                  <w:tcW w:w="3919" w:type="dxa"/>
                  <w:noWrap w:val="0"/>
                  <w:vAlign w:val="center"/>
                </w:tcPr>
                <w:p w14:paraId="6436997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催化剂孔数18</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18，每个催化剂单元的尺寸（长</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宽</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高）为150</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150</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（800-1000），节距为5mm，催化剂空隙率为64.0%，按2层设计</w:t>
                  </w:r>
                </w:p>
              </w:tc>
              <w:tc>
                <w:tcPr>
                  <w:tcW w:w="814" w:type="dxa"/>
                  <w:noWrap w:val="0"/>
                  <w:vAlign w:val="center"/>
                </w:tcPr>
                <w:p w14:paraId="7212F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1套</w:t>
                  </w:r>
                </w:p>
              </w:tc>
              <w:tc>
                <w:tcPr>
                  <w:tcW w:w="704" w:type="dxa"/>
                  <w:noWrap w:val="0"/>
                  <w:vAlign w:val="center"/>
                </w:tcPr>
                <w:p w14:paraId="489A7E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2293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4BCAD8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897" w:type="dxa"/>
                  <w:noWrap w:val="0"/>
                  <w:vAlign w:val="center"/>
                </w:tcPr>
                <w:p w14:paraId="55E27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附属系统</w:t>
                  </w:r>
                </w:p>
              </w:tc>
              <w:tc>
                <w:tcPr>
                  <w:tcW w:w="3919" w:type="dxa"/>
                  <w:noWrap w:val="0"/>
                  <w:vAlign w:val="center"/>
                </w:tcPr>
                <w:p w14:paraId="00DC6EC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喷射系统、吹灰及控制系统、尿素制氨系统</w:t>
                  </w:r>
                </w:p>
              </w:tc>
              <w:tc>
                <w:tcPr>
                  <w:tcW w:w="814" w:type="dxa"/>
                  <w:noWrap w:val="0"/>
                  <w:vAlign w:val="center"/>
                </w:tcPr>
                <w:p w14:paraId="16BA3B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01991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7BC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937" w:type="dxa"/>
                  <w:gridSpan w:val="5"/>
                  <w:noWrap w:val="0"/>
                  <w:vAlign w:val="center"/>
                </w:tcPr>
                <w:p w14:paraId="599E14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四、除尘系统</w:t>
                  </w:r>
                </w:p>
              </w:tc>
            </w:tr>
            <w:tr w14:paraId="5087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603" w:type="dxa"/>
                  <w:noWrap w:val="0"/>
                  <w:vAlign w:val="center"/>
                </w:tcPr>
                <w:p w14:paraId="522227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39C5FA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布袋除尘器</w:t>
                  </w:r>
                </w:p>
              </w:tc>
              <w:tc>
                <w:tcPr>
                  <w:tcW w:w="3919" w:type="dxa"/>
                  <w:noWrap w:val="0"/>
                  <w:vAlign w:val="center"/>
                </w:tcPr>
                <w:p w14:paraId="355965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除尘效率：≥99％</w:t>
                  </w:r>
                </w:p>
                <w:p w14:paraId="59F87B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阻力：1200Pa，T=200℃</w:t>
                  </w:r>
                </w:p>
              </w:tc>
              <w:tc>
                <w:tcPr>
                  <w:tcW w:w="814" w:type="dxa"/>
                  <w:noWrap w:val="0"/>
                  <w:vAlign w:val="center"/>
                </w:tcPr>
                <w:p w14:paraId="299EB0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1套</w:t>
                  </w:r>
                </w:p>
              </w:tc>
              <w:tc>
                <w:tcPr>
                  <w:tcW w:w="704" w:type="dxa"/>
                  <w:noWrap w:val="0"/>
                  <w:vAlign w:val="center"/>
                </w:tcPr>
                <w:p w14:paraId="1A5E00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0FC0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937" w:type="dxa"/>
                  <w:gridSpan w:val="5"/>
                  <w:noWrap w:val="0"/>
                  <w:vAlign w:val="center"/>
                </w:tcPr>
                <w:p w14:paraId="4D942A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五、压缩空气系统</w:t>
                  </w:r>
                </w:p>
              </w:tc>
            </w:tr>
            <w:tr w14:paraId="2AFF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03" w:type="dxa"/>
                  <w:noWrap w:val="0"/>
                  <w:vAlign w:val="center"/>
                </w:tcPr>
                <w:p w14:paraId="6FECEB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64EA41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空压机</w:t>
                  </w:r>
                </w:p>
              </w:tc>
              <w:tc>
                <w:tcPr>
                  <w:tcW w:w="3919" w:type="dxa"/>
                  <w:noWrap w:val="0"/>
                  <w:vAlign w:val="center"/>
                </w:tcPr>
                <w:p w14:paraId="1C66AE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满足布袋除尘器、气力输送、脱硝等系统用气量，压力</w:t>
                  </w:r>
                </w:p>
              </w:tc>
              <w:tc>
                <w:tcPr>
                  <w:tcW w:w="814" w:type="dxa"/>
                  <w:noWrap w:val="0"/>
                  <w:vAlign w:val="center"/>
                </w:tcPr>
                <w:p w14:paraId="6BDD50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1台</w:t>
                  </w:r>
                </w:p>
              </w:tc>
              <w:tc>
                <w:tcPr>
                  <w:tcW w:w="704" w:type="dxa"/>
                  <w:noWrap w:val="0"/>
                  <w:vAlign w:val="center"/>
                </w:tcPr>
                <w:p w14:paraId="2404B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20A3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576905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六、汽水换热器</w:t>
                  </w:r>
                </w:p>
              </w:tc>
            </w:tr>
            <w:tr w14:paraId="12DD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247C98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4DDDA7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高效节能多维紊流式换热器</w:t>
                  </w:r>
                </w:p>
              </w:tc>
              <w:tc>
                <w:tcPr>
                  <w:tcW w:w="3919" w:type="dxa"/>
                  <w:noWrap w:val="0"/>
                  <w:vAlign w:val="center"/>
                </w:tcPr>
                <w:p w14:paraId="6E3F2D2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效节能多维紊流式换热器（管壳式），额定换热量10.5MW，蒸汽侧（管程）设计压力1.6MPa，采暖水（壳程）设计压力1.6MPa，汽水换热，不锈钢S31603多维螺旋槽管，蒸汽为0.5~0.6MPa饱和蒸汽，凝结水温度：75℃以下，采暖水进出口温度70/95℃。额定蒸汽消耗量15.0t/h。管程为蒸汽，额定流速：10～25m/s；壳程为采暖水，额定流速：1.3～1.7m/s。</w:t>
                  </w:r>
                </w:p>
              </w:tc>
              <w:tc>
                <w:tcPr>
                  <w:tcW w:w="814" w:type="dxa"/>
                  <w:noWrap w:val="0"/>
                  <w:vAlign w:val="center"/>
                </w:tcPr>
                <w:p w14:paraId="24922F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704" w:type="dxa"/>
                  <w:noWrap w:val="0"/>
                  <w:vAlign w:val="center"/>
                </w:tcPr>
                <w:p w14:paraId="523A7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402A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08BDCC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七、上煤系统</w:t>
                  </w:r>
                </w:p>
              </w:tc>
            </w:tr>
            <w:tr w14:paraId="3F09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5B6504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7BAD47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刮板输送机</w:t>
                  </w:r>
                </w:p>
              </w:tc>
              <w:tc>
                <w:tcPr>
                  <w:tcW w:w="3919" w:type="dxa"/>
                  <w:noWrap w:val="0"/>
                  <w:vAlign w:val="center"/>
                </w:tcPr>
                <w:p w14:paraId="4A3AAC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B=600mm，L=35m</w:t>
                  </w:r>
                </w:p>
              </w:tc>
              <w:tc>
                <w:tcPr>
                  <w:tcW w:w="814" w:type="dxa"/>
                  <w:noWrap w:val="0"/>
                  <w:vAlign w:val="center"/>
                </w:tcPr>
                <w:p w14:paraId="2E17C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1条</w:t>
                  </w:r>
                </w:p>
              </w:tc>
              <w:tc>
                <w:tcPr>
                  <w:tcW w:w="704" w:type="dxa"/>
                  <w:noWrap w:val="0"/>
                  <w:vAlign w:val="center"/>
                </w:tcPr>
                <w:p w14:paraId="26A480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4391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1F13EF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八、除渣系统</w:t>
                  </w:r>
                </w:p>
              </w:tc>
            </w:tr>
            <w:tr w14:paraId="5323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73E2D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069DA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水封刮板输送机</w:t>
                  </w:r>
                </w:p>
              </w:tc>
              <w:tc>
                <w:tcPr>
                  <w:tcW w:w="3919" w:type="dxa"/>
                  <w:noWrap w:val="0"/>
                  <w:vAlign w:val="center"/>
                </w:tcPr>
                <w:p w14:paraId="61B991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B=800mm，L=35</w:t>
                  </w:r>
                </w:p>
              </w:tc>
              <w:tc>
                <w:tcPr>
                  <w:tcW w:w="814" w:type="dxa"/>
                  <w:noWrap w:val="0"/>
                  <w:vAlign w:val="center"/>
                </w:tcPr>
                <w:p w14:paraId="689F70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1条</w:t>
                  </w:r>
                </w:p>
              </w:tc>
              <w:tc>
                <w:tcPr>
                  <w:tcW w:w="704" w:type="dxa"/>
                  <w:noWrap w:val="0"/>
                  <w:vAlign w:val="center"/>
                </w:tcPr>
                <w:p w14:paraId="78309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7ABC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14ACCB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九、水处理系统</w:t>
                  </w:r>
                </w:p>
              </w:tc>
            </w:tr>
            <w:tr w14:paraId="02DE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603" w:type="dxa"/>
                  <w:noWrap w:val="0"/>
                  <w:vAlign w:val="center"/>
                </w:tcPr>
                <w:p w14:paraId="2D45F9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0C08AA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全自动钠离子交换器</w:t>
                  </w:r>
                </w:p>
              </w:tc>
              <w:tc>
                <w:tcPr>
                  <w:tcW w:w="3919" w:type="dxa"/>
                  <w:noWrap w:val="0"/>
                  <w:vAlign w:val="center"/>
                </w:tcPr>
                <w:p w14:paraId="3B9DC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纯水制备率为80%</w:t>
                  </w:r>
                </w:p>
              </w:tc>
              <w:tc>
                <w:tcPr>
                  <w:tcW w:w="814" w:type="dxa"/>
                  <w:noWrap w:val="0"/>
                  <w:vAlign w:val="center"/>
                </w:tcPr>
                <w:p w14:paraId="7728F2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704" w:type="dxa"/>
                  <w:noWrap w:val="0"/>
                  <w:vAlign w:val="center"/>
                </w:tcPr>
                <w:p w14:paraId="058674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791F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937" w:type="dxa"/>
                  <w:gridSpan w:val="5"/>
                  <w:noWrap w:val="0"/>
                  <w:vAlign w:val="center"/>
                </w:tcPr>
                <w:p w14:paraId="5F0F2B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十、在线监测系统</w:t>
                  </w:r>
                </w:p>
              </w:tc>
            </w:tr>
            <w:tr w14:paraId="69A73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03" w:type="dxa"/>
                  <w:noWrap w:val="0"/>
                  <w:vAlign w:val="center"/>
                </w:tcPr>
                <w:p w14:paraId="4360A9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897" w:type="dxa"/>
                  <w:noWrap w:val="0"/>
                  <w:vAlign w:val="center"/>
                </w:tcPr>
                <w:p w14:paraId="64191C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在线监测系统</w:t>
                  </w:r>
                </w:p>
              </w:tc>
              <w:tc>
                <w:tcPr>
                  <w:tcW w:w="3919" w:type="dxa"/>
                  <w:noWrap w:val="0"/>
                  <w:vAlign w:val="center"/>
                </w:tcPr>
                <w:p w14:paraId="4E7219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烟囱设置烟气在线监测仪及数据传输系统，对大气污染物排放浓度进行实时监测、数据上传环保主管部门。</w:t>
                  </w:r>
                </w:p>
              </w:tc>
              <w:tc>
                <w:tcPr>
                  <w:tcW w:w="814" w:type="dxa"/>
                  <w:noWrap w:val="0"/>
                  <w:vAlign w:val="center"/>
                </w:tcPr>
                <w:p w14:paraId="67A96E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1套</w:t>
                  </w:r>
                </w:p>
              </w:tc>
              <w:tc>
                <w:tcPr>
                  <w:tcW w:w="704" w:type="dxa"/>
                  <w:noWrap w:val="0"/>
                  <w:vAlign w:val="center"/>
                </w:tcPr>
                <w:p w14:paraId="6CFA63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bl>
          <w:p w14:paraId="002C1FE3">
            <w:pPr>
              <w:bidi w:val="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3.锅炉主要参数</w:t>
            </w:r>
          </w:p>
          <w:p w14:paraId="03C1A9AD">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表2-3锅炉参数</w:t>
            </w:r>
          </w:p>
          <w:tbl>
            <w:tblPr>
              <w:tblStyle w:val="25"/>
              <w:tblW w:w="7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0"/>
              <w:gridCol w:w="3920"/>
            </w:tblGrid>
            <w:tr w14:paraId="1295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33CF49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额定蒸发量（t/h）</w:t>
                  </w:r>
                </w:p>
              </w:tc>
              <w:tc>
                <w:tcPr>
                  <w:tcW w:w="3920" w:type="dxa"/>
                  <w:noWrap w:val="0"/>
                  <w:vAlign w:val="center"/>
                </w:tcPr>
                <w:p w14:paraId="38BA25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w:t>
                  </w:r>
                </w:p>
              </w:tc>
            </w:tr>
            <w:tr w14:paraId="6BAE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7EDE6C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额定蒸汽压力（Mpa）</w:t>
                  </w:r>
                </w:p>
              </w:tc>
              <w:tc>
                <w:tcPr>
                  <w:tcW w:w="3920" w:type="dxa"/>
                  <w:noWrap w:val="0"/>
                  <w:vAlign w:val="center"/>
                </w:tcPr>
                <w:p w14:paraId="3A51E9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6</w:t>
                  </w:r>
                </w:p>
              </w:tc>
            </w:tr>
            <w:tr w14:paraId="132D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0702C1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额定蒸汽温度（℃）</w:t>
                  </w:r>
                </w:p>
              </w:tc>
              <w:tc>
                <w:tcPr>
                  <w:tcW w:w="3920" w:type="dxa"/>
                  <w:noWrap w:val="0"/>
                  <w:vAlign w:val="center"/>
                </w:tcPr>
                <w:p w14:paraId="6962F9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r>
                    <w:rPr>
                      <w:rFonts w:hint="default" w:ascii="Times New Roman" w:hAnsi="Times New Roman" w:cs="Times New Roman"/>
                      <w:color w:val="auto"/>
                      <w:highlight w:val="none"/>
                    </w:rPr>
                    <w:t>4</w:t>
                  </w:r>
                </w:p>
              </w:tc>
            </w:tr>
            <w:tr w14:paraId="1748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12B624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进水温度（℃）</w:t>
                  </w:r>
                </w:p>
              </w:tc>
              <w:tc>
                <w:tcPr>
                  <w:tcW w:w="3920" w:type="dxa"/>
                  <w:noWrap w:val="0"/>
                  <w:vAlign w:val="center"/>
                </w:tcPr>
                <w:p w14:paraId="10049F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105</w:t>
                  </w:r>
                </w:p>
              </w:tc>
            </w:tr>
            <w:tr w14:paraId="3BD7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6D9DD5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炉排面积（㎡）</w:t>
                  </w:r>
                </w:p>
              </w:tc>
              <w:tc>
                <w:tcPr>
                  <w:tcW w:w="3920" w:type="dxa"/>
                  <w:noWrap w:val="0"/>
                  <w:vAlign w:val="center"/>
                </w:tcPr>
                <w:p w14:paraId="4AD7CB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w:t>
                  </w:r>
                </w:p>
              </w:tc>
            </w:tr>
            <w:tr w14:paraId="3A8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6A5881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锅炉受热面积（㎡）</w:t>
                  </w:r>
                </w:p>
              </w:tc>
              <w:tc>
                <w:tcPr>
                  <w:tcW w:w="3920" w:type="dxa"/>
                  <w:noWrap w:val="0"/>
                  <w:vAlign w:val="center"/>
                </w:tcPr>
                <w:p w14:paraId="2ACB9A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885.5</w:t>
                  </w:r>
                </w:p>
              </w:tc>
            </w:tr>
            <w:tr w14:paraId="7633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68B917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省煤器受热面积（㎡）</w:t>
                  </w:r>
                </w:p>
              </w:tc>
              <w:tc>
                <w:tcPr>
                  <w:tcW w:w="3920" w:type="dxa"/>
                  <w:noWrap w:val="0"/>
                  <w:vAlign w:val="center"/>
                </w:tcPr>
                <w:p w14:paraId="312257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729</w:t>
                  </w:r>
                </w:p>
              </w:tc>
            </w:tr>
            <w:tr w14:paraId="6EF5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20" w:type="dxa"/>
                  <w:noWrap w:val="0"/>
                  <w:vAlign w:val="center"/>
                </w:tcPr>
                <w:p w14:paraId="08E106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设计效率（%）</w:t>
                  </w:r>
                </w:p>
              </w:tc>
              <w:tc>
                <w:tcPr>
                  <w:tcW w:w="3920" w:type="dxa"/>
                  <w:noWrap w:val="0"/>
                  <w:vAlign w:val="center"/>
                </w:tcPr>
                <w:p w14:paraId="7B15B7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4</w:t>
                  </w:r>
                </w:p>
              </w:tc>
            </w:tr>
            <w:tr w14:paraId="7171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3CF48F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锅炉最大运输重量（t）</w:t>
                  </w:r>
                </w:p>
              </w:tc>
              <w:tc>
                <w:tcPr>
                  <w:tcW w:w="3920" w:type="dxa"/>
                  <w:noWrap w:val="0"/>
                  <w:vAlign w:val="center"/>
                </w:tcPr>
                <w:p w14:paraId="40F08E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上部大件</w:t>
                  </w:r>
                  <w:r>
                    <w:rPr>
                      <w:rFonts w:hint="default" w:ascii="Times New Roman" w:hAnsi="Times New Roman" w:cs="Times New Roman"/>
                      <w:color w:val="auto"/>
                      <w:highlight w:val="none"/>
                      <w:lang w:val="en-US" w:eastAsia="zh-CN"/>
                    </w:rPr>
                    <w:t>52</w:t>
                  </w:r>
                </w:p>
              </w:tc>
            </w:tr>
            <w:tr w14:paraId="542A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0FD9C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适用煤种</w:t>
                  </w:r>
                </w:p>
              </w:tc>
              <w:tc>
                <w:tcPr>
                  <w:tcW w:w="3920" w:type="dxa"/>
                  <w:noWrap w:val="0"/>
                  <w:vAlign w:val="center"/>
                </w:tcPr>
                <w:p w14:paraId="0BB725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AⅡ</w:t>
                  </w:r>
                </w:p>
              </w:tc>
            </w:tr>
            <w:tr w14:paraId="2AC2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920" w:type="dxa"/>
                  <w:noWrap w:val="0"/>
                  <w:vAlign w:val="center"/>
                </w:tcPr>
                <w:p w14:paraId="3B014F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最大运输件</w:t>
                  </w:r>
                  <w:r>
                    <w:rPr>
                      <w:rFonts w:hint="default" w:ascii="Times New Roman" w:hAnsi="Times New Roman" w:cs="Times New Roman"/>
                      <w:color w:val="auto"/>
                      <w:highlight w:val="none"/>
                    </w:rPr>
                    <w:t>尺寸（mm）</w:t>
                  </w:r>
                </w:p>
              </w:tc>
              <w:tc>
                <w:tcPr>
                  <w:tcW w:w="3920" w:type="dxa"/>
                  <w:noWrap w:val="0"/>
                  <w:vAlign w:val="center"/>
                </w:tcPr>
                <w:p w14:paraId="276F1D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9465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2900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3100</w:t>
                  </w:r>
                  <w:r>
                    <w:rPr>
                      <w:rFonts w:hint="default" w:ascii="Times New Roman" w:hAnsi="Times New Roman" w:cs="Times New Roman"/>
                      <w:color w:val="auto"/>
                      <w:highlight w:val="none"/>
                    </w:rPr>
                    <w:t>（长×宽×高）</w:t>
                  </w:r>
                </w:p>
              </w:tc>
            </w:tr>
            <w:tr w14:paraId="7208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920" w:type="dxa"/>
                  <w:noWrap w:val="0"/>
                  <w:vAlign w:val="center"/>
                </w:tcPr>
                <w:p w14:paraId="1EA866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锅炉总尺寸（mm）</w:t>
                  </w:r>
                </w:p>
              </w:tc>
              <w:tc>
                <w:tcPr>
                  <w:tcW w:w="3920" w:type="dxa"/>
                  <w:noWrap w:val="0"/>
                  <w:vAlign w:val="center"/>
                </w:tcPr>
                <w:p w14:paraId="2211E6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40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9450</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60</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（长×宽×高）</w:t>
                  </w:r>
                </w:p>
              </w:tc>
            </w:tr>
          </w:tbl>
          <w:p w14:paraId="3AAEB550">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4.供热范围、热负荷</w:t>
            </w:r>
          </w:p>
          <w:p w14:paraId="6C23C54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本项目煤矿、选煤厂供热情况详见下表。</w:t>
            </w:r>
          </w:p>
          <w:p w14:paraId="5238221F">
            <w:pPr>
              <w:adjustRightInd w:val="0"/>
              <w:snapToGrid w:val="0"/>
              <w:ind w:left="0" w:leftChars="0" w:firstLine="0" w:firstLineChars="0"/>
              <w:jc w:val="center"/>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表2-4煤矿供热情况一览表</w:t>
            </w:r>
          </w:p>
          <w:tbl>
            <w:tblPr>
              <w:tblStyle w:val="25"/>
              <w:tblW w:w="4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916"/>
              <w:gridCol w:w="915"/>
              <w:gridCol w:w="849"/>
              <w:gridCol w:w="1051"/>
              <w:gridCol w:w="1250"/>
              <w:gridCol w:w="1139"/>
              <w:gridCol w:w="1151"/>
            </w:tblGrid>
            <w:tr w14:paraId="40C4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49" w:type="pct"/>
                  <w:vMerge w:val="restart"/>
                  <w:noWrap w:val="0"/>
                  <w:vAlign w:val="center"/>
                </w:tcPr>
                <w:p w14:paraId="5D5548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w:t>
                  </w:r>
                </w:p>
                <w:p w14:paraId="78BCA0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号</w:t>
                  </w:r>
                </w:p>
              </w:tc>
              <w:tc>
                <w:tcPr>
                  <w:tcW w:w="585" w:type="pct"/>
                  <w:vMerge w:val="restart"/>
                  <w:noWrap w:val="0"/>
                  <w:vAlign w:val="center"/>
                </w:tcPr>
                <w:p w14:paraId="45CA4C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建筑物名称</w:t>
                  </w:r>
                </w:p>
              </w:tc>
              <w:tc>
                <w:tcPr>
                  <w:tcW w:w="585" w:type="pct"/>
                  <w:vMerge w:val="restart"/>
                  <w:noWrap w:val="0"/>
                  <w:vAlign w:val="center"/>
                </w:tcPr>
                <w:p w14:paraId="42F908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室内采暖计算温度</w:t>
                  </w:r>
                </w:p>
                <w:p w14:paraId="2CC83C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tc>
              <w:tc>
                <w:tcPr>
                  <w:tcW w:w="542" w:type="pct"/>
                  <w:vMerge w:val="restart"/>
                  <w:noWrap w:val="0"/>
                  <w:vAlign w:val="center"/>
                </w:tcPr>
                <w:p w14:paraId="489A61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采暖建筑物体积</w:t>
                  </w:r>
                </w:p>
                <w:p w14:paraId="41AB3B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（m³）</w:t>
                  </w:r>
                </w:p>
              </w:tc>
              <w:tc>
                <w:tcPr>
                  <w:tcW w:w="672" w:type="pct"/>
                  <w:vMerge w:val="restart"/>
                  <w:noWrap w:val="0"/>
                  <w:vAlign w:val="center"/>
                </w:tcPr>
                <w:p w14:paraId="6EAC444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采暖热指标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.K</w:t>
                  </w:r>
                  <w:r>
                    <w:rPr>
                      <w:rFonts w:hint="default" w:ascii="Times New Roman" w:hAnsi="Times New Roman" w:cs="Times New Roman"/>
                      <w:color w:val="auto"/>
                      <w:highlight w:val="none"/>
                      <w:lang w:eastAsia="zh-CN"/>
                    </w:rPr>
                    <w:t>）</w:t>
                  </w:r>
                </w:p>
              </w:tc>
              <w:tc>
                <w:tcPr>
                  <w:tcW w:w="2264" w:type="pct"/>
                  <w:gridSpan w:val="3"/>
                  <w:noWrap w:val="0"/>
                  <w:vAlign w:val="center"/>
                </w:tcPr>
                <w:p w14:paraId="576549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耗热量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w:t>
                  </w:r>
                  <w:r>
                    <w:rPr>
                      <w:rFonts w:hint="default" w:ascii="Times New Roman" w:hAnsi="Times New Roman" w:cs="Times New Roman"/>
                      <w:color w:val="auto"/>
                      <w:highlight w:val="none"/>
                      <w:lang w:eastAsia="zh-CN"/>
                    </w:rPr>
                    <w:t>）</w:t>
                  </w:r>
                </w:p>
              </w:tc>
            </w:tr>
            <w:tr w14:paraId="6F59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349" w:type="pct"/>
                  <w:vMerge w:val="continue"/>
                  <w:noWrap w:val="0"/>
                  <w:vAlign w:val="center"/>
                </w:tcPr>
                <w:p w14:paraId="1EE483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85" w:type="pct"/>
                  <w:vMerge w:val="continue"/>
                  <w:noWrap w:val="0"/>
                  <w:vAlign w:val="center"/>
                </w:tcPr>
                <w:p w14:paraId="47E83C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85" w:type="pct"/>
                  <w:vMerge w:val="continue"/>
                  <w:noWrap w:val="0"/>
                  <w:vAlign w:val="center"/>
                </w:tcPr>
                <w:p w14:paraId="3FB55E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42" w:type="pct"/>
                  <w:vMerge w:val="continue"/>
                  <w:noWrap w:val="0"/>
                  <w:vAlign w:val="center"/>
                </w:tcPr>
                <w:p w14:paraId="3964DE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672" w:type="pct"/>
                  <w:vMerge w:val="continue"/>
                  <w:noWrap w:val="0"/>
                  <w:vAlign w:val="center"/>
                </w:tcPr>
                <w:p w14:paraId="260859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99" w:type="pct"/>
                  <w:noWrap w:val="0"/>
                  <w:vAlign w:val="center"/>
                </w:tcPr>
                <w:p w14:paraId="5988A1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采暖</w:t>
                  </w:r>
                </w:p>
              </w:tc>
              <w:tc>
                <w:tcPr>
                  <w:tcW w:w="728" w:type="pct"/>
                  <w:noWrap w:val="0"/>
                  <w:vAlign w:val="center"/>
                </w:tcPr>
                <w:p w14:paraId="697944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供热</w:t>
                  </w:r>
                </w:p>
              </w:tc>
              <w:tc>
                <w:tcPr>
                  <w:tcW w:w="736" w:type="pct"/>
                  <w:noWrap w:val="0"/>
                  <w:vAlign w:val="center"/>
                </w:tcPr>
                <w:p w14:paraId="04AE6C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r>
            <w:tr w14:paraId="6879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349" w:type="pct"/>
                  <w:noWrap w:val="0"/>
                  <w:vAlign w:val="center"/>
                </w:tcPr>
                <w:p w14:paraId="198956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585" w:type="pct"/>
                  <w:noWrap w:val="0"/>
                  <w:vAlign w:val="center"/>
                </w:tcPr>
                <w:p w14:paraId="392BB4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副井空气加热室</w:t>
                  </w:r>
                </w:p>
              </w:tc>
              <w:tc>
                <w:tcPr>
                  <w:tcW w:w="585" w:type="pct"/>
                  <w:noWrap w:val="0"/>
                  <w:vAlign w:val="center"/>
                </w:tcPr>
                <w:p w14:paraId="319F69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7FFAFA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747</w:t>
                  </w:r>
                </w:p>
              </w:tc>
              <w:tc>
                <w:tcPr>
                  <w:tcW w:w="672" w:type="pct"/>
                  <w:noWrap w:val="0"/>
                  <w:vAlign w:val="center"/>
                </w:tcPr>
                <w:p w14:paraId="2EADA81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99" w:type="pct"/>
                  <w:noWrap w:val="0"/>
                  <w:vAlign w:val="center"/>
                </w:tcPr>
                <w:p w14:paraId="489692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32569</w:t>
                  </w:r>
                </w:p>
              </w:tc>
              <w:tc>
                <w:tcPr>
                  <w:tcW w:w="728" w:type="pct"/>
                  <w:noWrap w:val="0"/>
                  <w:vAlign w:val="center"/>
                </w:tcPr>
                <w:p w14:paraId="22ABA7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3106596</w:t>
                  </w:r>
                </w:p>
              </w:tc>
              <w:tc>
                <w:tcPr>
                  <w:tcW w:w="736" w:type="pct"/>
                  <w:noWrap w:val="0"/>
                  <w:vAlign w:val="center"/>
                </w:tcPr>
                <w:p w14:paraId="71B562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sum(F3:G3)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3139165</w:t>
                  </w:r>
                  <w:r>
                    <w:rPr>
                      <w:rFonts w:hint="default" w:ascii="Times New Roman" w:hAnsi="Times New Roman" w:cs="Times New Roman"/>
                      <w:color w:val="auto"/>
                      <w:highlight w:val="none"/>
                      <w:lang w:val="en-US" w:eastAsia="zh-CN"/>
                    </w:rPr>
                    <w:fldChar w:fldCharType="end"/>
                  </w:r>
                </w:p>
              </w:tc>
            </w:tr>
            <w:tr w14:paraId="7531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78704C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585" w:type="pct"/>
                  <w:noWrap w:val="0"/>
                  <w:vAlign w:val="center"/>
                </w:tcPr>
                <w:p w14:paraId="027F45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加压泵房</w:t>
                  </w:r>
                </w:p>
              </w:tc>
              <w:tc>
                <w:tcPr>
                  <w:tcW w:w="585" w:type="pct"/>
                  <w:noWrap w:val="0"/>
                  <w:vAlign w:val="center"/>
                </w:tcPr>
                <w:p w14:paraId="257D49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42" w:type="pct"/>
                  <w:noWrap w:val="0"/>
                  <w:vAlign w:val="center"/>
                </w:tcPr>
                <w:p w14:paraId="763D16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721</w:t>
                  </w:r>
                </w:p>
              </w:tc>
              <w:tc>
                <w:tcPr>
                  <w:tcW w:w="672" w:type="pct"/>
                  <w:noWrap w:val="0"/>
                  <w:vAlign w:val="center"/>
                </w:tcPr>
                <w:p w14:paraId="1C765D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99" w:type="pct"/>
                  <w:noWrap w:val="0"/>
                  <w:vAlign w:val="center"/>
                </w:tcPr>
                <w:p w14:paraId="796A4B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45856</w:t>
                  </w:r>
                </w:p>
              </w:tc>
              <w:tc>
                <w:tcPr>
                  <w:tcW w:w="728" w:type="pct"/>
                  <w:noWrap w:val="0"/>
                  <w:vAlign w:val="center"/>
                </w:tcPr>
                <w:p w14:paraId="5EF4CE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7E20DD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45856</w:t>
                  </w:r>
                </w:p>
              </w:tc>
            </w:tr>
            <w:tr w14:paraId="762D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noWrap w:val="0"/>
                  <w:vAlign w:val="center"/>
                </w:tcPr>
                <w:p w14:paraId="7443A1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585" w:type="pct"/>
                  <w:noWrap w:val="0"/>
                  <w:vAlign w:val="center"/>
                </w:tcPr>
                <w:p w14:paraId="421954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副井口检车检身房</w:t>
                  </w:r>
                </w:p>
              </w:tc>
              <w:tc>
                <w:tcPr>
                  <w:tcW w:w="585" w:type="pct"/>
                  <w:noWrap w:val="0"/>
                  <w:vAlign w:val="center"/>
                </w:tcPr>
                <w:p w14:paraId="02125A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045640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360</w:t>
                  </w:r>
                </w:p>
              </w:tc>
              <w:tc>
                <w:tcPr>
                  <w:tcW w:w="672" w:type="pct"/>
                  <w:noWrap w:val="0"/>
                  <w:vAlign w:val="center"/>
                </w:tcPr>
                <w:p w14:paraId="2DDCA8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99" w:type="pct"/>
                  <w:noWrap w:val="0"/>
                  <w:vAlign w:val="center"/>
                </w:tcPr>
                <w:p w14:paraId="57A25B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31320</w:t>
                  </w:r>
                </w:p>
              </w:tc>
              <w:tc>
                <w:tcPr>
                  <w:tcW w:w="728" w:type="pct"/>
                  <w:noWrap w:val="0"/>
                  <w:vAlign w:val="center"/>
                </w:tcPr>
                <w:p w14:paraId="783CB9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085D5C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31320</w:t>
                  </w:r>
                </w:p>
              </w:tc>
            </w:tr>
            <w:tr w14:paraId="19FB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0C602DA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585" w:type="pct"/>
                  <w:noWrap w:val="0"/>
                  <w:vAlign w:val="center"/>
                </w:tcPr>
                <w:p w14:paraId="2CEFE8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蔬菜大棚</w:t>
                  </w:r>
                </w:p>
              </w:tc>
              <w:tc>
                <w:tcPr>
                  <w:tcW w:w="585" w:type="pct"/>
                  <w:noWrap w:val="0"/>
                  <w:vAlign w:val="center"/>
                </w:tcPr>
                <w:p w14:paraId="317218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542" w:type="pct"/>
                  <w:noWrap w:val="0"/>
                  <w:vAlign w:val="center"/>
                </w:tcPr>
                <w:p w14:paraId="2C0088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1344</w:t>
                  </w:r>
                </w:p>
              </w:tc>
              <w:tc>
                <w:tcPr>
                  <w:tcW w:w="672" w:type="pct"/>
                  <w:noWrap w:val="0"/>
                  <w:vAlign w:val="center"/>
                </w:tcPr>
                <w:p w14:paraId="324063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799" w:type="pct"/>
                  <w:noWrap w:val="0"/>
                  <w:vAlign w:val="center"/>
                </w:tcPr>
                <w:p w14:paraId="7D8E25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95505</w:t>
                  </w:r>
                </w:p>
              </w:tc>
              <w:tc>
                <w:tcPr>
                  <w:tcW w:w="728" w:type="pct"/>
                  <w:noWrap w:val="0"/>
                  <w:vAlign w:val="center"/>
                </w:tcPr>
                <w:p w14:paraId="1D298B9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65B0B9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95505</w:t>
                  </w:r>
                </w:p>
              </w:tc>
            </w:tr>
            <w:tr w14:paraId="1087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47C783A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85" w:type="pct"/>
                  <w:noWrap w:val="0"/>
                  <w:vAlign w:val="center"/>
                </w:tcPr>
                <w:p w14:paraId="52DF4E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锅炉房</w:t>
                  </w:r>
                </w:p>
              </w:tc>
              <w:tc>
                <w:tcPr>
                  <w:tcW w:w="585" w:type="pct"/>
                  <w:noWrap w:val="0"/>
                  <w:vAlign w:val="center"/>
                </w:tcPr>
                <w:p w14:paraId="2A39D8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003566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4800</w:t>
                  </w:r>
                </w:p>
              </w:tc>
              <w:tc>
                <w:tcPr>
                  <w:tcW w:w="672" w:type="pct"/>
                  <w:noWrap w:val="0"/>
                  <w:vAlign w:val="center"/>
                </w:tcPr>
                <w:p w14:paraId="76E464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799" w:type="pct"/>
                  <w:noWrap w:val="0"/>
                  <w:vAlign w:val="center"/>
                </w:tcPr>
                <w:p w14:paraId="2865D4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79352</w:t>
                  </w:r>
                </w:p>
              </w:tc>
              <w:tc>
                <w:tcPr>
                  <w:tcW w:w="728" w:type="pct"/>
                  <w:noWrap w:val="0"/>
                  <w:vAlign w:val="center"/>
                </w:tcPr>
                <w:p w14:paraId="0C3478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1484AE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79352</w:t>
                  </w:r>
                </w:p>
              </w:tc>
            </w:tr>
            <w:tr w14:paraId="6F8A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2762A9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585" w:type="pct"/>
                  <w:noWrap w:val="0"/>
                  <w:vAlign w:val="center"/>
                </w:tcPr>
                <w:p w14:paraId="6F792B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材料库</w:t>
                  </w:r>
                </w:p>
              </w:tc>
              <w:tc>
                <w:tcPr>
                  <w:tcW w:w="585" w:type="pct"/>
                  <w:noWrap w:val="0"/>
                  <w:vAlign w:val="center"/>
                </w:tcPr>
                <w:p w14:paraId="2F2342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1D1246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3705</w:t>
                  </w:r>
                </w:p>
              </w:tc>
              <w:tc>
                <w:tcPr>
                  <w:tcW w:w="672" w:type="pct"/>
                  <w:noWrap w:val="0"/>
                  <w:vAlign w:val="center"/>
                </w:tcPr>
                <w:p w14:paraId="6FC8B6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noWrap w:val="0"/>
                  <w:vAlign w:val="center"/>
                </w:tcPr>
                <w:p w14:paraId="499003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88846</w:t>
                  </w:r>
                </w:p>
              </w:tc>
              <w:tc>
                <w:tcPr>
                  <w:tcW w:w="728" w:type="pct"/>
                  <w:noWrap w:val="0"/>
                  <w:vAlign w:val="center"/>
                </w:tcPr>
                <w:p w14:paraId="574926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08582D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88846</w:t>
                  </w:r>
                </w:p>
              </w:tc>
            </w:tr>
            <w:tr w14:paraId="75D0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349" w:type="pct"/>
                  <w:noWrap w:val="0"/>
                  <w:vAlign w:val="center"/>
                </w:tcPr>
                <w:p w14:paraId="4787959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585" w:type="pct"/>
                  <w:noWrap w:val="0"/>
                  <w:vAlign w:val="center"/>
                </w:tcPr>
                <w:p w14:paraId="4E20ED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通风机房值班室及配电室</w:t>
                  </w:r>
                </w:p>
              </w:tc>
              <w:tc>
                <w:tcPr>
                  <w:tcW w:w="585" w:type="pct"/>
                  <w:noWrap w:val="0"/>
                  <w:vAlign w:val="center"/>
                </w:tcPr>
                <w:p w14:paraId="5FAEB5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409E5D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360</w:t>
                  </w:r>
                </w:p>
              </w:tc>
              <w:tc>
                <w:tcPr>
                  <w:tcW w:w="672" w:type="pct"/>
                  <w:noWrap w:val="0"/>
                  <w:vAlign w:val="center"/>
                </w:tcPr>
                <w:p w14:paraId="795C23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99" w:type="pct"/>
                  <w:noWrap w:val="0"/>
                  <w:vAlign w:val="center"/>
                </w:tcPr>
                <w:p w14:paraId="6DFFC9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31320</w:t>
                  </w:r>
                </w:p>
              </w:tc>
              <w:tc>
                <w:tcPr>
                  <w:tcW w:w="728" w:type="pct"/>
                  <w:noWrap w:val="0"/>
                  <w:vAlign w:val="center"/>
                </w:tcPr>
                <w:p w14:paraId="615D52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70B1D7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31320</w:t>
                  </w:r>
                </w:p>
              </w:tc>
            </w:tr>
            <w:tr w14:paraId="497C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49" w:type="pct"/>
                  <w:noWrap w:val="0"/>
                  <w:vAlign w:val="center"/>
                </w:tcPr>
                <w:p w14:paraId="1A30EF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585" w:type="pct"/>
                  <w:noWrap w:val="0"/>
                  <w:vAlign w:val="center"/>
                </w:tcPr>
                <w:p w14:paraId="2825FA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消防材料库</w:t>
                  </w:r>
                </w:p>
              </w:tc>
              <w:tc>
                <w:tcPr>
                  <w:tcW w:w="585" w:type="pct"/>
                  <w:noWrap w:val="0"/>
                  <w:vAlign w:val="center"/>
                </w:tcPr>
                <w:p w14:paraId="1A13A9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542" w:type="pct"/>
                  <w:noWrap w:val="0"/>
                  <w:vAlign w:val="center"/>
                </w:tcPr>
                <w:p w14:paraId="25290B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360</w:t>
                  </w:r>
                </w:p>
              </w:tc>
              <w:tc>
                <w:tcPr>
                  <w:tcW w:w="672" w:type="pct"/>
                  <w:noWrap w:val="0"/>
                  <w:vAlign w:val="center"/>
                </w:tcPr>
                <w:p w14:paraId="520E42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799" w:type="pct"/>
                  <w:noWrap w:val="0"/>
                  <w:vAlign w:val="center"/>
                </w:tcPr>
                <w:p w14:paraId="771EEC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24120</w:t>
                  </w:r>
                </w:p>
              </w:tc>
              <w:tc>
                <w:tcPr>
                  <w:tcW w:w="728" w:type="pct"/>
                  <w:noWrap w:val="0"/>
                  <w:vAlign w:val="center"/>
                </w:tcPr>
                <w:p w14:paraId="28AC07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771917C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24120</w:t>
                  </w:r>
                </w:p>
              </w:tc>
            </w:tr>
            <w:tr w14:paraId="2411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49" w:type="pct"/>
                  <w:noWrap w:val="0"/>
                  <w:vAlign w:val="center"/>
                </w:tcPr>
                <w:p w14:paraId="62A611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585" w:type="pct"/>
                  <w:noWrap w:val="0"/>
                  <w:vAlign w:val="center"/>
                </w:tcPr>
                <w:p w14:paraId="6E7BAD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压缩空气站</w:t>
                  </w:r>
                </w:p>
              </w:tc>
              <w:tc>
                <w:tcPr>
                  <w:tcW w:w="585" w:type="pct"/>
                  <w:noWrap w:val="0"/>
                  <w:vAlign w:val="center"/>
                </w:tcPr>
                <w:p w14:paraId="1E6CB4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4EEA8F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1200</w:t>
                  </w:r>
                </w:p>
              </w:tc>
              <w:tc>
                <w:tcPr>
                  <w:tcW w:w="672" w:type="pct"/>
                  <w:noWrap w:val="0"/>
                  <w:vAlign w:val="center"/>
                </w:tcPr>
                <w:p w14:paraId="770142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799" w:type="pct"/>
                  <w:noWrap w:val="0"/>
                  <w:vAlign w:val="center"/>
                </w:tcPr>
                <w:p w14:paraId="36D5BF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39240</w:t>
                  </w:r>
                </w:p>
              </w:tc>
              <w:tc>
                <w:tcPr>
                  <w:tcW w:w="728" w:type="pct"/>
                  <w:noWrap w:val="0"/>
                  <w:vAlign w:val="center"/>
                </w:tcPr>
                <w:p w14:paraId="5B31BF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541B25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39240</w:t>
                  </w:r>
                </w:p>
              </w:tc>
            </w:tr>
            <w:tr w14:paraId="116D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noWrap w:val="0"/>
                  <w:vAlign w:val="center"/>
                </w:tcPr>
                <w:p w14:paraId="537722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585" w:type="pct"/>
                  <w:noWrap w:val="0"/>
                  <w:vAlign w:val="center"/>
                </w:tcPr>
                <w:p w14:paraId="5ED44F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机修车间、材料库I</w:t>
                  </w:r>
                </w:p>
              </w:tc>
              <w:tc>
                <w:tcPr>
                  <w:tcW w:w="585" w:type="pct"/>
                  <w:noWrap w:val="0"/>
                  <w:vAlign w:val="center"/>
                </w:tcPr>
                <w:p w14:paraId="109F1B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595DC9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1560</w:t>
                  </w:r>
                </w:p>
              </w:tc>
              <w:tc>
                <w:tcPr>
                  <w:tcW w:w="672" w:type="pct"/>
                  <w:noWrap w:val="0"/>
                  <w:vAlign w:val="center"/>
                </w:tcPr>
                <w:p w14:paraId="579891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799" w:type="pct"/>
                  <w:noWrap w:val="0"/>
                  <w:vAlign w:val="center"/>
                </w:tcPr>
                <w:p w14:paraId="039ECC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54413</w:t>
                  </w:r>
                </w:p>
              </w:tc>
              <w:tc>
                <w:tcPr>
                  <w:tcW w:w="728" w:type="pct"/>
                  <w:noWrap w:val="0"/>
                  <w:vAlign w:val="center"/>
                </w:tcPr>
                <w:p w14:paraId="5DC65F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36" w:type="pct"/>
                  <w:noWrap w:val="0"/>
                  <w:vAlign w:val="center"/>
                </w:tcPr>
                <w:p w14:paraId="33642B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54413</w:t>
                  </w:r>
                </w:p>
              </w:tc>
            </w:tr>
            <w:tr w14:paraId="214F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noWrap w:val="0"/>
                  <w:vAlign w:val="center"/>
                </w:tcPr>
                <w:p w14:paraId="23EB99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585" w:type="pct"/>
                  <w:noWrap w:val="0"/>
                  <w:vAlign w:val="center"/>
                </w:tcPr>
                <w:p w14:paraId="1C2F0E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机修车间、材料库II</w:t>
                  </w:r>
                </w:p>
              </w:tc>
              <w:tc>
                <w:tcPr>
                  <w:tcW w:w="585" w:type="pct"/>
                  <w:noWrap w:val="0"/>
                  <w:vAlign w:val="center"/>
                </w:tcPr>
                <w:p w14:paraId="7ED1B0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noWrap w:val="0"/>
                  <w:vAlign w:val="center"/>
                </w:tcPr>
                <w:p w14:paraId="0CC1AA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1560</w:t>
                  </w:r>
                </w:p>
              </w:tc>
              <w:tc>
                <w:tcPr>
                  <w:tcW w:w="672" w:type="pct"/>
                  <w:noWrap w:val="0"/>
                  <w:vAlign w:val="center"/>
                </w:tcPr>
                <w:p w14:paraId="1D5D0A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799" w:type="pct"/>
                  <w:noWrap w:val="0"/>
                  <w:vAlign w:val="center"/>
                </w:tcPr>
                <w:p w14:paraId="5641D6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54413</w:t>
                  </w:r>
                </w:p>
              </w:tc>
              <w:tc>
                <w:tcPr>
                  <w:tcW w:w="728" w:type="pct"/>
                  <w:noWrap w:val="0"/>
                  <w:vAlign w:val="center"/>
                </w:tcPr>
                <w:p w14:paraId="7F431C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3D1DD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54413</w:t>
                  </w:r>
                </w:p>
              </w:tc>
            </w:tr>
            <w:tr w14:paraId="7832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425DC3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85" w:type="pct"/>
                  <w:shd w:val="clear" w:color="FFFFFF" w:fill="auto"/>
                  <w:noWrap w:val="0"/>
                  <w:vAlign w:val="center"/>
                </w:tcPr>
                <w:p w14:paraId="351672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生活污水处理间</w:t>
                  </w:r>
                </w:p>
              </w:tc>
              <w:tc>
                <w:tcPr>
                  <w:tcW w:w="585" w:type="pct"/>
                  <w:shd w:val="clear" w:color="FFFFFF" w:fill="auto"/>
                  <w:noWrap w:val="0"/>
                  <w:vAlign w:val="center"/>
                </w:tcPr>
                <w:p w14:paraId="279C1C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42" w:type="pct"/>
                  <w:shd w:val="clear" w:color="FFFFFF" w:fill="auto"/>
                  <w:noWrap w:val="0"/>
                  <w:vAlign w:val="center"/>
                </w:tcPr>
                <w:p w14:paraId="3ED987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378</w:t>
                  </w:r>
                </w:p>
              </w:tc>
              <w:tc>
                <w:tcPr>
                  <w:tcW w:w="672" w:type="pct"/>
                  <w:shd w:val="clear" w:color="FFFFFF" w:fill="auto"/>
                  <w:noWrap w:val="0"/>
                  <w:vAlign w:val="center"/>
                </w:tcPr>
                <w:p w14:paraId="69D50B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799" w:type="pct"/>
                  <w:shd w:val="clear" w:color="FFFFFF" w:fill="auto"/>
                  <w:noWrap w:val="0"/>
                  <w:vAlign w:val="center"/>
                </w:tcPr>
                <w:p w14:paraId="4F3ABBA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28849</w:t>
                  </w:r>
                </w:p>
              </w:tc>
              <w:tc>
                <w:tcPr>
                  <w:tcW w:w="728" w:type="pct"/>
                  <w:shd w:val="clear" w:color="FFFFFF" w:fill="auto"/>
                  <w:noWrap w:val="0"/>
                  <w:vAlign w:val="center"/>
                </w:tcPr>
                <w:p w14:paraId="792AA5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5D7A4A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28849</w:t>
                  </w:r>
                </w:p>
              </w:tc>
            </w:tr>
            <w:tr w14:paraId="7FDE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6767D0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85" w:type="pct"/>
                  <w:shd w:val="clear" w:color="FFFFFF" w:fill="auto"/>
                  <w:noWrap w:val="0"/>
                  <w:vAlign w:val="center"/>
                </w:tcPr>
                <w:p w14:paraId="46F60A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副井场区锅炉房1</w:t>
                  </w:r>
                </w:p>
              </w:tc>
              <w:tc>
                <w:tcPr>
                  <w:tcW w:w="585" w:type="pct"/>
                  <w:shd w:val="clear" w:color="FFFFFF" w:fill="auto"/>
                  <w:noWrap w:val="0"/>
                  <w:vAlign w:val="center"/>
                </w:tcPr>
                <w:p w14:paraId="596173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42" w:type="pct"/>
                  <w:shd w:val="clear" w:color="FFFFFF" w:fill="auto"/>
                  <w:noWrap w:val="0"/>
                  <w:vAlign w:val="center"/>
                </w:tcPr>
                <w:p w14:paraId="0D0667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3675</w:t>
                  </w:r>
                </w:p>
              </w:tc>
              <w:tc>
                <w:tcPr>
                  <w:tcW w:w="672" w:type="pct"/>
                  <w:shd w:val="clear" w:color="FFFFFF" w:fill="auto"/>
                  <w:noWrap w:val="0"/>
                  <w:vAlign w:val="center"/>
                </w:tcPr>
                <w:p w14:paraId="0D8313C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shd w:val="clear" w:color="FFFFFF" w:fill="auto"/>
                  <w:noWrap w:val="0"/>
                  <w:vAlign w:val="center"/>
                </w:tcPr>
                <w:p w14:paraId="0F57D8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128552</w:t>
                  </w:r>
                </w:p>
              </w:tc>
              <w:tc>
                <w:tcPr>
                  <w:tcW w:w="728" w:type="pct"/>
                  <w:shd w:val="clear" w:color="FFFFFF" w:fill="auto"/>
                  <w:noWrap w:val="0"/>
                  <w:vAlign w:val="center"/>
                </w:tcPr>
                <w:p w14:paraId="161BE6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4E8980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128552</w:t>
                  </w:r>
                </w:p>
              </w:tc>
            </w:tr>
            <w:tr w14:paraId="6067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70EC7C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585" w:type="pct"/>
                  <w:shd w:val="clear" w:color="FFFFFF" w:fill="auto"/>
                  <w:noWrap w:val="0"/>
                  <w:vAlign w:val="center"/>
                </w:tcPr>
                <w:p w14:paraId="47B2AE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大门门房</w:t>
                  </w:r>
                </w:p>
              </w:tc>
              <w:tc>
                <w:tcPr>
                  <w:tcW w:w="585" w:type="pct"/>
                  <w:shd w:val="clear" w:color="FFFFFF" w:fill="auto"/>
                  <w:noWrap w:val="0"/>
                  <w:vAlign w:val="center"/>
                </w:tcPr>
                <w:p w14:paraId="3751FF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5284BC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w:t>
                  </w:r>
                </w:p>
              </w:tc>
              <w:tc>
                <w:tcPr>
                  <w:tcW w:w="672" w:type="pct"/>
                  <w:shd w:val="clear" w:color="FFFFFF" w:fill="auto"/>
                  <w:noWrap w:val="0"/>
                  <w:vAlign w:val="center"/>
                </w:tcPr>
                <w:p w14:paraId="1EA7E3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w:t>
                  </w:r>
                </w:p>
              </w:tc>
              <w:tc>
                <w:tcPr>
                  <w:tcW w:w="799" w:type="pct"/>
                  <w:shd w:val="clear" w:color="FFFFFF" w:fill="auto"/>
                  <w:noWrap w:val="0"/>
                  <w:vAlign w:val="center"/>
                </w:tcPr>
                <w:p w14:paraId="0C4210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9744</w:t>
                  </w:r>
                </w:p>
              </w:tc>
              <w:tc>
                <w:tcPr>
                  <w:tcW w:w="728" w:type="pct"/>
                  <w:shd w:val="clear" w:color="FFFFFF" w:fill="auto"/>
                  <w:noWrap w:val="0"/>
                  <w:vAlign w:val="center"/>
                </w:tcPr>
                <w:p w14:paraId="7D5F73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580571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9744</w:t>
                  </w:r>
                </w:p>
              </w:tc>
            </w:tr>
            <w:tr w14:paraId="7907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6368D0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585" w:type="pct"/>
                  <w:shd w:val="clear" w:color="FFFFFF" w:fill="auto"/>
                  <w:noWrap w:val="0"/>
                  <w:vAlign w:val="center"/>
                </w:tcPr>
                <w:p w14:paraId="160020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焊工房</w:t>
                  </w:r>
                </w:p>
              </w:tc>
              <w:tc>
                <w:tcPr>
                  <w:tcW w:w="585" w:type="pct"/>
                  <w:shd w:val="clear" w:color="FFFFFF" w:fill="auto"/>
                  <w:noWrap w:val="0"/>
                  <w:vAlign w:val="center"/>
                </w:tcPr>
                <w:p w14:paraId="0F99F2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shd w:val="clear" w:color="FFFFFF" w:fill="auto"/>
                  <w:noWrap w:val="0"/>
                  <w:vAlign w:val="center"/>
                </w:tcPr>
                <w:p w14:paraId="541563E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400</w:t>
                  </w:r>
                </w:p>
              </w:tc>
              <w:tc>
                <w:tcPr>
                  <w:tcW w:w="672" w:type="pct"/>
                  <w:shd w:val="clear" w:color="FFFFFF" w:fill="auto"/>
                  <w:noWrap w:val="0"/>
                  <w:vAlign w:val="center"/>
                </w:tcPr>
                <w:p w14:paraId="27F955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799" w:type="pct"/>
                  <w:shd w:val="clear" w:color="FFFFFF" w:fill="auto"/>
                  <w:noWrap w:val="0"/>
                  <w:vAlign w:val="center"/>
                </w:tcPr>
                <w:p w14:paraId="6871CD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20056</w:t>
                  </w:r>
                </w:p>
              </w:tc>
              <w:tc>
                <w:tcPr>
                  <w:tcW w:w="728" w:type="pct"/>
                  <w:shd w:val="clear" w:color="FFFFFF" w:fill="auto"/>
                  <w:noWrap w:val="0"/>
                  <w:vAlign w:val="center"/>
                </w:tcPr>
                <w:p w14:paraId="01019B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4C4BA6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20056</w:t>
                  </w:r>
                </w:p>
              </w:tc>
            </w:tr>
            <w:tr w14:paraId="3104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391934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585" w:type="pct"/>
                  <w:shd w:val="clear" w:color="FFFFFF" w:fill="auto"/>
                  <w:noWrap w:val="0"/>
                  <w:vAlign w:val="center"/>
                </w:tcPr>
                <w:p w14:paraId="4EC307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车队矿物维修车间</w:t>
                  </w:r>
                </w:p>
              </w:tc>
              <w:tc>
                <w:tcPr>
                  <w:tcW w:w="585" w:type="pct"/>
                  <w:shd w:val="clear" w:color="FFFFFF" w:fill="auto"/>
                  <w:noWrap w:val="0"/>
                  <w:vAlign w:val="center"/>
                </w:tcPr>
                <w:p w14:paraId="0FEB8F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shd w:val="clear" w:color="FFFFFF" w:fill="auto"/>
                  <w:noWrap w:val="0"/>
                  <w:vAlign w:val="center"/>
                </w:tcPr>
                <w:p w14:paraId="7447FE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507</w:t>
                  </w:r>
                </w:p>
              </w:tc>
              <w:tc>
                <w:tcPr>
                  <w:tcW w:w="672" w:type="pct"/>
                  <w:shd w:val="clear" w:color="FFFFFF" w:fill="auto"/>
                  <w:noWrap w:val="0"/>
                  <w:vAlign w:val="center"/>
                </w:tcPr>
                <w:p w14:paraId="559C80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799" w:type="pct"/>
                  <w:shd w:val="clear" w:color="FFFFFF" w:fill="auto"/>
                  <w:noWrap w:val="0"/>
                  <w:vAlign w:val="center"/>
                </w:tcPr>
                <w:p w14:paraId="5CD815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23210</w:t>
                  </w:r>
                </w:p>
              </w:tc>
              <w:tc>
                <w:tcPr>
                  <w:tcW w:w="728" w:type="pct"/>
                  <w:shd w:val="clear" w:color="FFFFFF" w:fill="auto"/>
                  <w:noWrap w:val="0"/>
                  <w:vAlign w:val="center"/>
                </w:tcPr>
                <w:p w14:paraId="3B745B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5F590C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23210</w:t>
                  </w:r>
                </w:p>
              </w:tc>
            </w:tr>
            <w:tr w14:paraId="59BF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349" w:type="pct"/>
                  <w:shd w:val="clear" w:color="FFFFFF" w:fill="auto"/>
                  <w:noWrap w:val="0"/>
                  <w:vAlign w:val="center"/>
                </w:tcPr>
                <w:p w14:paraId="124CD1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585" w:type="pct"/>
                  <w:shd w:val="clear" w:color="FFFFFF" w:fill="auto"/>
                  <w:noWrap w:val="0"/>
                  <w:vAlign w:val="center"/>
                </w:tcPr>
                <w:p w14:paraId="481BAA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副井井口房（拟改造）</w:t>
                  </w:r>
                </w:p>
              </w:tc>
              <w:tc>
                <w:tcPr>
                  <w:tcW w:w="585" w:type="pct"/>
                  <w:shd w:val="clear" w:color="FFFFFF" w:fill="auto"/>
                  <w:noWrap w:val="0"/>
                  <w:vAlign w:val="center"/>
                </w:tcPr>
                <w:p w14:paraId="63D9DE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542" w:type="pct"/>
                  <w:shd w:val="clear" w:color="FFFFFF" w:fill="auto"/>
                  <w:noWrap w:val="0"/>
                  <w:vAlign w:val="center"/>
                </w:tcPr>
                <w:p w14:paraId="2D3D2C5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7350</w:t>
                  </w:r>
                </w:p>
              </w:tc>
              <w:tc>
                <w:tcPr>
                  <w:tcW w:w="672" w:type="pct"/>
                  <w:shd w:val="clear" w:color="FFFFFF" w:fill="auto"/>
                  <w:noWrap w:val="0"/>
                  <w:vAlign w:val="center"/>
                </w:tcPr>
                <w:p w14:paraId="00421C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799" w:type="pct"/>
                  <w:shd w:val="clear" w:color="FFFFFF" w:fill="auto"/>
                  <w:noWrap w:val="0"/>
                  <w:vAlign w:val="center"/>
                </w:tcPr>
                <w:p w14:paraId="3B63FF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192864</w:t>
                  </w:r>
                </w:p>
              </w:tc>
              <w:tc>
                <w:tcPr>
                  <w:tcW w:w="728" w:type="pct"/>
                  <w:shd w:val="clear" w:color="FFFFFF" w:fill="auto"/>
                  <w:noWrap w:val="0"/>
                  <w:vAlign w:val="center"/>
                </w:tcPr>
                <w:p w14:paraId="32DC48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6AD092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192864</w:t>
                  </w:r>
                </w:p>
              </w:tc>
            </w:tr>
            <w:tr w14:paraId="78A2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noWrap w:val="0"/>
                  <w:vAlign w:val="center"/>
                </w:tcPr>
                <w:p w14:paraId="5EDB3F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85" w:type="pct"/>
                  <w:noWrap w:val="0"/>
                  <w:vAlign w:val="center"/>
                </w:tcPr>
                <w:p w14:paraId="4C4054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综合楼</w:t>
                  </w:r>
                </w:p>
              </w:tc>
              <w:tc>
                <w:tcPr>
                  <w:tcW w:w="585" w:type="pct"/>
                  <w:noWrap w:val="0"/>
                  <w:vAlign w:val="center"/>
                </w:tcPr>
                <w:p w14:paraId="109D02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4988B9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7285</w:t>
                  </w:r>
                </w:p>
              </w:tc>
              <w:tc>
                <w:tcPr>
                  <w:tcW w:w="672" w:type="pct"/>
                  <w:noWrap w:val="0"/>
                  <w:vAlign w:val="center"/>
                </w:tcPr>
                <w:p w14:paraId="3AF16A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799" w:type="pct"/>
                  <w:noWrap w:val="0"/>
                  <w:vAlign w:val="center"/>
                </w:tcPr>
                <w:p w14:paraId="4BE09E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202814</w:t>
                  </w:r>
                </w:p>
              </w:tc>
              <w:tc>
                <w:tcPr>
                  <w:tcW w:w="728" w:type="pct"/>
                  <w:noWrap w:val="0"/>
                  <w:vAlign w:val="center"/>
                </w:tcPr>
                <w:p w14:paraId="7405F6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970000</w:t>
                  </w:r>
                </w:p>
              </w:tc>
              <w:tc>
                <w:tcPr>
                  <w:tcW w:w="736" w:type="pct"/>
                  <w:noWrap w:val="0"/>
                  <w:vAlign w:val="center"/>
                </w:tcPr>
                <w:p w14:paraId="44B81F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sum(F20:G20)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1172814</w:t>
                  </w:r>
                  <w:r>
                    <w:rPr>
                      <w:rFonts w:hint="default" w:ascii="Times New Roman" w:hAnsi="Times New Roman" w:cs="Times New Roman"/>
                      <w:color w:val="auto"/>
                      <w:highlight w:val="none"/>
                      <w:lang w:val="en-US" w:eastAsia="zh-CN"/>
                    </w:rPr>
                    <w:fldChar w:fldCharType="end"/>
                  </w:r>
                </w:p>
              </w:tc>
            </w:tr>
            <w:tr w14:paraId="4277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349" w:type="pct"/>
                  <w:noWrap w:val="0"/>
                  <w:vAlign w:val="center"/>
                </w:tcPr>
                <w:p w14:paraId="467972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w:t>
                  </w:r>
                </w:p>
              </w:tc>
              <w:tc>
                <w:tcPr>
                  <w:tcW w:w="585" w:type="pct"/>
                  <w:noWrap w:val="0"/>
                  <w:vAlign w:val="center"/>
                </w:tcPr>
                <w:p w14:paraId="0079FA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救护队（原职工宿舍改造）</w:t>
                  </w:r>
                </w:p>
              </w:tc>
              <w:tc>
                <w:tcPr>
                  <w:tcW w:w="585" w:type="pct"/>
                  <w:noWrap w:val="0"/>
                  <w:vAlign w:val="center"/>
                </w:tcPr>
                <w:p w14:paraId="636660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5DCE2B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3998.4</w:t>
                  </w:r>
                </w:p>
              </w:tc>
              <w:tc>
                <w:tcPr>
                  <w:tcW w:w="672" w:type="pct"/>
                  <w:noWrap w:val="0"/>
                  <w:vAlign w:val="center"/>
                </w:tcPr>
                <w:p w14:paraId="23969E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noWrap w:val="0"/>
                  <w:vAlign w:val="center"/>
                </w:tcPr>
                <w:p w14:paraId="4B14D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153059</w:t>
                  </w:r>
                </w:p>
              </w:tc>
              <w:tc>
                <w:tcPr>
                  <w:tcW w:w="728" w:type="pct"/>
                  <w:noWrap w:val="0"/>
                  <w:vAlign w:val="center"/>
                </w:tcPr>
                <w:p w14:paraId="202E7DD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76700C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153059</w:t>
                  </w:r>
                </w:p>
              </w:tc>
            </w:tr>
            <w:tr w14:paraId="118B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49" w:type="pct"/>
                  <w:noWrap w:val="0"/>
                  <w:vAlign w:val="center"/>
                </w:tcPr>
                <w:p w14:paraId="3AB02B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85" w:type="pct"/>
                  <w:noWrap w:val="0"/>
                  <w:vAlign w:val="center"/>
                </w:tcPr>
                <w:p w14:paraId="480207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食堂</w:t>
                  </w:r>
                </w:p>
              </w:tc>
              <w:tc>
                <w:tcPr>
                  <w:tcW w:w="585" w:type="pct"/>
                  <w:noWrap w:val="0"/>
                  <w:vAlign w:val="center"/>
                </w:tcPr>
                <w:p w14:paraId="0B8822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noWrap w:val="0"/>
                  <w:vAlign w:val="center"/>
                </w:tcPr>
                <w:p w14:paraId="57CD12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15981</w:t>
                  </w:r>
                </w:p>
              </w:tc>
              <w:tc>
                <w:tcPr>
                  <w:tcW w:w="672" w:type="pct"/>
                  <w:noWrap w:val="0"/>
                  <w:vAlign w:val="center"/>
                </w:tcPr>
                <w:p w14:paraId="66184B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0.7</w:t>
                  </w:r>
                </w:p>
              </w:tc>
              <w:tc>
                <w:tcPr>
                  <w:tcW w:w="799" w:type="pct"/>
                  <w:noWrap w:val="0"/>
                  <w:vAlign w:val="center"/>
                </w:tcPr>
                <w:p w14:paraId="2D3B6C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389297</w:t>
                  </w:r>
                </w:p>
              </w:tc>
              <w:tc>
                <w:tcPr>
                  <w:tcW w:w="728" w:type="pct"/>
                  <w:noWrap w:val="0"/>
                  <w:vAlign w:val="center"/>
                </w:tcPr>
                <w:p w14:paraId="42B452A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noWrap w:val="0"/>
                  <w:vAlign w:val="center"/>
                </w:tcPr>
                <w:p w14:paraId="33E252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389297</w:t>
                  </w:r>
                </w:p>
              </w:tc>
            </w:tr>
            <w:tr w14:paraId="6A56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051DE9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585" w:type="pct"/>
                  <w:shd w:val="clear" w:color="FFFFFF" w:fill="auto"/>
                  <w:noWrap w:val="0"/>
                  <w:vAlign w:val="center"/>
                </w:tcPr>
                <w:p w14:paraId="118BF8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办公楼</w:t>
                  </w:r>
                </w:p>
              </w:tc>
              <w:tc>
                <w:tcPr>
                  <w:tcW w:w="585" w:type="pct"/>
                  <w:shd w:val="clear" w:color="FFFFFF" w:fill="auto"/>
                  <w:noWrap w:val="0"/>
                  <w:vAlign w:val="center"/>
                </w:tcPr>
                <w:p w14:paraId="34F4CA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6C8D52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21164</w:t>
                  </w:r>
                </w:p>
              </w:tc>
              <w:tc>
                <w:tcPr>
                  <w:tcW w:w="672" w:type="pct"/>
                  <w:shd w:val="clear" w:color="FFFFFF" w:fill="auto"/>
                  <w:noWrap w:val="0"/>
                  <w:vAlign w:val="center"/>
                </w:tcPr>
                <w:p w14:paraId="025559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799" w:type="pct"/>
                  <w:shd w:val="clear" w:color="FFFFFF" w:fill="auto"/>
                  <w:noWrap w:val="0"/>
                  <w:vAlign w:val="center"/>
                </w:tcPr>
                <w:p w14:paraId="6731D9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441904</w:t>
                  </w:r>
                </w:p>
              </w:tc>
              <w:tc>
                <w:tcPr>
                  <w:tcW w:w="728" w:type="pct"/>
                  <w:shd w:val="clear" w:color="FFFFFF" w:fill="auto"/>
                  <w:noWrap w:val="0"/>
                  <w:vAlign w:val="center"/>
                </w:tcPr>
                <w:p w14:paraId="6B550EA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418CBD5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441904</w:t>
                  </w:r>
                </w:p>
              </w:tc>
            </w:tr>
            <w:tr w14:paraId="5D43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6CA87B6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w:t>
                  </w:r>
                </w:p>
              </w:tc>
              <w:tc>
                <w:tcPr>
                  <w:tcW w:w="585" w:type="pct"/>
                  <w:shd w:val="clear" w:color="FFFFFF" w:fill="auto"/>
                  <w:noWrap w:val="0"/>
                  <w:vAlign w:val="center"/>
                </w:tcPr>
                <w:p w14:paraId="5587BF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单身宿舍</w:t>
                  </w:r>
                </w:p>
              </w:tc>
              <w:tc>
                <w:tcPr>
                  <w:tcW w:w="585" w:type="pct"/>
                  <w:shd w:val="clear" w:color="FFFFFF" w:fill="auto"/>
                  <w:noWrap w:val="0"/>
                  <w:vAlign w:val="center"/>
                </w:tcPr>
                <w:p w14:paraId="49547F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4413FD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16253</w:t>
                  </w:r>
                </w:p>
              </w:tc>
              <w:tc>
                <w:tcPr>
                  <w:tcW w:w="672" w:type="pct"/>
                  <w:shd w:val="clear" w:color="FFFFFF" w:fill="auto"/>
                  <w:noWrap w:val="0"/>
                  <w:vAlign w:val="center"/>
                </w:tcPr>
                <w:p w14:paraId="3B8AF1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799" w:type="pct"/>
                  <w:shd w:val="clear" w:color="FFFFFF" w:fill="auto"/>
                  <w:noWrap w:val="0"/>
                  <w:vAlign w:val="center"/>
                </w:tcPr>
                <w:p w14:paraId="5F0DC6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339363</w:t>
                  </w:r>
                </w:p>
              </w:tc>
              <w:tc>
                <w:tcPr>
                  <w:tcW w:w="728" w:type="pct"/>
                  <w:shd w:val="clear" w:color="FFFFFF" w:fill="auto"/>
                  <w:noWrap w:val="0"/>
                  <w:vAlign w:val="center"/>
                </w:tcPr>
                <w:p w14:paraId="191840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764326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339363</w:t>
                  </w:r>
                </w:p>
              </w:tc>
            </w:tr>
            <w:tr w14:paraId="391A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349" w:type="pct"/>
                  <w:shd w:val="clear" w:color="FFFFFF" w:fill="auto"/>
                  <w:noWrap w:val="0"/>
                  <w:vAlign w:val="center"/>
                </w:tcPr>
                <w:p w14:paraId="56DCC4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585" w:type="pct"/>
                  <w:shd w:val="clear" w:color="FFFFFF" w:fill="auto"/>
                  <w:noWrap w:val="0"/>
                  <w:vAlign w:val="center"/>
                </w:tcPr>
                <w:p w14:paraId="496794E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培训室</w:t>
                  </w:r>
                </w:p>
              </w:tc>
              <w:tc>
                <w:tcPr>
                  <w:tcW w:w="585" w:type="pct"/>
                  <w:shd w:val="clear" w:color="FFFFFF" w:fill="auto"/>
                  <w:noWrap w:val="0"/>
                  <w:vAlign w:val="center"/>
                </w:tcPr>
                <w:p w14:paraId="6EAB80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542" w:type="pct"/>
                  <w:shd w:val="clear" w:color="FFFFFF" w:fill="auto"/>
                  <w:noWrap w:val="0"/>
                  <w:vAlign w:val="center"/>
                </w:tcPr>
                <w:p w14:paraId="32D7C3F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4125</w:t>
                  </w:r>
                </w:p>
              </w:tc>
              <w:tc>
                <w:tcPr>
                  <w:tcW w:w="672" w:type="pct"/>
                  <w:shd w:val="clear" w:color="FFFFFF" w:fill="auto"/>
                  <w:noWrap w:val="0"/>
                  <w:vAlign w:val="center"/>
                </w:tcPr>
                <w:p w14:paraId="1530E8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99" w:type="pct"/>
                  <w:shd w:val="clear" w:color="FFFFFF" w:fill="auto"/>
                  <w:noWrap w:val="0"/>
                  <w:vAlign w:val="center"/>
                </w:tcPr>
                <w:p w14:paraId="74D390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157905</w:t>
                  </w:r>
                </w:p>
              </w:tc>
              <w:tc>
                <w:tcPr>
                  <w:tcW w:w="728" w:type="pct"/>
                  <w:shd w:val="clear" w:color="FFFFFF" w:fill="auto"/>
                  <w:noWrap w:val="0"/>
                  <w:vAlign w:val="center"/>
                </w:tcPr>
                <w:p w14:paraId="706FC8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0E760EE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157905</w:t>
                  </w:r>
                </w:p>
              </w:tc>
            </w:tr>
            <w:tr w14:paraId="5ACB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349" w:type="pct"/>
                  <w:shd w:val="clear" w:color="FFFFFF" w:fill="auto"/>
                  <w:noWrap w:val="0"/>
                  <w:vAlign w:val="center"/>
                </w:tcPr>
                <w:p w14:paraId="07C310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585" w:type="pct"/>
                  <w:shd w:val="clear" w:color="FFFFFF" w:fill="auto"/>
                  <w:noWrap w:val="0"/>
                  <w:vAlign w:val="center"/>
                </w:tcPr>
                <w:p w14:paraId="66CBBE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新建彩钢车库</w:t>
                  </w:r>
                </w:p>
              </w:tc>
              <w:tc>
                <w:tcPr>
                  <w:tcW w:w="585" w:type="pct"/>
                  <w:shd w:val="clear" w:color="FFFFFF" w:fill="auto"/>
                  <w:noWrap w:val="0"/>
                  <w:vAlign w:val="center"/>
                </w:tcPr>
                <w:p w14:paraId="49DD59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542" w:type="pct"/>
                  <w:shd w:val="clear" w:color="FFFFFF" w:fill="auto"/>
                  <w:noWrap w:val="0"/>
                  <w:vAlign w:val="center"/>
                </w:tcPr>
                <w:p w14:paraId="0DCEF3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660</w:t>
                  </w:r>
                </w:p>
              </w:tc>
              <w:tc>
                <w:tcPr>
                  <w:tcW w:w="672" w:type="pct"/>
                  <w:shd w:val="clear" w:color="FFFFFF" w:fill="auto"/>
                  <w:noWrap w:val="0"/>
                  <w:vAlign w:val="center"/>
                </w:tcPr>
                <w:p w14:paraId="01E6E48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99" w:type="pct"/>
                  <w:shd w:val="clear" w:color="FFFFFF" w:fill="auto"/>
                  <w:noWrap w:val="0"/>
                  <w:vAlign w:val="center"/>
                </w:tcPr>
                <w:p w14:paraId="770C20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28776</w:t>
                  </w:r>
                </w:p>
              </w:tc>
              <w:tc>
                <w:tcPr>
                  <w:tcW w:w="728" w:type="pct"/>
                  <w:shd w:val="clear" w:color="FFFFFF" w:fill="auto"/>
                  <w:noWrap w:val="0"/>
                  <w:vAlign w:val="center"/>
                </w:tcPr>
                <w:p w14:paraId="26C487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736" w:type="pct"/>
                  <w:shd w:val="clear" w:color="FFFFFF" w:fill="auto"/>
                  <w:noWrap w:val="0"/>
                  <w:vAlign w:val="center"/>
                </w:tcPr>
                <w:p w14:paraId="6C0955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28776</w:t>
                  </w:r>
                </w:p>
              </w:tc>
            </w:tr>
            <w:tr w14:paraId="2D22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35" w:type="pct"/>
                  <w:gridSpan w:val="5"/>
                  <w:shd w:val="clear" w:color="FFFFFF" w:fill="auto"/>
                  <w:noWrap w:val="0"/>
                  <w:vAlign w:val="center"/>
                </w:tcPr>
                <w:p w14:paraId="35F674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总计</w:t>
                  </w:r>
                </w:p>
              </w:tc>
              <w:tc>
                <w:tcPr>
                  <w:tcW w:w="799" w:type="pct"/>
                  <w:shd w:val="clear" w:color="FFFFFF" w:fill="auto"/>
                  <w:noWrap w:val="0"/>
                  <w:vAlign w:val="center"/>
                </w:tcPr>
                <w:p w14:paraId="1C425C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sum(F3:F26)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2693347</w:t>
                  </w:r>
                  <w:r>
                    <w:rPr>
                      <w:rFonts w:hint="default" w:ascii="Times New Roman" w:hAnsi="Times New Roman" w:cs="Times New Roman"/>
                      <w:color w:val="auto"/>
                      <w:highlight w:val="none"/>
                      <w:lang w:val="en-US" w:eastAsia="zh-CN"/>
                    </w:rPr>
                    <w:fldChar w:fldCharType="end"/>
                  </w:r>
                </w:p>
              </w:tc>
              <w:tc>
                <w:tcPr>
                  <w:tcW w:w="728" w:type="pct"/>
                  <w:shd w:val="clear" w:color="FFFFFF" w:fill="auto"/>
                  <w:noWrap w:val="0"/>
                  <w:vAlign w:val="center"/>
                </w:tcPr>
                <w:p w14:paraId="01425A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sum(G20:G21)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4076596</w:t>
                  </w:r>
                  <w:r>
                    <w:rPr>
                      <w:rFonts w:hint="default" w:ascii="Times New Roman" w:hAnsi="Times New Roman" w:cs="Times New Roman"/>
                      <w:color w:val="auto"/>
                      <w:highlight w:val="none"/>
                      <w:lang w:val="en-US" w:eastAsia="zh-CN"/>
                    </w:rPr>
                    <w:fldChar w:fldCharType="end"/>
                  </w:r>
                </w:p>
              </w:tc>
              <w:tc>
                <w:tcPr>
                  <w:tcW w:w="736" w:type="pct"/>
                  <w:shd w:val="clear" w:color="FFFFFF" w:fill="auto"/>
                  <w:noWrap w:val="0"/>
                  <w:vAlign w:val="center"/>
                </w:tcPr>
                <w:p w14:paraId="07AED3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sum(H3:H26)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6769943</w:t>
                  </w:r>
                  <w:r>
                    <w:rPr>
                      <w:rFonts w:hint="default" w:ascii="Times New Roman" w:hAnsi="Times New Roman" w:cs="Times New Roman"/>
                      <w:color w:val="auto"/>
                      <w:highlight w:val="none"/>
                      <w:lang w:val="en-US" w:eastAsia="zh-CN"/>
                    </w:rPr>
                    <w:fldChar w:fldCharType="end"/>
                  </w:r>
                </w:p>
              </w:tc>
            </w:tr>
          </w:tbl>
          <w:p w14:paraId="526C1BC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煤矿供热热源承担总热负荷：6.77MW，考虑蒸汽管网损失系数分别取1.2，副井工业场地计算总供热热负荷为6.77×1.2=8.124MW。</w:t>
            </w:r>
          </w:p>
          <w:p w14:paraId="2E05DDE0">
            <w:pPr>
              <w:adjustRightInd w:val="0"/>
              <w:snapToGrid w:val="0"/>
              <w:ind w:left="0" w:leftChars="0" w:firstLine="0" w:firstLineChars="0"/>
              <w:jc w:val="center"/>
              <w:rPr>
                <w:rFonts w:hint="default" w:ascii="Times New Roman" w:hAnsi="Times New Roman" w:cs="Times New Roman"/>
                <w:b/>
                <w:bCs w:val="0"/>
                <w:color w:val="auto"/>
                <w:sz w:val="24"/>
                <w:szCs w:val="24"/>
                <w:highlight w:val="none"/>
                <w:vertAlign w:val="baseline"/>
                <w:lang w:val="en-US" w:eastAsia="zh-CN"/>
              </w:rPr>
            </w:pPr>
            <w:r>
              <w:rPr>
                <w:rFonts w:hint="default" w:ascii="Times New Roman" w:hAnsi="Times New Roman" w:cs="Times New Roman"/>
                <w:b/>
                <w:bCs w:val="0"/>
                <w:color w:val="auto"/>
                <w:sz w:val="24"/>
                <w:szCs w:val="24"/>
                <w:highlight w:val="none"/>
                <w:lang w:val="en-US" w:eastAsia="zh-CN"/>
              </w:rPr>
              <w:t>表2-5选煤厂供热情况一览表</w:t>
            </w:r>
          </w:p>
          <w:tbl>
            <w:tblPr>
              <w:tblStyle w:val="25"/>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716"/>
              <w:gridCol w:w="856"/>
              <w:gridCol w:w="1038"/>
              <w:gridCol w:w="1272"/>
              <w:gridCol w:w="856"/>
              <w:gridCol w:w="934"/>
              <w:gridCol w:w="791"/>
              <w:gridCol w:w="772"/>
            </w:tblGrid>
            <w:tr w14:paraId="1170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47" w:type="pct"/>
                  <w:vMerge w:val="restart"/>
                  <w:noWrap w:val="0"/>
                  <w:vAlign w:val="center"/>
                </w:tcPr>
                <w:p w14:paraId="1B5B0F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460" w:type="pct"/>
                  <w:vMerge w:val="restart"/>
                  <w:noWrap w:val="0"/>
                  <w:vAlign w:val="center"/>
                </w:tcPr>
                <w:p w14:paraId="349BE0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建筑物名称</w:t>
                  </w:r>
                </w:p>
              </w:tc>
              <w:tc>
                <w:tcPr>
                  <w:tcW w:w="550" w:type="pct"/>
                  <w:vMerge w:val="restart"/>
                  <w:noWrap w:val="0"/>
                  <w:vAlign w:val="center"/>
                </w:tcPr>
                <w:p w14:paraId="4B746DD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室内采暖</w:t>
                  </w:r>
                </w:p>
                <w:p w14:paraId="0B2393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计算温度</w:t>
                  </w:r>
                </w:p>
                <w:p w14:paraId="3E3890C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tc>
              <w:tc>
                <w:tcPr>
                  <w:tcW w:w="667" w:type="pct"/>
                  <w:vMerge w:val="restart"/>
                  <w:noWrap w:val="0"/>
                  <w:vAlign w:val="center"/>
                </w:tcPr>
                <w:p w14:paraId="54B967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采暖建筑物体积</w:t>
                  </w:r>
                  <w:r>
                    <w:rPr>
                      <w:rFonts w:hint="default" w:ascii="Times New Roman" w:hAnsi="Times New Roman" w:cs="Times New Roman"/>
                      <w:color w:val="auto"/>
                      <w:highlight w:val="none"/>
                      <w:lang w:eastAsia="zh-CN"/>
                    </w:rPr>
                    <w:t>（m³）</w:t>
                  </w:r>
                </w:p>
              </w:tc>
              <w:tc>
                <w:tcPr>
                  <w:tcW w:w="817" w:type="pct"/>
                  <w:vMerge w:val="restart"/>
                  <w:noWrap w:val="0"/>
                  <w:vAlign w:val="center"/>
                </w:tcPr>
                <w:p w14:paraId="390824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采暖热指标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.K</w:t>
                  </w:r>
                  <w:r>
                    <w:rPr>
                      <w:rFonts w:hint="default" w:ascii="Times New Roman" w:hAnsi="Times New Roman" w:cs="Times New Roman"/>
                      <w:color w:val="auto"/>
                      <w:highlight w:val="none"/>
                      <w:lang w:eastAsia="zh-CN"/>
                    </w:rPr>
                    <w:t>）</w:t>
                  </w:r>
                </w:p>
              </w:tc>
              <w:tc>
                <w:tcPr>
                  <w:tcW w:w="2155" w:type="pct"/>
                  <w:gridSpan w:val="4"/>
                  <w:noWrap w:val="0"/>
                  <w:vAlign w:val="center"/>
                </w:tcPr>
                <w:p w14:paraId="6328CD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耗热量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kW</w:t>
                  </w:r>
                  <w:r>
                    <w:rPr>
                      <w:rFonts w:hint="default" w:ascii="Times New Roman" w:hAnsi="Times New Roman" w:cs="Times New Roman"/>
                      <w:color w:val="auto"/>
                      <w:highlight w:val="none"/>
                      <w:lang w:eastAsia="zh-CN"/>
                    </w:rPr>
                    <w:t>）</w:t>
                  </w:r>
                </w:p>
              </w:tc>
            </w:tr>
            <w:tr w14:paraId="5899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347" w:type="pct"/>
                  <w:vMerge w:val="continue"/>
                  <w:noWrap w:val="0"/>
                  <w:vAlign w:val="center"/>
                </w:tcPr>
                <w:p w14:paraId="293C17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60" w:type="pct"/>
                  <w:vMerge w:val="continue"/>
                  <w:noWrap w:val="0"/>
                  <w:vAlign w:val="center"/>
                </w:tcPr>
                <w:p w14:paraId="21E61B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50" w:type="pct"/>
                  <w:vMerge w:val="continue"/>
                  <w:noWrap w:val="0"/>
                  <w:vAlign w:val="center"/>
                </w:tcPr>
                <w:p w14:paraId="1176A75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667" w:type="pct"/>
                  <w:vMerge w:val="continue"/>
                  <w:noWrap w:val="0"/>
                  <w:vAlign w:val="center"/>
                </w:tcPr>
                <w:p w14:paraId="151DF7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817" w:type="pct"/>
                  <w:vMerge w:val="continue"/>
                  <w:noWrap w:val="0"/>
                  <w:vAlign w:val="center"/>
                </w:tcPr>
                <w:p w14:paraId="535B1A0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50" w:type="pct"/>
                  <w:noWrap w:val="0"/>
                  <w:vAlign w:val="center"/>
                </w:tcPr>
                <w:p w14:paraId="6DDF93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采暖</w:t>
                  </w:r>
                </w:p>
              </w:tc>
              <w:tc>
                <w:tcPr>
                  <w:tcW w:w="600" w:type="pct"/>
                  <w:noWrap w:val="0"/>
                  <w:vAlign w:val="center"/>
                </w:tcPr>
                <w:p w14:paraId="78B567F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通风</w:t>
                  </w:r>
                </w:p>
              </w:tc>
              <w:tc>
                <w:tcPr>
                  <w:tcW w:w="508" w:type="pct"/>
                  <w:noWrap w:val="0"/>
                  <w:vAlign w:val="center"/>
                </w:tcPr>
                <w:p w14:paraId="420D0C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供热</w:t>
                  </w:r>
                </w:p>
              </w:tc>
              <w:tc>
                <w:tcPr>
                  <w:tcW w:w="496" w:type="pct"/>
                  <w:noWrap w:val="0"/>
                  <w:vAlign w:val="center"/>
                </w:tcPr>
                <w:p w14:paraId="689E91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r>
            <w:tr w14:paraId="469A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347" w:type="pct"/>
                  <w:noWrap w:val="0"/>
                  <w:vAlign w:val="center"/>
                </w:tcPr>
                <w:p w14:paraId="5F2FF7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460" w:type="pct"/>
                  <w:noWrap w:val="0"/>
                  <w:vAlign w:val="center"/>
                </w:tcPr>
                <w:p w14:paraId="581454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一号转载点至汽车受煤坑栈桥</w:t>
                  </w:r>
                </w:p>
              </w:tc>
              <w:tc>
                <w:tcPr>
                  <w:tcW w:w="550" w:type="pct"/>
                  <w:noWrap w:val="0"/>
                  <w:vAlign w:val="center"/>
                </w:tcPr>
                <w:p w14:paraId="1D27D71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65408D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315</w:t>
                  </w:r>
                </w:p>
              </w:tc>
              <w:tc>
                <w:tcPr>
                  <w:tcW w:w="817" w:type="pct"/>
                  <w:noWrap w:val="0"/>
                  <w:vAlign w:val="center"/>
                </w:tcPr>
                <w:p w14:paraId="5A6ADD9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noWrap w:val="0"/>
                  <w:vAlign w:val="center"/>
                </w:tcPr>
                <w:p w14:paraId="3EB8D2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45.2</w:t>
                  </w:r>
                </w:p>
              </w:tc>
              <w:tc>
                <w:tcPr>
                  <w:tcW w:w="600" w:type="pct"/>
                  <w:noWrap w:val="0"/>
                  <w:vAlign w:val="center"/>
                </w:tcPr>
                <w:p w14:paraId="4F102B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0A55EC4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643D4E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45.2</w:t>
                  </w:r>
                </w:p>
              </w:tc>
            </w:tr>
            <w:tr w14:paraId="79A3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3EE094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460" w:type="pct"/>
                  <w:noWrap w:val="0"/>
                  <w:vAlign w:val="center"/>
                </w:tcPr>
                <w:p w14:paraId="7BDA65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原煤仓</w:t>
                  </w:r>
                </w:p>
              </w:tc>
              <w:tc>
                <w:tcPr>
                  <w:tcW w:w="550" w:type="pct"/>
                  <w:noWrap w:val="0"/>
                  <w:vAlign w:val="center"/>
                </w:tcPr>
                <w:p w14:paraId="6F734C9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6F9686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51070</w:t>
                  </w:r>
                </w:p>
              </w:tc>
              <w:tc>
                <w:tcPr>
                  <w:tcW w:w="817" w:type="pct"/>
                  <w:noWrap w:val="0"/>
                  <w:vAlign w:val="center"/>
                </w:tcPr>
                <w:p w14:paraId="0F15C0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550" w:type="pct"/>
                  <w:noWrap w:val="0"/>
                  <w:vAlign w:val="center"/>
                </w:tcPr>
                <w:p w14:paraId="2E0400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1072.47</w:t>
                  </w:r>
                </w:p>
              </w:tc>
              <w:tc>
                <w:tcPr>
                  <w:tcW w:w="600" w:type="pct"/>
                  <w:noWrap w:val="0"/>
                  <w:vAlign w:val="center"/>
                </w:tcPr>
                <w:p w14:paraId="0D7A73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748A92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0668F1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1072.47</w:t>
                  </w:r>
                </w:p>
              </w:tc>
            </w:tr>
            <w:tr w14:paraId="5681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noWrap w:val="0"/>
                  <w:vAlign w:val="center"/>
                </w:tcPr>
                <w:p w14:paraId="2A7681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460" w:type="pct"/>
                  <w:noWrap w:val="0"/>
                  <w:vAlign w:val="center"/>
                </w:tcPr>
                <w:p w14:paraId="13E728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汽车受煤坑</w:t>
                  </w:r>
                </w:p>
              </w:tc>
              <w:tc>
                <w:tcPr>
                  <w:tcW w:w="550" w:type="pct"/>
                  <w:noWrap w:val="0"/>
                  <w:vAlign w:val="center"/>
                </w:tcPr>
                <w:p w14:paraId="0458C4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38DC7A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16160</w:t>
                  </w:r>
                </w:p>
              </w:tc>
              <w:tc>
                <w:tcPr>
                  <w:tcW w:w="817" w:type="pct"/>
                  <w:noWrap w:val="0"/>
                  <w:vAlign w:val="center"/>
                </w:tcPr>
                <w:p w14:paraId="49BC6C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50" w:type="pct"/>
                  <w:noWrap w:val="0"/>
                  <w:vAlign w:val="center"/>
                </w:tcPr>
                <w:p w14:paraId="1E2370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600" w:type="pct"/>
                  <w:noWrap w:val="0"/>
                  <w:vAlign w:val="center"/>
                </w:tcPr>
                <w:p w14:paraId="2940F6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1273.62</w:t>
                  </w:r>
                </w:p>
              </w:tc>
              <w:tc>
                <w:tcPr>
                  <w:tcW w:w="508" w:type="pct"/>
                  <w:noWrap w:val="0"/>
                  <w:vAlign w:val="center"/>
                </w:tcPr>
                <w:p w14:paraId="438687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5B71969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1273.62</w:t>
                  </w:r>
                </w:p>
              </w:tc>
            </w:tr>
            <w:tr w14:paraId="3403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noWrap w:val="0"/>
                  <w:vAlign w:val="center"/>
                </w:tcPr>
                <w:p w14:paraId="7042F2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460" w:type="pct"/>
                  <w:noWrap w:val="0"/>
                  <w:vAlign w:val="center"/>
                </w:tcPr>
                <w:p w14:paraId="580EF3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汽车受煤坑至原煤仓带式输送机栈桥</w:t>
                  </w:r>
                </w:p>
              </w:tc>
              <w:tc>
                <w:tcPr>
                  <w:tcW w:w="550" w:type="pct"/>
                  <w:noWrap w:val="0"/>
                  <w:vAlign w:val="center"/>
                </w:tcPr>
                <w:p w14:paraId="273643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4375F0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2476.5</w:t>
                  </w:r>
                </w:p>
              </w:tc>
              <w:tc>
                <w:tcPr>
                  <w:tcW w:w="817" w:type="pct"/>
                  <w:noWrap w:val="0"/>
                  <w:vAlign w:val="center"/>
                </w:tcPr>
                <w:p w14:paraId="7F3DB0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550" w:type="pct"/>
                  <w:noWrap w:val="0"/>
                  <w:vAlign w:val="center"/>
                </w:tcPr>
                <w:p w14:paraId="6D09D19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286.04</w:t>
                  </w:r>
                </w:p>
              </w:tc>
              <w:tc>
                <w:tcPr>
                  <w:tcW w:w="600" w:type="pct"/>
                  <w:noWrap w:val="0"/>
                  <w:vAlign w:val="center"/>
                </w:tcPr>
                <w:p w14:paraId="32C484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435977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486B36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286.04</w:t>
                  </w:r>
                </w:p>
              </w:tc>
            </w:tr>
            <w:tr w14:paraId="20F7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noWrap w:val="0"/>
                  <w:vAlign w:val="center"/>
                </w:tcPr>
                <w:p w14:paraId="38A12B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460" w:type="pct"/>
                  <w:noWrap w:val="0"/>
                  <w:vAlign w:val="center"/>
                </w:tcPr>
                <w:p w14:paraId="4E317C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原煤仓至2号转载点带式输送机栈桥</w:t>
                  </w:r>
                </w:p>
              </w:tc>
              <w:tc>
                <w:tcPr>
                  <w:tcW w:w="550" w:type="pct"/>
                  <w:noWrap w:val="0"/>
                  <w:vAlign w:val="center"/>
                </w:tcPr>
                <w:p w14:paraId="25676A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28CCD2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748.1</w:t>
                  </w:r>
                </w:p>
              </w:tc>
              <w:tc>
                <w:tcPr>
                  <w:tcW w:w="817" w:type="pct"/>
                  <w:noWrap w:val="0"/>
                  <w:vAlign w:val="center"/>
                </w:tcPr>
                <w:p w14:paraId="613672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noWrap w:val="0"/>
                  <w:vAlign w:val="center"/>
                </w:tcPr>
                <w:p w14:paraId="1A894C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107.36</w:t>
                  </w:r>
                </w:p>
              </w:tc>
              <w:tc>
                <w:tcPr>
                  <w:tcW w:w="600" w:type="pct"/>
                  <w:noWrap w:val="0"/>
                  <w:vAlign w:val="center"/>
                </w:tcPr>
                <w:p w14:paraId="25860B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0F765D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116891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107.36</w:t>
                  </w:r>
                </w:p>
              </w:tc>
            </w:tr>
            <w:tr w14:paraId="5242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47" w:type="pct"/>
                  <w:noWrap w:val="0"/>
                  <w:vAlign w:val="center"/>
                </w:tcPr>
                <w:p w14:paraId="37F5AD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460" w:type="pct"/>
                  <w:noWrap w:val="0"/>
                  <w:vAlign w:val="center"/>
                </w:tcPr>
                <w:p w14:paraId="6FD8D4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2号转载点</w:t>
                  </w:r>
                </w:p>
              </w:tc>
              <w:tc>
                <w:tcPr>
                  <w:tcW w:w="550" w:type="pct"/>
                  <w:noWrap w:val="0"/>
                  <w:vAlign w:val="center"/>
                </w:tcPr>
                <w:p w14:paraId="2B84FA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3FCEF7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750</w:t>
                  </w:r>
                </w:p>
              </w:tc>
              <w:tc>
                <w:tcPr>
                  <w:tcW w:w="817" w:type="pct"/>
                  <w:noWrap w:val="0"/>
                  <w:vAlign w:val="center"/>
                </w:tcPr>
                <w:p w14:paraId="0EEA32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550" w:type="pct"/>
                  <w:noWrap w:val="0"/>
                  <w:vAlign w:val="center"/>
                </w:tcPr>
                <w:p w14:paraId="1F3DB9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65.63</w:t>
                  </w:r>
                </w:p>
              </w:tc>
              <w:tc>
                <w:tcPr>
                  <w:tcW w:w="600" w:type="pct"/>
                  <w:noWrap w:val="0"/>
                  <w:vAlign w:val="center"/>
                </w:tcPr>
                <w:p w14:paraId="293BF6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2B2094A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7FC69A8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65.63</w:t>
                  </w:r>
                </w:p>
              </w:tc>
            </w:tr>
            <w:tr w14:paraId="6D23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3" w:hRule="atLeast"/>
                <w:jc w:val="center"/>
              </w:trPr>
              <w:tc>
                <w:tcPr>
                  <w:tcW w:w="347" w:type="pct"/>
                  <w:noWrap w:val="0"/>
                  <w:vAlign w:val="center"/>
                </w:tcPr>
                <w:p w14:paraId="617038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460" w:type="pct"/>
                  <w:noWrap w:val="0"/>
                  <w:vAlign w:val="center"/>
                </w:tcPr>
                <w:p w14:paraId="30AF64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2号转载点至筛分车间带式输送机栈桥</w:t>
                  </w:r>
                </w:p>
              </w:tc>
              <w:tc>
                <w:tcPr>
                  <w:tcW w:w="550" w:type="pct"/>
                  <w:noWrap w:val="0"/>
                  <w:vAlign w:val="center"/>
                </w:tcPr>
                <w:p w14:paraId="092A96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1F16221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931.9</w:t>
                  </w:r>
                </w:p>
              </w:tc>
              <w:tc>
                <w:tcPr>
                  <w:tcW w:w="817" w:type="pct"/>
                  <w:noWrap w:val="0"/>
                  <w:vAlign w:val="center"/>
                </w:tcPr>
                <w:p w14:paraId="619070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w:t>
                  </w:r>
                </w:p>
              </w:tc>
              <w:tc>
                <w:tcPr>
                  <w:tcW w:w="550" w:type="pct"/>
                  <w:noWrap w:val="0"/>
                  <w:vAlign w:val="center"/>
                </w:tcPr>
                <w:p w14:paraId="25A6E0B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123.94</w:t>
                  </w:r>
                </w:p>
              </w:tc>
              <w:tc>
                <w:tcPr>
                  <w:tcW w:w="600" w:type="pct"/>
                  <w:noWrap w:val="0"/>
                  <w:vAlign w:val="center"/>
                </w:tcPr>
                <w:p w14:paraId="300119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6F93FFD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218E30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123.94</w:t>
                  </w:r>
                </w:p>
              </w:tc>
            </w:tr>
            <w:tr w14:paraId="320D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347" w:type="pct"/>
                  <w:noWrap w:val="0"/>
                  <w:vAlign w:val="center"/>
                </w:tcPr>
                <w:p w14:paraId="12A4B0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460" w:type="pct"/>
                  <w:noWrap w:val="0"/>
                  <w:vAlign w:val="center"/>
                </w:tcPr>
                <w:p w14:paraId="599112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筛分破碎车间（新建）</w:t>
                  </w:r>
                </w:p>
              </w:tc>
              <w:tc>
                <w:tcPr>
                  <w:tcW w:w="550" w:type="pct"/>
                  <w:noWrap w:val="0"/>
                  <w:vAlign w:val="center"/>
                </w:tcPr>
                <w:p w14:paraId="470B47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noWrap w:val="0"/>
                  <w:vAlign w:val="center"/>
                </w:tcPr>
                <w:p w14:paraId="3CDF265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9705</w:t>
                  </w:r>
                </w:p>
              </w:tc>
              <w:tc>
                <w:tcPr>
                  <w:tcW w:w="817" w:type="pct"/>
                  <w:noWrap w:val="0"/>
                  <w:vAlign w:val="center"/>
                </w:tcPr>
                <w:p w14:paraId="2047E4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0.7</w:t>
                  </w:r>
                </w:p>
              </w:tc>
              <w:tc>
                <w:tcPr>
                  <w:tcW w:w="550" w:type="pct"/>
                  <w:noWrap w:val="0"/>
                  <w:vAlign w:val="center"/>
                </w:tcPr>
                <w:p w14:paraId="42FA12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271.74</w:t>
                  </w:r>
                </w:p>
              </w:tc>
              <w:tc>
                <w:tcPr>
                  <w:tcW w:w="600" w:type="pct"/>
                  <w:noWrap w:val="0"/>
                  <w:vAlign w:val="center"/>
                </w:tcPr>
                <w:p w14:paraId="3323D4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840.67</w:t>
                  </w:r>
                </w:p>
              </w:tc>
              <w:tc>
                <w:tcPr>
                  <w:tcW w:w="508" w:type="pct"/>
                  <w:noWrap w:val="0"/>
                  <w:vAlign w:val="center"/>
                </w:tcPr>
                <w:p w14:paraId="605EF6D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51EAD0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1112.41</w:t>
                  </w:r>
                </w:p>
              </w:tc>
            </w:tr>
            <w:tr w14:paraId="7BE5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3" w:hRule="atLeast"/>
                <w:jc w:val="center"/>
              </w:trPr>
              <w:tc>
                <w:tcPr>
                  <w:tcW w:w="347" w:type="pct"/>
                  <w:noWrap w:val="0"/>
                  <w:vAlign w:val="center"/>
                </w:tcPr>
                <w:p w14:paraId="355B4D3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460" w:type="pct"/>
                  <w:noWrap w:val="0"/>
                  <w:vAlign w:val="center"/>
                </w:tcPr>
                <w:p w14:paraId="05E950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筛分破碎车间至主厂房带式输送机栈桥</w:t>
                  </w:r>
                </w:p>
              </w:tc>
              <w:tc>
                <w:tcPr>
                  <w:tcW w:w="550" w:type="pct"/>
                  <w:noWrap w:val="0"/>
                  <w:vAlign w:val="center"/>
                </w:tcPr>
                <w:p w14:paraId="06AFC28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7F5D7C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926.3</w:t>
                  </w:r>
                </w:p>
              </w:tc>
              <w:tc>
                <w:tcPr>
                  <w:tcW w:w="817" w:type="pct"/>
                  <w:noWrap w:val="0"/>
                  <w:vAlign w:val="center"/>
                </w:tcPr>
                <w:p w14:paraId="4AD396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550" w:type="pct"/>
                  <w:noWrap w:val="0"/>
                  <w:vAlign w:val="center"/>
                </w:tcPr>
                <w:p w14:paraId="36B5D36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113.47</w:t>
                  </w:r>
                </w:p>
              </w:tc>
              <w:tc>
                <w:tcPr>
                  <w:tcW w:w="600" w:type="pct"/>
                  <w:noWrap w:val="0"/>
                  <w:vAlign w:val="center"/>
                </w:tcPr>
                <w:p w14:paraId="256C5A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0461E6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0FE229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113.47</w:t>
                  </w:r>
                </w:p>
              </w:tc>
            </w:tr>
            <w:tr w14:paraId="5E5B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08F073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460" w:type="pct"/>
                  <w:noWrap w:val="0"/>
                  <w:vAlign w:val="center"/>
                </w:tcPr>
                <w:p w14:paraId="375F16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主厂房</w:t>
                  </w:r>
                </w:p>
              </w:tc>
              <w:tc>
                <w:tcPr>
                  <w:tcW w:w="550" w:type="pct"/>
                  <w:noWrap w:val="0"/>
                  <w:vAlign w:val="center"/>
                </w:tcPr>
                <w:p w14:paraId="6B6BD1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noWrap w:val="0"/>
                  <w:vAlign w:val="center"/>
                </w:tcPr>
                <w:p w14:paraId="494D30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54029</w:t>
                  </w:r>
                </w:p>
              </w:tc>
              <w:tc>
                <w:tcPr>
                  <w:tcW w:w="817" w:type="pct"/>
                  <w:noWrap w:val="0"/>
                  <w:vAlign w:val="center"/>
                </w:tcPr>
                <w:p w14:paraId="20D8E1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550" w:type="pct"/>
                  <w:noWrap w:val="0"/>
                  <w:vAlign w:val="center"/>
                </w:tcPr>
                <w:p w14:paraId="727FB3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1858.6</w:t>
                  </w:r>
                </w:p>
              </w:tc>
              <w:tc>
                <w:tcPr>
                  <w:tcW w:w="600" w:type="pct"/>
                  <w:noWrap w:val="0"/>
                  <w:vAlign w:val="center"/>
                </w:tcPr>
                <w:p w14:paraId="7E1937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871.91</w:t>
                  </w:r>
                </w:p>
              </w:tc>
              <w:tc>
                <w:tcPr>
                  <w:tcW w:w="508" w:type="pct"/>
                  <w:noWrap w:val="0"/>
                  <w:vAlign w:val="center"/>
                </w:tcPr>
                <w:p w14:paraId="7C5D10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44B9C5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2730.51</w:t>
                  </w:r>
                </w:p>
              </w:tc>
            </w:tr>
            <w:tr w14:paraId="13E5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noWrap w:val="0"/>
                  <w:vAlign w:val="center"/>
                </w:tcPr>
                <w:p w14:paraId="682F2D7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460" w:type="pct"/>
                  <w:noWrap w:val="0"/>
                  <w:vAlign w:val="center"/>
                </w:tcPr>
                <w:p w14:paraId="5C4FC08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主厂房至3号转载点带式输送机栈桥</w:t>
                  </w:r>
                </w:p>
              </w:tc>
              <w:tc>
                <w:tcPr>
                  <w:tcW w:w="550" w:type="pct"/>
                  <w:noWrap w:val="0"/>
                  <w:vAlign w:val="center"/>
                </w:tcPr>
                <w:p w14:paraId="0B43B2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5E177F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3074.5</w:t>
                  </w:r>
                </w:p>
              </w:tc>
              <w:tc>
                <w:tcPr>
                  <w:tcW w:w="817" w:type="pct"/>
                  <w:noWrap w:val="0"/>
                  <w:vAlign w:val="center"/>
                </w:tcPr>
                <w:p w14:paraId="1EC6F7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550" w:type="pct"/>
                  <w:noWrap w:val="0"/>
                  <w:vAlign w:val="center"/>
                </w:tcPr>
                <w:p w14:paraId="62632C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355.1</w:t>
                  </w:r>
                </w:p>
              </w:tc>
              <w:tc>
                <w:tcPr>
                  <w:tcW w:w="600" w:type="pct"/>
                  <w:noWrap w:val="0"/>
                  <w:vAlign w:val="center"/>
                </w:tcPr>
                <w:p w14:paraId="3C46BF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08" w:type="pct"/>
                  <w:noWrap w:val="0"/>
                  <w:vAlign w:val="center"/>
                </w:tcPr>
                <w:p w14:paraId="0D46A0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496" w:type="pct"/>
                  <w:noWrap w:val="0"/>
                  <w:vAlign w:val="center"/>
                </w:tcPr>
                <w:p w14:paraId="7B2756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355.1</w:t>
                  </w:r>
                </w:p>
              </w:tc>
            </w:tr>
            <w:tr w14:paraId="5186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noWrap w:val="0"/>
                  <w:vAlign w:val="center"/>
                </w:tcPr>
                <w:p w14:paraId="2584EA5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460" w:type="pct"/>
                  <w:noWrap w:val="0"/>
                  <w:vAlign w:val="center"/>
                </w:tcPr>
                <w:p w14:paraId="0DF782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3号转载点</w:t>
                  </w:r>
                </w:p>
              </w:tc>
              <w:tc>
                <w:tcPr>
                  <w:tcW w:w="550" w:type="pct"/>
                  <w:noWrap w:val="0"/>
                  <w:vAlign w:val="center"/>
                </w:tcPr>
                <w:p w14:paraId="3D9613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10AEB2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3112</w:t>
                  </w:r>
                </w:p>
              </w:tc>
              <w:tc>
                <w:tcPr>
                  <w:tcW w:w="817" w:type="pct"/>
                  <w:noWrap w:val="0"/>
                  <w:vAlign w:val="center"/>
                </w:tcPr>
                <w:p w14:paraId="7FFE96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noWrap w:val="0"/>
                  <w:vAlign w:val="center"/>
                </w:tcPr>
                <w:p w14:paraId="75DC19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271.84</w:t>
                  </w:r>
                </w:p>
              </w:tc>
              <w:tc>
                <w:tcPr>
                  <w:tcW w:w="600" w:type="pct"/>
                  <w:noWrap w:val="0"/>
                  <w:vAlign w:val="center"/>
                </w:tcPr>
                <w:p w14:paraId="676FFB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1BCFEF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284973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271.84</w:t>
                  </w:r>
                </w:p>
              </w:tc>
            </w:tr>
            <w:tr w14:paraId="375B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47" w:type="pct"/>
                  <w:shd w:val="clear" w:color="FFFFFF" w:fill="auto"/>
                  <w:noWrap w:val="0"/>
                  <w:vAlign w:val="center"/>
                </w:tcPr>
                <w:p w14:paraId="48E3D63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460" w:type="pct"/>
                  <w:shd w:val="clear" w:color="FFFFFF" w:fill="auto"/>
                  <w:noWrap w:val="0"/>
                  <w:vAlign w:val="center"/>
                </w:tcPr>
                <w:p w14:paraId="66B5D3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3号转载点至筛分破碎车间带式输送机栈桥</w:t>
                  </w:r>
                </w:p>
              </w:tc>
              <w:tc>
                <w:tcPr>
                  <w:tcW w:w="550" w:type="pct"/>
                  <w:shd w:val="clear" w:color="FFFFFF" w:fill="auto"/>
                  <w:noWrap w:val="0"/>
                  <w:vAlign w:val="center"/>
                </w:tcPr>
                <w:p w14:paraId="47C917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47108D5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210</w:t>
                  </w:r>
                </w:p>
              </w:tc>
              <w:tc>
                <w:tcPr>
                  <w:tcW w:w="817" w:type="pct"/>
                  <w:shd w:val="clear" w:color="FFFFFF" w:fill="auto"/>
                  <w:noWrap w:val="0"/>
                  <w:vAlign w:val="center"/>
                </w:tcPr>
                <w:p w14:paraId="111A62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193065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30.14</w:t>
                  </w:r>
                </w:p>
              </w:tc>
              <w:tc>
                <w:tcPr>
                  <w:tcW w:w="600" w:type="pct"/>
                  <w:shd w:val="clear" w:color="FFFFFF" w:fill="auto"/>
                  <w:noWrap w:val="0"/>
                  <w:vAlign w:val="center"/>
                </w:tcPr>
                <w:p w14:paraId="66A2BC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024220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AAB10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30.14</w:t>
                  </w:r>
                </w:p>
              </w:tc>
            </w:tr>
            <w:tr w14:paraId="29F2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7" w:hRule="atLeast"/>
                <w:jc w:val="center"/>
              </w:trPr>
              <w:tc>
                <w:tcPr>
                  <w:tcW w:w="347" w:type="pct"/>
                  <w:shd w:val="clear" w:color="FFFFFF" w:fill="auto"/>
                  <w:noWrap w:val="0"/>
                  <w:vAlign w:val="center"/>
                </w:tcPr>
                <w:p w14:paraId="3E8191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460" w:type="pct"/>
                  <w:shd w:val="clear" w:color="FFFFFF" w:fill="auto"/>
                  <w:noWrap w:val="0"/>
                  <w:vAlign w:val="center"/>
                </w:tcPr>
                <w:p w14:paraId="2AA6FB2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筛分破碎车间（原有）至锅炉煤仓带式输送机栈桥</w:t>
                  </w:r>
                </w:p>
              </w:tc>
              <w:tc>
                <w:tcPr>
                  <w:tcW w:w="550" w:type="pct"/>
                  <w:shd w:val="clear" w:color="FFFFFF" w:fill="auto"/>
                  <w:noWrap w:val="0"/>
                  <w:vAlign w:val="center"/>
                </w:tcPr>
                <w:p w14:paraId="42E05C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1877B3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195</w:t>
                  </w:r>
                </w:p>
              </w:tc>
              <w:tc>
                <w:tcPr>
                  <w:tcW w:w="817" w:type="pct"/>
                  <w:shd w:val="clear" w:color="FFFFFF" w:fill="auto"/>
                  <w:noWrap w:val="0"/>
                  <w:vAlign w:val="center"/>
                </w:tcPr>
                <w:p w14:paraId="338773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025FF5B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27.98</w:t>
                  </w:r>
                </w:p>
              </w:tc>
              <w:tc>
                <w:tcPr>
                  <w:tcW w:w="600" w:type="pct"/>
                  <w:shd w:val="clear" w:color="FFFFFF" w:fill="auto"/>
                  <w:noWrap w:val="0"/>
                  <w:vAlign w:val="center"/>
                </w:tcPr>
                <w:p w14:paraId="720FD8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CCAF5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7B97F5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27.98</w:t>
                  </w:r>
                </w:p>
              </w:tc>
            </w:tr>
            <w:tr w14:paraId="2214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3F713C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460" w:type="pct"/>
                  <w:shd w:val="clear" w:color="FFFFFF" w:fill="auto"/>
                  <w:noWrap w:val="0"/>
                  <w:vAlign w:val="center"/>
                </w:tcPr>
                <w:p w14:paraId="34273C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锅炉房</w:t>
                  </w:r>
                </w:p>
              </w:tc>
              <w:tc>
                <w:tcPr>
                  <w:tcW w:w="550" w:type="pct"/>
                  <w:shd w:val="clear" w:color="FFFFFF" w:fill="auto"/>
                  <w:noWrap w:val="0"/>
                  <w:vAlign w:val="center"/>
                </w:tcPr>
                <w:p w14:paraId="138931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5DB163A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15645</w:t>
                  </w:r>
                </w:p>
              </w:tc>
              <w:tc>
                <w:tcPr>
                  <w:tcW w:w="817" w:type="pct"/>
                  <w:shd w:val="clear" w:color="FFFFFF" w:fill="auto"/>
                  <w:noWrap w:val="0"/>
                  <w:vAlign w:val="center"/>
                </w:tcPr>
                <w:p w14:paraId="6F2D9CB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550" w:type="pct"/>
                  <w:shd w:val="clear" w:color="FFFFFF" w:fill="auto"/>
                  <w:noWrap w:val="0"/>
                  <w:vAlign w:val="center"/>
                </w:tcPr>
                <w:p w14:paraId="320663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500.64</w:t>
                  </w:r>
                </w:p>
              </w:tc>
              <w:tc>
                <w:tcPr>
                  <w:tcW w:w="600" w:type="pct"/>
                  <w:shd w:val="clear" w:color="FFFFFF" w:fill="auto"/>
                  <w:noWrap w:val="0"/>
                  <w:vAlign w:val="center"/>
                </w:tcPr>
                <w:p w14:paraId="6301202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3442E5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F5C46D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500.64</w:t>
                  </w:r>
                </w:p>
              </w:tc>
            </w:tr>
            <w:tr w14:paraId="7C78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41F751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460" w:type="pct"/>
                  <w:shd w:val="clear" w:color="FFFFFF" w:fill="auto"/>
                  <w:noWrap w:val="0"/>
                  <w:vAlign w:val="center"/>
                </w:tcPr>
                <w:p w14:paraId="0DD246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3号转载点至矸石仓带式输送机栈桥</w:t>
                  </w:r>
                </w:p>
              </w:tc>
              <w:tc>
                <w:tcPr>
                  <w:tcW w:w="550" w:type="pct"/>
                  <w:shd w:val="clear" w:color="FFFFFF" w:fill="auto"/>
                  <w:noWrap w:val="0"/>
                  <w:vAlign w:val="center"/>
                </w:tcPr>
                <w:p w14:paraId="5C6A52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4A758C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1754.5</w:t>
                  </w:r>
                </w:p>
              </w:tc>
              <w:tc>
                <w:tcPr>
                  <w:tcW w:w="817" w:type="pct"/>
                  <w:shd w:val="clear" w:color="FFFFFF" w:fill="auto"/>
                  <w:noWrap w:val="0"/>
                  <w:vAlign w:val="center"/>
                </w:tcPr>
                <w:p w14:paraId="0E15280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550" w:type="pct"/>
                  <w:shd w:val="clear" w:color="FFFFFF" w:fill="auto"/>
                  <w:noWrap w:val="0"/>
                  <w:vAlign w:val="center"/>
                </w:tcPr>
                <w:p w14:paraId="343D8B4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214.93</w:t>
                  </w:r>
                </w:p>
              </w:tc>
              <w:tc>
                <w:tcPr>
                  <w:tcW w:w="600" w:type="pct"/>
                  <w:shd w:val="clear" w:color="FFFFFF" w:fill="auto"/>
                  <w:noWrap w:val="0"/>
                  <w:vAlign w:val="center"/>
                </w:tcPr>
                <w:p w14:paraId="650579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AA66A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ED9D30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214.93</w:t>
                  </w:r>
                </w:p>
              </w:tc>
            </w:tr>
            <w:tr w14:paraId="3EE4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4A4499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460" w:type="pct"/>
                  <w:shd w:val="clear" w:color="FFFFFF" w:fill="auto"/>
                  <w:noWrap w:val="0"/>
                  <w:vAlign w:val="center"/>
                </w:tcPr>
                <w:p w14:paraId="6D3216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块煤及矸石仓</w:t>
                  </w:r>
                </w:p>
              </w:tc>
              <w:tc>
                <w:tcPr>
                  <w:tcW w:w="550" w:type="pct"/>
                  <w:shd w:val="clear" w:color="FFFFFF" w:fill="auto"/>
                  <w:noWrap w:val="0"/>
                  <w:vAlign w:val="center"/>
                </w:tcPr>
                <w:p w14:paraId="386EDD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2890E7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27580</w:t>
                  </w:r>
                </w:p>
              </w:tc>
              <w:tc>
                <w:tcPr>
                  <w:tcW w:w="817" w:type="pct"/>
                  <w:shd w:val="clear" w:color="FFFFFF" w:fill="auto"/>
                  <w:noWrap w:val="0"/>
                  <w:vAlign w:val="center"/>
                </w:tcPr>
                <w:p w14:paraId="44AD1B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0.6</w:t>
                  </w:r>
                </w:p>
              </w:tc>
              <w:tc>
                <w:tcPr>
                  <w:tcW w:w="550" w:type="pct"/>
                  <w:shd w:val="clear" w:color="FFFFFF" w:fill="auto"/>
                  <w:noWrap w:val="0"/>
                  <w:vAlign w:val="center"/>
                </w:tcPr>
                <w:p w14:paraId="47EC4C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579.18</w:t>
                  </w:r>
                </w:p>
              </w:tc>
              <w:tc>
                <w:tcPr>
                  <w:tcW w:w="600" w:type="pct"/>
                  <w:shd w:val="clear" w:color="FFFFFF" w:fill="auto"/>
                  <w:noWrap w:val="0"/>
                  <w:vAlign w:val="center"/>
                </w:tcPr>
                <w:p w14:paraId="20D05A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0CD5A1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25DDF90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579.18</w:t>
                  </w:r>
                </w:p>
              </w:tc>
            </w:tr>
            <w:tr w14:paraId="48A5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347" w:type="pct"/>
                  <w:shd w:val="clear" w:color="FFFFFF" w:fill="auto"/>
                  <w:noWrap w:val="0"/>
                  <w:vAlign w:val="center"/>
                </w:tcPr>
                <w:p w14:paraId="4DD73D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460" w:type="pct"/>
                  <w:shd w:val="clear" w:color="FFFFFF" w:fill="auto"/>
                  <w:noWrap w:val="0"/>
                  <w:vAlign w:val="center"/>
                </w:tcPr>
                <w:p w14:paraId="34349E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矸石仓至块煤带式输送机栈桥</w:t>
                  </w:r>
                </w:p>
              </w:tc>
              <w:tc>
                <w:tcPr>
                  <w:tcW w:w="550" w:type="pct"/>
                  <w:shd w:val="clear" w:color="FFFFFF" w:fill="auto"/>
                  <w:noWrap w:val="0"/>
                  <w:vAlign w:val="center"/>
                </w:tcPr>
                <w:p w14:paraId="30701D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7E0C8A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87.5</w:t>
                  </w:r>
                </w:p>
              </w:tc>
              <w:tc>
                <w:tcPr>
                  <w:tcW w:w="817" w:type="pct"/>
                  <w:shd w:val="clear" w:color="FFFFFF" w:fill="auto"/>
                  <w:noWrap w:val="0"/>
                  <w:vAlign w:val="center"/>
                </w:tcPr>
                <w:p w14:paraId="17B496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021A19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12.56</w:t>
                  </w:r>
                </w:p>
              </w:tc>
              <w:tc>
                <w:tcPr>
                  <w:tcW w:w="600" w:type="pct"/>
                  <w:shd w:val="clear" w:color="FFFFFF" w:fill="auto"/>
                  <w:noWrap w:val="0"/>
                  <w:vAlign w:val="center"/>
                </w:tcPr>
                <w:p w14:paraId="38583F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5FE494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C27810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12.56</w:t>
                  </w:r>
                </w:p>
              </w:tc>
            </w:tr>
            <w:tr w14:paraId="7862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40BBC7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19</w:t>
                  </w:r>
                </w:p>
              </w:tc>
              <w:tc>
                <w:tcPr>
                  <w:tcW w:w="460" w:type="pct"/>
                  <w:shd w:val="clear" w:color="FFFFFF" w:fill="auto"/>
                  <w:noWrap w:val="0"/>
                  <w:vAlign w:val="center"/>
                </w:tcPr>
                <w:p w14:paraId="0C68609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浓缩池</w:t>
                  </w:r>
                </w:p>
              </w:tc>
              <w:tc>
                <w:tcPr>
                  <w:tcW w:w="550" w:type="pct"/>
                  <w:shd w:val="clear" w:color="FFFFFF" w:fill="auto"/>
                  <w:noWrap w:val="0"/>
                  <w:vAlign w:val="center"/>
                </w:tcPr>
                <w:p w14:paraId="3B82B1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20730A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11820</w:t>
                  </w:r>
                </w:p>
              </w:tc>
              <w:tc>
                <w:tcPr>
                  <w:tcW w:w="817" w:type="pct"/>
                  <w:shd w:val="clear" w:color="FFFFFF" w:fill="auto"/>
                  <w:noWrap w:val="0"/>
                  <w:vAlign w:val="center"/>
                </w:tcPr>
                <w:p w14:paraId="558EDE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p>
              </w:tc>
              <w:tc>
                <w:tcPr>
                  <w:tcW w:w="550" w:type="pct"/>
                  <w:shd w:val="clear" w:color="FFFFFF" w:fill="auto"/>
                  <w:noWrap w:val="0"/>
                  <w:vAlign w:val="center"/>
                </w:tcPr>
                <w:p w14:paraId="791B6D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378.24</w:t>
                  </w:r>
                </w:p>
              </w:tc>
              <w:tc>
                <w:tcPr>
                  <w:tcW w:w="600" w:type="pct"/>
                  <w:shd w:val="clear" w:color="FFFFFF" w:fill="auto"/>
                  <w:noWrap w:val="0"/>
                  <w:vAlign w:val="center"/>
                </w:tcPr>
                <w:p w14:paraId="566BD8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CCAF7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85B4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378.24</w:t>
                  </w:r>
                </w:p>
              </w:tc>
            </w:tr>
            <w:tr w14:paraId="56D2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3A50C1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460" w:type="pct"/>
                  <w:shd w:val="clear" w:color="FFFFFF" w:fill="auto"/>
                  <w:noWrap w:val="0"/>
                  <w:vAlign w:val="center"/>
                </w:tcPr>
                <w:p w14:paraId="456C2F8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浓缩车间泵房</w:t>
                  </w:r>
                </w:p>
              </w:tc>
              <w:tc>
                <w:tcPr>
                  <w:tcW w:w="550" w:type="pct"/>
                  <w:shd w:val="clear" w:color="FFFFFF" w:fill="auto"/>
                  <w:noWrap w:val="0"/>
                  <w:vAlign w:val="center"/>
                </w:tcPr>
                <w:p w14:paraId="0CCFD8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29ECE5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1636</w:t>
                  </w:r>
                </w:p>
              </w:tc>
              <w:tc>
                <w:tcPr>
                  <w:tcW w:w="817" w:type="pct"/>
                  <w:shd w:val="clear" w:color="FFFFFF" w:fill="auto"/>
                  <w:noWrap w:val="0"/>
                  <w:vAlign w:val="center"/>
                </w:tcPr>
                <w:p w14:paraId="73CA6E3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shd w:val="clear" w:color="FFFFFF" w:fill="auto"/>
                  <w:noWrap w:val="0"/>
                  <w:vAlign w:val="center"/>
                </w:tcPr>
                <w:p w14:paraId="50A83E6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130.88</w:t>
                  </w:r>
                </w:p>
              </w:tc>
              <w:tc>
                <w:tcPr>
                  <w:tcW w:w="600" w:type="pct"/>
                  <w:shd w:val="clear" w:color="FFFFFF" w:fill="auto"/>
                  <w:noWrap w:val="0"/>
                  <w:vAlign w:val="center"/>
                </w:tcPr>
                <w:p w14:paraId="366C3D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0D9F76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C9017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130.88</w:t>
                  </w:r>
                </w:p>
              </w:tc>
            </w:tr>
            <w:tr w14:paraId="36F2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1EB369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460" w:type="pct"/>
                  <w:noWrap w:val="0"/>
                  <w:vAlign w:val="center"/>
                </w:tcPr>
                <w:p w14:paraId="1C660E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介质库</w:t>
                  </w:r>
                </w:p>
              </w:tc>
              <w:tc>
                <w:tcPr>
                  <w:tcW w:w="550" w:type="pct"/>
                  <w:noWrap w:val="0"/>
                  <w:vAlign w:val="center"/>
                </w:tcPr>
                <w:p w14:paraId="7F2650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16D2FF8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345</w:t>
                  </w:r>
                </w:p>
              </w:tc>
              <w:tc>
                <w:tcPr>
                  <w:tcW w:w="817" w:type="pct"/>
                  <w:noWrap w:val="0"/>
                  <w:vAlign w:val="center"/>
                </w:tcPr>
                <w:p w14:paraId="32CFA7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noWrap w:val="0"/>
                  <w:vAlign w:val="bottom"/>
                </w:tcPr>
                <w:p w14:paraId="618A910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24.15</w:t>
                  </w:r>
                </w:p>
              </w:tc>
              <w:tc>
                <w:tcPr>
                  <w:tcW w:w="600" w:type="pct"/>
                  <w:noWrap w:val="0"/>
                  <w:vAlign w:val="center"/>
                </w:tcPr>
                <w:p w14:paraId="48ABBA1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11E8109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bottom"/>
                </w:tcPr>
                <w:p w14:paraId="7AD7317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24.15</w:t>
                  </w:r>
                </w:p>
              </w:tc>
            </w:tr>
            <w:tr w14:paraId="282F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6D56FD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w:t>
                  </w:r>
                </w:p>
              </w:tc>
              <w:tc>
                <w:tcPr>
                  <w:tcW w:w="460" w:type="pct"/>
                  <w:noWrap w:val="0"/>
                  <w:vAlign w:val="center"/>
                </w:tcPr>
                <w:p w14:paraId="5C98012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压风机房</w:t>
                  </w:r>
                </w:p>
              </w:tc>
              <w:tc>
                <w:tcPr>
                  <w:tcW w:w="550" w:type="pct"/>
                  <w:noWrap w:val="0"/>
                  <w:vAlign w:val="center"/>
                </w:tcPr>
                <w:p w14:paraId="7B8B50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noWrap w:val="0"/>
                  <w:vAlign w:val="center"/>
                </w:tcPr>
                <w:p w14:paraId="0AF3473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2530</w:t>
                  </w:r>
                </w:p>
              </w:tc>
              <w:tc>
                <w:tcPr>
                  <w:tcW w:w="817" w:type="pct"/>
                  <w:noWrap w:val="0"/>
                  <w:vAlign w:val="center"/>
                </w:tcPr>
                <w:p w14:paraId="741FB70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550" w:type="pct"/>
                  <w:noWrap w:val="0"/>
                  <w:vAlign w:val="center"/>
                </w:tcPr>
                <w:p w14:paraId="336C3B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123.97</w:t>
                  </w:r>
                </w:p>
              </w:tc>
              <w:tc>
                <w:tcPr>
                  <w:tcW w:w="600" w:type="pct"/>
                  <w:noWrap w:val="0"/>
                  <w:vAlign w:val="center"/>
                </w:tcPr>
                <w:p w14:paraId="09A8DB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1EA5C3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63440E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123.97</w:t>
                  </w:r>
                </w:p>
              </w:tc>
            </w:tr>
            <w:tr w14:paraId="68FE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47" w:type="pct"/>
                  <w:noWrap w:val="0"/>
                  <w:vAlign w:val="center"/>
                </w:tcPr>
                <w:p w14:paraId="3D77C3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w:t>
                  </w:r>
                </w:p>
              </w:tc>
              <w:tc>
                <w:tcPr>
                  <w:tcW w:w="460" w:type="pct"/>
                  <w:noWrap w:val="0"/>
                  <w:vAlign w:val="center"/>
                </w:tcPr>
                <w:p w14:paraId="26D9AB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集中控化验配电楼</w:t>
                  </w:r>
                </w:p>
              </w:tc>
              <w:tc>
                <w:tcPr>
                  <w:tcW w:w="550" w:type="pct"/>
                  <w:noWrap w:val="0"/>
                  <w:vAlign w:val="center"/>
                </w:tcPr>
                <w:p w14:paraId="2EFA037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noWrap w:val="0"/>
                  <w:vAlign w:val="center"/>
                </w:tcPr>
                <w:p w14:paraId="5E0DFA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7930</w:t>
                  </w:r>
                </w:p>
              </w:tc>
              <w:tc>
                <w:tcPr>
                  <w:tcW w:w="817" w:type="pct"/>
                  <w:noWrap w:val="0"/>
                  <w:vAlign w:val="center"/>
                </w:tcPr>
                <w:p w14:paraId="7F1A0C5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50" w:type="pct"/>
                  <w:noWrap w:val="0"/>
                  <w:vAlign w:val="center"/>
                </w:tcPr>
                <w:p w14:paraId="24409B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409.19</w:t>
                  </w:r>
                </w:p>
              </w:tc>
              <w:tc>
                <w:tcPr>
                  <w:tcW w:w="600" w:type="pct"/>
                  <w:noWrap w:val="0"/>
                  <w:vAlign w:val="center"/>
                </w:tcPr>
                <w:p w14:paraId="430AAE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61E243B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4055369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409.19</w:t>
                  </w:r>
                </w:p>
              </w:tc>
            </w:tr>
            <w:tr w14:paraId="7253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noWrap w:val="0"/>
                  <w:vAlign w:val="center"/>
                </w:tcPr>
                <w:p w14:paraId="4B07F8C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w:t>
                  </w:r>
                </w:p>
              </w:tc>
              <w:tc>
                <w:tcPr>
                  <w:tcW w:w="460" w:type="pct"/>
                  <w:noWrap w:val="0"/>
                  <w:vAlign w:val="center"/>
                </w:tcPr>
                <w:p w14:paraId="707C44B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机修车间</w:t>
                  </w:r>
                </w:p>
              </w:tc>
              <w:tc>
                <w:tcPr>
                  <w:tcW w:w="550" w:type="pct"/>
                  <w:noWrap w:val="0"/>
                  <w:vAlign w:val="center"/>
                </w:tcPr>
                <w:p w14:paraId="4827A1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noWrap w:val="0"/>
                  <w:vAlign w:val="center"/>
                </w:tcPr>
                <w:p w14:paraId="7CB77B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4050</w:t>
                  </w:r>
                </w:p>
              </w:tc>
              <w:tc>
                <w:tcPr>
                  <w:tcW w:w="817" w:type="pct"/>
                  <w:noWrap w:val="0"/>
                  <w:vAlign w:val="center"/>
                </w:tcPr>
                <w:p w14:paraId="4D7E8E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50" w:type="pct"/>
                  <w:noWrap w:val="0"/>
                  <w:vAlign w:val="center"/>
                </w:tcPr>
                <w:p w14:paraId="50C724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210.6</w:t>
                  </w:r>
                </w:p>
              </w:tc>
              <w:tc>
                <w:tcPr>
                  <w:tcW w:w="600" w:type="pct"/>
                  <w:noWrap w:val="0"/>
                  <w:vAlign w:val="center"/>
                </w:tcPr>
                <w:p w14:paraId="683179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noWrap w:val="0"/>
                  <w:vAlign w:val="center"/>
                </w:tcPr>
                <w:p w14:paraId="5B18A8C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noWrap w:val="0"/>
                  <w:vAlign w:val="center"/>
                </w:tcPr>
                <w:p w14:paraId="4EC0FE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210.6</w:t>
                  </w:r>
                </w:p>
              </w:tc>
            </w:tr>
            <w:tr w14:paraId="5245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32489C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460" w:type="pct"/>
                  <w:shd w:val="clear" w:color="FFFFFF" w:fill="auto"/>
                  <w:noWrap w:val="0"/>
                  <w:vAlign w:val="center"/>
                </w:tcPr>
                <w:p w14:paraId="2D92EC7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材料库</w:t>
                  </w:r>
                </w:p>
              </w:tc>
              <w:tc>
                <w:tcPr>
                  <w:tcW w:w="550" w:type="pct"/>
                  <w:shd w:val="clear" w:color="FFFFFF" w:fill="auto"/>
                  <w:noWrap w:val="0"/>
                  <w:vAlign w:val="center"/>
                </w:tcPr>
                <w:p w14:paraId="37022DC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7EFF0A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4050</w:t>
                  </w:r>
                </w:p>
              </w:tc>
              <w:tc>
                <w:tcPr>
                  <w:tcW w:w="817" w:type="pct"/>
                  <w:shd w:val="clear" w:color="FFFFFF" w:fill="auto"/>
                  <w:noWrap w:val="0"/>
                  <w:vAlign w:val="center"/>
                </w:tcPr>
                <w:p w14:paraId="469625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550" w:type="pct"/>
                  <w:shd w:val="clear" w:color="FFFFFF" w:fill="auto"/>
                  <w:noWrap w:val="0"/>
                  <w:vAlign w:val="center"/>
                </w:tcPr>
                <w:p w14:paraId="1D2B22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283.5</w:t>
                  </w:r>
                </w:p>
              </w:tc>
              <w:tc>
                <w:tcPr>
                  <w:tcW w:w="600" w:type="pct"/>
                  <w:shd w:val="clear" w:color="FFFFFF" w:fill="auto"/>
                  <w:noWrap w:val="0"/>
                  <w:vAlign w:val="center"/>
                </w:tcPr>
                <w:p w14:paraId="36613E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58E9A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2B14D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283.5</w:t>
                  </w:r>
                </w:p>
              </w:tc>
            </w:tr>
            <w:tr w14:paraId="7A0D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6145F3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w:t>
                  </w:r>
                </w:p>
              </w:tc>
              <w:tc>
                <w:tcPr>
                  <w:tcW w:w="460" w:type="pct"/>
                  <w:shd w:val="clear" w:color="FFFFFF" w:fill="auto"/>
                  <w:noWrap w:val="0"/>
                  <w:vAlign w:val="center"/>
                </w:tcPr>
                <w:p w14:paraId="345F291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综合办公楼</w:t>
                  </w:r>
                </w:p>
              </w:tc>
              <w:tc>
                <w:tcPr>
                  <w:tcW w:w="550" w:type="pct"/>
                  <w:shd w:val="clear" w:color="FFFFFF" w:fill="auto"/>
                  <w:noWrap w:val="0"/>
                  <w:vAlign w:val="center"/>
                </w:tcPr>
                <w:p w14:paraId="2D1A028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shd w:val="clear" w:color="FFFFFF" w:fill="auto"/>
                  <w:noWrap w:val="0"/>
                  <w:vAlign w:val="center"/>
                </w:tcPr>
                <w:p w14:paraId="5E3D22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10860</w:t>
                  </w:r>
                </w:p>
              </w:tc>
              <w:tc>
                <w:tcPr>
                  <w:tcW w:w="817" w:type="pct"/>
                  <w:shd w:val="clear" w:color="FFFFFF" w:fill="auto"/>
                  <w:noWrap w:val="0"/>
                  <w:vAlign w:val="center"/>
                </w:tcPr>
                <w:p w14:paraId="4C79C54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550" w:type="pct"/>
                  <w:shd w:val="clear" w:color="FFFFFF" w:fill="auto"/>
                  <w:noWrap w:val="0"/>
                  <w:vAlign w:val="center"/>
                </w:tcPr>
                <w:p w14:paraId="3BC4BB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560.38</w:t>
                  </w:r>
                </w:p>
              </w:tc>
              <w:tc>
                <w:tcPr>
                  <w:tcW w:w="600" w:type="pct"/>
                  <w:shd w:val="clear" w:color="FFFFFF" w:fill="auto"/>
                  <w:noWrap w:val="0"/>
                  <w:vAlign w:val="center"/>
                </w:tcPr>
                <w:p w14:paraId="16E45D9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34A126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FBF8B2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560.38</w:t>
                  </w:r>
                </w:p>
              </w:tc>
            </w:tr>
            <w:tr w14:paraId="2350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107C7B8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w:t>
                  </w:r>
                </w:p>
              </w:tc>
              <w:tc>
                <w:tcPr>
                  <w:tcW w:w="460" w:type="pct"/>
                  <w:shd w:val="clear" w:color="FFFFFF" w:fill="auto"/>
                  <w:noWrap w:val="0"/>
                  <w:vAlign w:val="center"/>
                </w:tcPr>
                <w:p w14:paraId="1B50BE1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地磅房</w:t>
                  </w:r>
                </w:p>
              </w:tc>
              <w:tc>
                <w:tcPr>
                  <w:tcW w:w="550" w:type="pct"/>
                  <w:shd w:val="clear" w:color="FFFFFF" w:fill="auto"/>
                  <w:noWrap w:val="0"/>
                  <w:vAlign w:val="center"/>
                </w:tcPr>
                <w:p w14:paraId="563E4E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w:t>
                  </w:r>
                </w:p>
              </w:tc>
              <w:tc>
                <w:tcPr>
                  <w:tcW w:w="667" w:type="pct"/>
                  <w:shd w:val="clear" w:color="FFFFFF" w:fill="auto"/>
                  <w:noWrap w:val="0"/>
                  <w:vAlign w:val="center"/>
                </w:tcPr>
                <w:p w14:paraId="3C276FA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1031</w:t>
                  </w:r>
                </w:p>
              </w:tc>
              <w:tc>
                <w:tcPr>
                  <w:tcW w:w="817" w:type="pct"/>
                  <w:shd w:val="clear" w:color="FFFFFF" w:fill="auto"/>
                  <w:noWrap w:val="0"/>
                  <w:vAlign w:val="center"/>
                </w:tcPr>
                <w:p w14:paraId="4D9CC1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w:t>
                  </w:r>
                </w:p>
              </w:tc>
              <w:tc>
                <w:tcPr>
                  <w:tcW w:w="550" w:type="pct"/>
                  <w:shd w:val="clear" w:color="FFFFFF" w:fill="auto"/>
                  <w:noWrap w:val="0"/>
                  <w:vAlign w:val="center"/>
                </w:tcPr>
                <w:p w14:paraId="417412D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93.1</w:t>
                  </w:r>
                </w:p>
              </w:tc>
              <w:tc>
                <w:tcPr>
                  <w:tcW w:w="600" w:type="pct"/>
                  <w:shd w:val="clear" w:color="FFFFFF" w:fill="auto"/>
                  <w:noWrap w:val="0"/>
                  <w:vAlign w:val="center"/>
                </w:tcPr>
                <w:p w14:paraId="658E55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002E2F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2259A4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93.1</w:t>
                  </w:r>
                </w:p>
              </w:tc>
            </w:tr>
            <w:tr w14:paraId="110D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347" w:type="pct"/>
                  <w:shd w:val="clear" w:color="FFFFFF" w:fill="auto"/>
                  <w:noWrap w:val="0"/>
                  <w:vAlign w:val="center"/>
                </w:tcPr>
                <w:p w14:paraId="1BAAC3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w:t>
                  </w:r>
                </w:p>
              </w:tc>
              <w:tc>
                <w:tcPr>
                  <w:tcW w:w="460" w:type="pct"/>
                  <w:shd w:val="clear" w:color="FFFFFF" w:fill="auto"/>
                  <w:noWrap w:val="0"/>
                  <w:vAlign w:val="center"/>
                </w:tcPr>
                <w:p w14:paraId="56AA6A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生产消防水池泵房</w:t>
                  </w:r>
                </w:p>
              </w:tc>
              <w:tc>
                <w:tcPr>
                  <w:tcW w:w="550" w:type="pct"/>
                  <w:shd w:val="clear" w:color="FFFFFF" w:fill="auto"/>
                  <w:noWrap w:val="0"/>
                  <w:vAlign w:val="center"/>
                </w:tcPr>
                <w:p w14:paraId="0FB531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11A01C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265</w:t>
                  </w:r>
                </w:p>
              </w:tc>
              <w:tc>
                <w:tcPr>
                  <w:tcW w:w="817" w:type="pct"/>
                  <w:shd w:val="clear" w:color="FFFFFF" w:fill="auto"/>
                  <w:noWrap w:val="0"/>
                  <w:vAlign w:val="center"/>
                </w:tcPr>
                <w:p w14:paraId="259FFB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550" w:type="pct"/>
                  <w:shd w:val="clear" w:color="FFFFFF" w:fill="auto"/>
                  <w:noWrap w:val="0"/>
                  <w:vAlign w:val="center"/>
                </w:tcPr>
                <w:p w14:paraId="08DC373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31.8</w:t>
                  </w:r>
                </w:p>
              </w:tc>
              <w:tc>
                <w:tcPr>
                  <w:tcW w:w="600" w:type="pct"/>
                  <w:shd w:val="clear" w:color="FFFFFF" w:fill="auto"/>
                  <w:noWrap w:val="0"/>
                  <w:vAlign w:val="center"/>
                </w:tcPr>
                <w:p w14:paraId="5B15EE5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7FECA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118054B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31.8</w:t>
                  </w:r>
                </w:p>
              </w:tc>
            </w:tr>
            <w:tr w14:paraId="78E3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53A83E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29</w:t>
                  </w:r>
                </w:p>
              </w:tc>
              <w:tc>
                <w:tcPr>
                  <w:tcW w:w="460" w:type="pct"/>
                  <w:shd w:val="clear" w:color="FFFFFF" w:fill="auto"/>
                  <w:noWrap w:val="0"/>
                  <w:vAlign w:val="center"/>
                </w:tcPr>
                <w:p w14:paraId="453AD3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中间水池泵房</w:t>
                  </w:r>
                </w:p>
              </w:tc>
              <w:tc>
                <w:tcPr>
                  <w:tcW w:w="550" w:type="pct"/>
                  <w:shd w:val="clear" w:color="FFFFFF" w:fill="auto"/>
                  <w:noWrap w:val="0"/>
                  <w:vAlign w:val="center"/>
                </w:tcPr>
                <w:p w14:paraId="117D79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667" w:type="pct"/>
                  <w:shd w:val="clear" w:color="FFFFFF" w:fill="auto"/>
                  <w:noWrap w:val="0"/>
                  <w:vAlign w:val="center"/>
                </w:tcPr>
                <w:p w14:paraId="35E486D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870</w:t>
                  </w:r>
                </w:p>
              </w:tc>
              <w:tc>
                <w:tcPr>
                  <w:tcW w:w="817" w:type="pct"/>
                  <w:shd w:val="clear" w:color="FFFFFF" w:fill="auto"/>
                  <w:noWrap w:val="0"/>
                  <w:vAlign w:val="center"/>
                </w:tcPr>
                <w:p w14:paraId="3D3C394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550" w:type="pct"/>
                  <w:shd w:val="clear" w:color="FFFFFF" w:fill="auto"/>
                  <w:noWrap w:val="0"/>
                  <w:vAlign w:val="center"/>
                </w:tcPr>
                <w:p w14:paraId="3D3B2BF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104.4</w:t>
                  </w:r>
                </w:p>
              </w:tc>
              <w:tc>
                <w:tcPr>
                  <w:tcW w:w="600" w:type="pct"/>
                  <w:shd w:val="clear" w:color="FFFFFF" w:fill="auto"/>
                  <w:noWrap w:val="0"/>
                  <w:vAlign w:val="center"/>
                </w:tcPr>
                <w:p w14:paraId="1F0167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2DDF0C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B09F8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104.4</w:t>
                  </w:r>
                </w:p>
              </w:tc>
            </w:tr>
            <w:tr w14:paraId="1780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347" w:type="pct"/>
                  <w:shd w:val="clear" w:color="FFFFFF" w:fill="auto"/>
                  <w:noWrap w:val="0"/>
                  <w:vAlign w:val="center"/>
                </w:tcPr>
                <w:p w14:paraId="22D375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w:t>
                  </w:r>
                </w:p>
              </w:tc>
              <w:tc>
                <w:tcPr>
                  <w:tcW w:w="460" w:type="pct"/>
                  <w:shd w:val="clear" w:color="FFFFFF" w:fill="auto"/>
                  <w:noWrap w:val="0"/>
                  <w:vAlign w:val="center"/>
                </w:tcPr>
                <w:p w14:paraId="050846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井口房至一号点栈桥</w:t>
                  </w:r>
                </w:p>
              </w:tc>
              <w:tc>
                <w:tcPr>
                  <w:tcW w:w="550" w:type="pct"/>
                  <w:shd w:val="clear" w:color="FFFFFF" w:fill="auto"/>
                  <w:noWrap w:val="0"/>
                  <w:vAlign w:val="center"/>
                </w:tcPr>
                <w:p w14:paraId="033C69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183F01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388.1</w:t>
                  </w:r>
                </w:p>
              </w:tc>
              <w:tc>
                <w:tcPr>
                  <w:tcW w:w="817" w:type="pct"/>
                  <w:shd w:val="clear" w:color="FFFFFF" w:fill="auto"/>
                  <w:noWrap w:val="0"/>
                  <w:vAlign w:val="center"/>
                </w:tcPr>
                <w:p w14:paraId="4DCAB6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w:t>
                  </w:r>
                </w:p>
              </w:tc>
              <w:tc>
                <w:tcPr>
                  <w:tcW w:w="550" w:type="pct"/>
                  <w:shd w:val="clear" w:color="FFFFFF" w:fill="auto"/>
                  <w:noWrap w:val="0"/>
                  <w:vAlign w:val="center"/>
                </w:tcPr>
                <w:p w14:paraId="57EF2E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54.33</w:t>
                  </w:r>
                </w:p>
              </w:tc>
              <w:tc>
                <w:tcPr>
                  <w:tcW w:w="600" w:type="pct"/>
                  <w:shd w:val="clear" w:color="FFFFFF" w:fill="auto"/>
                  <w:noWrap w:val="0"/>
                  <w:vAlign w:val="center"/>
                </w:tcPr>
                <w:p w14:paraId="710D7E6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AC69D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7DF613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54.33</w:t>
                  </w:r>
                </w:p>
              </w:tc>
            </w:tr>
            <w:tr w14:paraId="3FAC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38E8FD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31</w:t>
                  </w:r>
                </w:p>
              </w:tc>
              <w:tc>
                <w:tcPr>
                  <w:tcW w:w="460" w:type="pct"/>
                  <w:shd w:val="clear" w:color="FFFFFF" w:fill="auto"/>
                  <w:noWrap w:val="0"/>
                  <w:vAlign w:val="center"/>
                </w:tcPr>
                <w:p w14:paraId="34A360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一号转载点</w:t>
                  </w:r>
                </w:p>
              </w:tc>
              <w:tc>
                <w:tcPr>
                  <w:tcW w:w="550" w:type="pct"/>
                  <w:shd w:val="clear" w:color="FFFFFF" w:fill="auto"/>
                  <w:noWrap w:val="0"/>
                  <w:vAlign w:val="center"/>
                </w:tcPr>
                <w:p w14:paraId="1B183D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24A9BB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123.2</w:t>
                  </w:r>
                </w:p>
              </w:tc>
              <w:tc>
                <w:tcPr>
                  <w:tcW w:w="817" w:type="pct"/>
                  <w:shd w:val="clear" w:color="FFFFFF" w:fill="auto"/>
                  <w:noWrap w:val="0"/>
                  <w:vAlign w:val="center"/>
                </w:tcPr>
                <w:p w14:paraId="41316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50" w:type="pct"/>
                  <w:shd w:val="clear" w:color="FFFFFF" w:fill="auto"/>
                  <w:noWrap w:val="0"/>
                  <w:vAlign w:val="center"/>
                </w:tcPr>
                <w:p w14:paraId="79C79E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5.61</w:t>
                  </w:r>
                </w:p>
              </w:tc>
              <w:tc>
                <w:tcPr>
                  <w:tcW w:w="600" w:type="pct"/>
                  <w:shd w:val="clear" w:color="FFFFFF" w:fill="auto"/>
                  <w:noWrap w:val="0"/>
                  <w:vAlign w:val="center"/>
                </w:tcPr>
                <w:p w14:paraId="28F8F15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240B6C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9EAA5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5.61</w:t>
                  </w:r>
                </w:p>
              </w:tc>
            </w:tr>
            <w:tr w14:paraId="71A2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35F670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w:t>
                  </w:r>
                </w:p>
              </w:tc>
              <w:tc>
                <w:tcPr>
                  <w:tcW w:w="460" w:type="pct"/>
                  <w:shd w:val="clear" w:color="FFFFFF" w:fill="auto"/>
                  <w:noWrap w:val="0"/>
                  <w:vAlign w:val="center"/>
                </w:tcPr>
                <w:p w14:paraId="4185C4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一号转载点至原有筛分破碎车间栈桥</w:t>
                  </w:r>
                </w:p>
              </w:tc>
              <w:tc>
                <w:tcPr>
                  <w:tcW w:w="550" w:type="pct"/>
                  <w:shd w:val="clear" w:color="FFFFFF" w:fill="auto"/>
                  <w:noWrap w:val="0"/>
                  <w:vAlign w:val="center"/>
                </w:tcPr>
                <w:p w14:paraId="68B2861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59D2D2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3960</w:t>
                  </w:r>
                </w:p>
              </w:tc>
              <w:tc>
                <w:tcPr>
                  <w:tcW w:w="817" w:type="pct"/>
                  <w:shd w:val="clear" w:color="FFFFFF" w:fill="auto"/>
                  <w:noWrap w:val="0"/>
                  <w:vAlign w:val="center"/>
                </w:tcPr>
                <w:p w14:paraId="7795ACF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3.9</w:t>
                  </w:r>
                </w:p>
              </w:tc>
              <w:tc>
                <w:tcPr>
                  <w:tcW w:w="550" w:type="pct"/>
                  <w:shd w:val="clear" w:color="FFFFFF" w:fill="auto"/>
                  <w:noWrap w:val="0"/>
                  <w:vAlign w:val="center"/>
                </w:tcPr>
                <w:p w14:paraId="6B3092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540.54</w:t>
                  </w:r>
                </w:p>
              </w:tc>
              <w:tc>
                <w:tcPr>
                  <w:tcW w:w="600" w:type="pct"/>
                  <w:shd w:val="clear" w:color="FFFFFF" w:fill="auto"/>
                  <w:noWrap w:val="0"/>
                  <w:vAlign w:val="center"/>
                </w:tcPr>
                <w:p w14:paraId="3D3C0F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3CCFD75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5DC2E7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540.54</w:t>
                  </w:r>
                </w:p>
              </w:tc>
            </w:tr>
            <w:tr w14:paraId="58CF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59D28BE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460" w:type="pct"/>
                  <w:shd w:val="clear" w:color="FFFFFF" w:fill="auto"/>
                  <w:noWrap w:val="0"/>
                  <w:vAlign w:val="center"/>
                </w:tcPr>
                <w:p w14:paraId="1EB6D3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原有筛分破碎车间</w:t>
                  </w:r>
                </w:p>
              </w:tc>
              <w:tc>
                <w:tcPr>
                  <w:tcW w:w="550" w:type="pct"/>
                  <w:shd w:val="clear" w:color="FFFFFF" w:fill="auto"/>
                  <w:noWrap w:val="0"/>
                  <w:vAlign w:val="center"/>
                </w:tcPr>
                <w:p w14:paraId="1109F22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3A24C2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2760</w:t>
                  </w:r>
                </w:p>
              </w:tc>
              <w:tc>
                <w:tcPr>
                  <w:tcW w:w="817" w:type="pct"/>
                  <w:shd w:val="clear" w:color="FFFFFF" w:fill="auto"/>
                  <w:noWrap w:val="0"/>
                  <w:vAlign w:val="center"/>
                </w:tcPr>
                <w:p w14:paraId="096E66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550" w:type="pct"/>
                  <w:shd w:val="clear" w:color="FFFFFF" w:fill="auto"/>
                  <w:noWrap w:val="0"/>
                  <w:vAlign w:val="center"/>
                </w:tcPr>
                <w:p w14:paraId="59E0F3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125.58</w:t>
                  </w:r>
                </w:p>
              </w:tc>
              <w:tc>
                <w:tcPr>
                  <w:tcW w:w="600" w:type="pct"/>
                  <w:shd w:val="clear" w:color="FFFFFF" w:fill="auto"/>
                  <w:noWrap w:val="0"/>
                  <w:vAlign w:val="center"/>
                </w:tcPr>
                <w:p w14:paraId="2B4886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4884E8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2FA9D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125.58</w:t>
                  </w:r>
                </w:p>
              </w:tc>
            </w:tr>
            <w:tr w14:paraId="1FED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11CFEAC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34</w:t>
                  </w:r>
                </w:p>
              </w:tc>
              <w:tc>
                <w:tcPr>
                  <w:tcW w:w="460" w:type="pct"/>
                  <w:shd w:val="clear" w:color="FFFFFF" w:fill="auto"/>
                  <w:noWrap w:val="0"/>
                  <w:vAlign w:val="center"/>
                </w:tcPr>
                <w:p w14:paraId="63337F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bookmarkStart w:id="1" w:name="OLE_LINK7"/>
                  <w:r>
                    <w:rPr>
                      <w:rFonts w:hint="default" w:ascii="Times New Roman" w:hAnsi="Times New Roman" w:cs="Times New Roman"/>
                      <w:color w:val="auto"/>
                      <w:highlight w:val="none"/>
                      <w:lang w:val="en-US" w:eastAsia="zh-CN"/>
                    </w:rPr>
                    <w:t>原有筛分破碎车间至末煤产品仓栈桥</w:t>
                  </w:r>
                  <w:bookmarkEnd w:id="1"/>
                </w:p>
              </w:tc>
              <w:tc>
                <w:tcPr>
                  <w:tcW w:w="550" w:type="pct"/>
                  <w:shd w:val="clear" w:color="FFFFFF" w:fill="auto"/>
                  <w:noWrap w:val="0"/>
                  <w:vAlign w:val="center"/>
                </w:tcPr>
                <w:p w14:paraId="62DE1E2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6D0A6D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1792.6</w:t>
                  </w:r>
                </w:p>
              </w:tc>
              <w:tc>
                <w:tcPr>
                  <w:tcW w:w="817" w:type="pct"/>
                  <w:shd w:val="clear" w:color="FFFFFF" w:fill="auto"/>
                  <w:noWrap w:val="0"/>
                  <w:vAlign w:val="center"/>
                </w:tcPr>
                <w:p w14:paraId="5C952F0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550" w:type="pct"/>
                  <w:shd w:val="clear" w:color="FFFFFF" w:fill="auto"/>
                  <w:noWrap w:val="0"/>
                  <w:vAlign w:val="center"/>
                </w:tcPr>
                <w:p w14:paraId="6C96D87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219.59</w:t>
                  </w:r>
                </w:p>
              </w:tc>
              <w:tc>
                <w:tcPr>
                  <w:tcW w:w="600" w:type="pct"/>
                  <w:shd w:val="clear" w:color="FFFFFF" w:fill="auto"/>
                  <w:noWrap w:val="0"/>
                  <w:vAlign w:val="center"/>
                </w:tcPr>
                <w:p w14:paraId="19FD234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3AAA55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2BF1D69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219.59</w:t>
                  </w:r>
                </w:p>
              </w:tc>
            </w:tr>
            <w:tr w14:paraId="4F9B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347" w:type="pct"/>
                  <w:shd w:val="clear" w:color="FFFFFF" w:fill="auto"/>
                  <w:noWrap w:val="0"/>
                  <w:vAlign w:val="center"/>
                </w:tcPr>
                <w:p w14:paraId="17AEC05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w:t>
                  </w:r>
                </w:p>
              </w:tc>
              <w:tc>
                <w:tcPr>
                  <w:tcW w:w="460" w:type="pct"/>
                  <w:shd w:val="clear" w:color="FFFFFF" w:fill="auto"/>
                  <w:noWrap w:val="0"/>
                  <w:vAlign w:val="center"/>
                </w:tcPr>
                <w:p w14:paraId="244D04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末煤产品仓</w:t>
                  </w:r>
                </w:p>
              </w:tc>
              <w:tc>
                <w:tcPr>
                  <w:tcW w:w="550" w:type="pct"/>
                  <w:shd w:val="clear" w:color="FFFFFF" w:fill="auto"/>
                  <w:noWrap w:val="0"/>
                  <w:vAlign w:val="center"/>
                </w:tcPr>
                <w:p w14:paraId="098C5F5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470F33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880</w:t>
                  </w:r>
                </w:p>
              </w:tc>
              <w:tc>
                <w:tcPr>
                  <w:tcW w:w="817" w:type="pct"/>
                  <w:shd w:val="clear" w:color="FFFFFF" w:fill="auto"/>
                  <w:noWrap w:val="0"/>
                  <w:vAlign w:val="center"/>
                </w:tcPr>
                <w:p w14:paraId="59B8C3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550" w:type="pct"/>
                  <w:shd w:val="clear" w:color="FFFFFF" w:fill="auto"/>
                  <w:noWrap w:val="0"/>
                  <w:vAlign w:val="center"/>
                </w:tcPr>
                <w:p w14:paraId="2236087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43.12</w:t>
                  </w:r>
                </w:p>
              </w:tc>
              <w:tc>
                <w:tcPr>
                  <w:tcW w:w="600" w:type="pct"/>
                  <w:shd w:val="clear" w:color="FFFFFF" w:fill="auto"/>
                  <w:noWrap w:val="0"/>
                  <w:vAlign w:val="center"/>
                </w:tcPr>
                <w:p w14:paraId="286BEB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937794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4539377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43.12</w:t>
                  </w:r>
                </w:p>
              </w:tc>
            </w:tr>
            <w:tr w14:paraId="77EB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347" w:type="pct"/>
                  <w:shd w:val="clear" w:color="FFFFFF" w:fill="auto"/>
                  <w:noWrap w:val="0"/>
                  <w:vAlign w:val="center"/>
                </w:tcPr>
                <w:p w14:paraId="31046F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36</w:t>
                  </w:r>
                </w:p>
              </w:tc>
              <w:tc>
                <w:tcPr>
                  <w:tcW w:w="460" w:type="pct"/>
                  <w:shd w:val="clear" w:color="FFFFFF" w:fill="auto"/>
                  <w:noWrap w:val="0"/>
                  <w:vAlign w:val="center"/>
                </w:tcPr>
                <w:p w14:paraId="671EA5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原有筛分破碎车间至块煤储煤场栈桥</w:t>
                  </w:r>
                </w:p>
              </w:tc>
              <w:tc>
                <w:tcPr>
                  <w:tcW w:w="550" w:type="pct"/>
                  <w:shd w:val="clear" w:color="FFFFFF" w:fill="auto"/>
                  <w:noWrap w:val="0"/>
                  <w:vAlign w:val="center"/>
                </w:tcPr>
                <w:p w14:paraId="4409CBC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182C9F3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415.2</w:t>
                  </w:r>
                </w:p>
              </w:tc>
              <w:tc>
                <w:tcPr>
                  <w:tcW w:w="817" w:type="pct"/>
                  <w:shd w:val="clear" w:color="FFFFFF" w:fill="auto"/>
                  <w:noWrap w:val="0"/>
                  <w:vAlign w:val="center"/>
                </w:tcPr>
                <w:p w14:paraId="5669A45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2B3A0B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59.67</w:t>
                  </w:r>
                </w:p>
              </w:tc>
              <w:tc>
                <w:tcPr>
                  <w:tcW w:w="600" w:type="pct"/>
                  <w:shd w:val="clear" w:color="FFFFFF" w:fill="auto"/>
                  <w:noWrap w:val="0"/>
                  <w:vAlign w:val="center"/>
                </w:tcPr>
                <w:p w14:paraId="5DE560D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7B64D96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6854EFB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59.67</w:t>
                  </w:r>
                </w:p>
              </w:tc>
            </w:tr>
            <w:tr w14:paraId="4DA7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347" w:type="pct"/>
                  <w:shd w:val="clear" w:color="FFFFFF" w:fill="auto"/>
                  <w:noWrap w:val="0"/>
                  <w:vAlign w:val="center"/>
                </w:tcPr>
                <w:p w14:paraId="7FD3E9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37</w:t>
                  </w:r>
                </w:p>
              </w:tc>
              <w:tc>
                <w:tcPr>
                  <w:tcW w:w="460" w:type="pct"/>
                  <w:shd w:val="clear" w:color="FFFFFF" w:fill="auto"/>
                  <w:noWrap w:val="0"/>
                  <w:vAlign w:val="center"/>
                </w:tcPr>
                <w:p w14:paraId="6934DB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综合楼及集控楼采暖</w:t>
                  </w:r>
                </w:p>
              </w:tc>
              <w:tc>
                <w:tcPr>
                  <w:tcW w:w="550" w:type="pct"/>
                  <w:shd w:val="clear" w:color="FFFFFF" w:fill="auto"/>
                  <w:noWrap w:val="0"/>
                  <w:vAlign w:val="center"/>
                </w:tcPr>
                <w:p w14:paraId="4E6F6E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69027C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600</w:t>
                  </w:r>
                </w:p>
              </w:tc>
              <w:tc>
                <w:tcPr>
                  <w:tcW w:w="817" w:type="pct"/>
                  <w:shd w:val="clear" w:color="FFFFFF" w:fill="auto"/>
                  <w:noWrap w:val="0"/>
                  <w:vAlign w:val="center"/>
                </w:tcPr>
                <w:p w14:paraId="5DF1F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4.1</w:t>
                  </w:r>
                </w:p>
              </w:tc>
              <w:tc>
                <w:tcPr>
                  <w:tcW w:w="550" w:type="pct"/>
                  <w:shd w:val="clear" w:color="FFFFFF" w:fill="auto"/>
                  <w:noWrap w:val="0"/>
                  <w:vAlign w:val="center"/>
                </w:tcPr>
                <w:p w14:paraId="042070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969</w:t>
                  </w:r>
                </w:p>
              </w:tc>
              <w:tc>
                <w:tcPr>
                  <w:tcW w:w="600" w:type="pct"/>
                  <w:shd w:val="clear" w:color="FFFFFF" w:fill="auto"/>
                  <w:noWrap w:val="0"/>
                  <w:vAlign w:val="center"/>
                </w:tcPr>
                <w:p w14:paraId="42A14C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AAE46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360438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969</w:t>
                  </w:r>
                </w:p>
              </w:tc>
            </w:tr>
            <w:tr w14:paraId="170C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47" w:type="pct"/>
                  <w:shd w:val="clear" w:color="FFFFFF" w:fill="auto"/>
                  <w:noWrap w:val="0"/>
                  <w:vAlign w:val="center"/>
                </w:tcPr>
                <w:p w14:paraId="3806B9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w:t>
                  </w:r>
                </w:p>
              </w:tc>
              <w:tc>
                <w:tcPr>
                  <w:tcW w:w="460" w:type="pct"/>
                  <w:shd w:val="clear" w:color="FFFFFF" w:fill="auto"/>
                  <w:noWrap w:val="0"/>
                  <w:vAlign w:val="center"/>
                </w:tcPr>
                <w:p w14:paraId="7DE654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井筒防冻</w:t>
                  </w:r>
                </w:p>
              </w:tc>
              <w:tc>
                <w:tcPr>
                  <w:tcW w:w="550" w:type="pct"/>
                  <w:shd w:val="clear" w:color="FFFFFF" w:fill="auto"/>
                  <w:noWrap w:val="0"/>
                  <w:vAlign w:val="center"/>
                </w:tcPr>
                <w:p w14:paraId="66CD34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667" w:type="pct"/>
                  <w:shd w:val="clear" w:color="FFFFFF" w:fill="auto"/>
                  <w:noWrap w:val="0"/>
                  <w:vAlign w:val="center"/>
                </w:tcPr>
                <w:p w14:paraId="3DF6D9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500</w:t>
                  </w:r>
                </w:p>
              </w:tc>
              <w:tc>
                <w:tcPr>
                  <w:tcW w:w="817" w:type="pct"/>
                  <w:shd w:val="clear" w:color="FFFFFF" w:fill="auto"/>
                  <w:noWrap w:val="0"/>
                  <w:vAlign w:val="center"/>
                </w:tcPr>
                <w:p w14:paraId="1DF139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3.3</w:t>
                  </w:r>
                </w:p>
              </w:tc>
              <w:tc>
                <w:tcPr>
                  <w:tcW w:w="550" w:type="pct"/>
                  <w:shd w:val="clear" w:color="FFFFFF" w:fill="auto"/>
                  <w:noWrap w:val="0"/>
                  <w:vAlign w:val="center"/>
                </w:tcPr>
                <w:p w14:paraId="1E8846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1112.15</w:t>
                  </w:r>
                </w:p>
              </w:tc>
              <w:tc>
                <w:tcPr>
                  <w:tcW w:w="600" w:type="pct"/>
                  <w:shd w:val="clear" w:color="FFFFFF" w:fill="auto"/>
                  <w:noWrap w:val="0"/>
                  <w:vAlign w:val="center"/>
                </w:tcPr>
                <w:p w14:paraId="57DD0C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508" w:type="pct"/>
                  <w:shd w:val="clear" w:color="FFFFFF" w:fill="auto"/>
                  <w:noWrap w:val="0"/>
                  <w:vAlign w:val="center"/>
                </w:tcPr>
                <w:p w14:paraId="629EDC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496" w:type="pct"/>
                  <w:shd w:val="clear" w:color="FFFFFF" w:fill="auto"/>
                  <w:noWrap w:val="0"/>
                  <w:vAlign w:val="center"/>
                </w:tcPr>
                <w:p w14:paraId="0261FC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1112.15</w:t>
                  </w:r>
                </w:p>
              </w:tc>
            </w:tr>
            <w:tr w14:paraId="6C23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503" w:type="pct"/>
                  <w:gridSpan w:val="8"/>
                  <w:shd w:val="clear" w:color="FFFFFF" w:fill="auto"/>
                  <w:noWrap w:val="0"/>
                  <w:vAlign w:val="center"/>
                </w:tcPr>
                <w:p w14:paraId="6A3141E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总计</w:t>
                  </w:r>
                </w:p>
              </w:tc>
              <w:tc>
                <w:tcPr>
                  <w:tcW w:w="496" w:type="pct"/>
                  <w:shd w:val="clear" w:color="FFFFFF" w:fill="auto"/>
                  <w:noWrap w:val="0"/>
                  <w:vAlign w:val="center"/>
                </w:tcPr>
                <w:p w14:paraId="67E484B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sum(I3:I40)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14402.82</w:t>
                  </w:r>
                  <w:r>
                    <w:rPr>
                      <w:rFonts w:hint="default" w:ascii="Times New Roman" w:hAnsi="Times New Roman" w:cs="Times New Roman"/>
                      <w:color w:val="auto"/>
                      <w:highlight w:val="none"/>
                      <w:lang w:val="en-US" w:eastAsia="zh-CN"/>
                    </w:rPr>
                    <w:fldChar w:fldCharType="end"/>
                  </w:r>
                </w:p>
              </w:tc>
            </w:tr>
          </w:tbl>
          <w:p w14:paraId="72C2C5D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选煤厂供热热源承担总热负荷为14.40MW，考虑蒸汽管网及热水管网损失系数分别取1.2，则总供热负荷为14.40×1.2=17.28MW。</w:t>
            </w:r>
          </w:p>
          <w:p w14:paraId="674753B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根据统计结果，厂区总热负荷为8.12+17.28=25.40MW，约为36.29t/h，预留一定的安全裕量，则本项目拟新建一台40t/h的燃煤蒸汽锅炉，用于凯达煤矿、选煤厂采暖期进行供暖。</w:t>
            </w:r>
          </w:p>
          <w:p w14:paraId="12AB07D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5.原辅材料消耗</w:t>
            </w:r>
          </w:p>
          <w:p w14:paraId="507D69F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本项目生产原料消耗情况见下表2-6，煤炭组分</w:t>
            </w:r>
            <w:r>
              <w:rPr>
                <w:rFonts w:hint="eastAsia" w:cs="Times New Roman"/>
                <w:color w:val="auto"/>
                <w:highlight w:val="none"/>
                <w:lang w:val="en-US" w:eastAsia="zh-CN"/>
              </w:rPr>
              <w:t>见下</w:t>
            </w:r>
            <w:r>
              <w:rPr>
                <w:rFonts w:hint="default" w:ascii="Times New Roman" w:hAnsi="Times New Roman" w:cs="Times New Roman"/>
                <w:color w:val="auto"/>
                <w:highlight w:val="none"/>
                <w:lang w:val="en-US" w:eastAsia="zh-CN"/>
              </w:rPr>
              <w:t>表2-7，燃煤的检验报告见附件。</w:t>
            </w:r>
          </w:p>
          <w:p w14:paraId="7C72C8B7">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表2-6原辅材料消耗一览表</w:t>
            </w:r>
          </w:p>
          <w:tbl>
            <w:tblPr>
              <w:tblStyle w:val="2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53"/>
              <w:gridCol w:w="1631"/>
              <w:gridCol w:w="1154"/>
              <w:gridCol w:w="1205"/>
              <w:gridCol w:w="1454"/>
            </w:tblGrid>
            <w:tr w14:paraId="33C3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62" w:type="pct"/>
                  <w:noWrap w:val="0"/>
                  <w:vAlign w:val="center"/>
                </w:tcPr>
                <w:p w14:paraId="208A50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1105" w:type="pct"/>
                  <w:noWrap w:val="0"/>
                  <w:vAlign w:val="center"/>
                </w:tcPr>
                <w:p w14:paraId="20FBC7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原料名称</w:t>
                  </w:r>
                </w:p>
              </w:tc>
              <w:tc>
                <w:tcPr>
                  <w:tcW w:w="1028" w:type="pct"/>
                  <w:noWrap w:val="0"/>
                  <w:vAlign w:val="center"/>
                </w:tcPr>
                <w:p w14:paraId="3CBF9B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年用量（t/a）</w:t>
                  </w:r>
                </w:p>
              </w:tc>
              <w:tc>
                <w:tcPr>
                  <w:tcW w:w="727" w:type="pct"/>
                  <w:noWrap w:val="0"/>
                  <w:vAlign w:val="center"/>
                </w:tcPr>
                <w:p w14:paraId="605D27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最大存储量（t）</w:t>
                  </w:r>
                </w:p>
              </w:tc>
              <w:tc>
                <w:tcPr>
                  <w:tcW w:w="759" w:type="pct"/>
                  <w:noWrap w:val="0"/>
                  <w:vAlign w:val="center"/>
                </w:tcPr>
                <w:p w14:paraId="000E2E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来源</w:t>
                  </w:r>
                </w:p>
              </w:tc>
              <w:tc>
                <w:tcPr>
                  <w:tcW w:w="916" w:type="pct"/>
                  <w:noWrap w:val="0"/>
                  <w:vAlign w:val="center"/>
                </w:tcPr>
                <w:p w14:paraId="5F2B55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备注</w:t>
                  </w:r>
                </w:p>
              </w:tc>
            </w:tr>
            <w:tr w14:paraId="41E6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2" w:type="pct"/>
                  <w:noWrap w:val="0"/>
                  <w:vAlign w:val="center"/>
                </w:tcPr>
                <w:p w14:paraId="60A800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105" w:type="pct"/>
                  <w:noWrap w:val="0"/>
                  <w:vAlign w:val="center"/>
                </w:tcPr>
                <w:p w14:paraId="6F8BE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燃煤</w:t>
                  </w:r>
                </w:p>
              </w:tc>
              <w:tc>
                <w:tcPr>
                  <w:tcW w:w="1028" w:type="pct"/>
                  <w:noWrap w:val="0"/>
                  <w:vAlign w:val="center"/>
                </w:tcPr>
                <w:p w14:paraId="3B81E9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25596.48</w:t>
                  </w:r>
                </w:p>
              </w:tc>
              <w:tc>
                <w:tcPr>
                  <w:tcW w:w="727" w:type="pct"/>
                  <w:noWrap w:val="0"/>
                  <w:vAlign w:val="center"/>
                </w:tcPr>
                <w:p w14:paraId="58F93D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492</w:t>
                  </w:r>
                </w:p>
              </w:tc>
              <w:tc>
                <w:tcPr>
                  <w:tcW w:w="759" w:type="pct"/>
                  <w:noWrap w:val="0"/>
                  <w:vAlign w:val="center"/>
                </w:tcPr>
                <w:p w14:paraId="1ACCC5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凯达选煤厂末煤</w:t>
                  </w:r>
                </w:p>
              </w:tc>
              <w:tc>
                <w:tcPr>
                  <w:tcW w:w="916" w:type="pct"/>
                  <w:noWrap w:val="0"/>
                  <w:vAlign w:val="center"/>
                </w:tcPr>
                <w:p w14:paraId="4D1F2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储存于现有末煤筒仓</w:t>
                  </w:r>
                </w:p>
              </w:tc>
            </w:tr>
            <w:tr w14:paraId="72BC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539739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105" w:type="pct"/>
                  <w:noWrap w:val="0"/>
                  <w:vAlign w:val="center"/>
                </w:tcPr>
                <w:p w14:paraId="06D1DC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highlight w:val="none"/>
                      <w:lang w:val="en-US" w:eastAsia="zh-CN"/>
                    </w:rPr>
                  </w:pPr>
                  <w:r>
                    <w:rPr>
                      <w:rFonts w:hint="default" w:cs="Times New Roman"/>
                      <w:color w:val="auto"/>
                      <w:highlight w:val="none"/>
                      <w:lang w:val="en-US" w:eastAsia="zh-CN"/>
                    </w:rPr>
                    <w:t>脱硫剂（</w:t>
                  </w:r>
                  <w:r>
                    <w:rPr>
                      <w:rFonts w:hint="eastAsia" w:cs="Times New Roman"/>
                      <w:color w:val="auto"/>
                      <w:highlight w:val="none"/>
                      <w:lang w:val="en-US" w:eastAsia="zh-CN"/>
                    </w:rPr>
                    <w:t>96%</w:t>
                  </w:r>
                  <w:r>
                    <w:rPr>
                      <w:rFonts w:hint="default" w:cs="Times New Roman"/>
                      <w:color w:val="auto"/>
                      <w:highlight w:val="none"/>
                      <w:lang w:val="en-US" w:eastAsia="zh-CN"/>
                    </w:rPr>
                    <w:t>氢氧化钠）</w:t>
                  </w:r>
                </w:p>
              </w:tc>
              <w:tc>
                <w:tcPr>
                  <w:tcW w:w="1028" w:type="pct"/>
                  <w:noWrap w:val="0"/>
                  <w:vAlign w:val="center"/>
                </w:tcPr>
                <w:p w14:paraId="5F3595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113.70</w:t>
                  </w:r>
                </w:p>
              </w:tc>
              <w:tc>
                <w:tcPr>
                  <w:tcW w:w="727" w:type="pct"/>
                  <w:noWrap w:val="0"/>
                  <w:vAlign w:val="center"/>
                </w:tcPr>
                <w:p w14:paraId="4176DA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759" w:type="pct"/>
                  <w:noWrap w:val="0"/>
                  <w:vAlign w:val="center"/>
                </w:tcPr>
                <w:p w14:paraId="3F2E0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外购</w:t>
                  </w:r>
                </w:p>
              </w:tc>
              <w:tc>
                <w:tcPr>
                  <w:tcW w:w="916" w:type="pct"/>
                  <w:vMerge w:val="restart"/>
                  <w:noWrap w:val="0"/>
                  <w:vAlign w:val="center"/>
                </w:tcPr>
                <w:p w14:paraId="072382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袋装，存储</w:t>
                  </w:r>
                  <w:r>
                    <w:rPr>
                      <w:rFonts w:hint="eastAsia" w:cs="Times New Roman"/>
                      <w:color w:val="auto"/>
                      <w:highlight w:val="none"/>
                      <w:lang w:val="en-US" w:eastAsia="zh-CN"/>
                    </w:rPr>
                    <w:t>于</w:t>
                  </w:r>
                  <w:r>
                    <w:rPr>
                      <w:rFonts w:hint="default" w:ascii="Times New Roman" w:hAnsi="Times New Roman" w:cs="Times New Roman"/>
                      <w:color w:val="auto"/>
                      <w:highlight w:val="none"/>
                      <w:lang w:val="en-US" w:eastAsia="zh-CN"/>
                    </w:rPr>
                    <w:t>原辅材料暂存区</w:t>
                  </w:r>
                </w:p>
              </w:tc>
            </w:tr>
            <w:tr w14:paraId="4D60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shd w:val="clear" w:color="auto" w:fill="auto"/>
                  <w:noWrap w:val="0"/>
                  <w:vAlign w:val="center"/>
                </w:tcPr>
                <w:p w14:paraId="496030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highlight w:val="none"/>
                      <w:lang w:val="en-US" w:eastAsia="zh-CN"/>
                    </w:rPr>
                    <w:t>3</w:t>
                  </w:r>
                </w:p>
              </w:tc>
              <w:tc>
                <w:tcPr>
                  <w:tcW w:w="1105" w:type="pct"/>
                  <w:noWrap w:val="0"/>
                  <w:vAlign w:val="center"/>
                </w:tcPr>
                <w:p w14:paraId="63AE99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highlight w:val="none"/>
                      <w:lang w:val="en-US" w:eastAsia="zh-CN"/>
                    </w:rPr>
                  </w:pPr>
                  <w:r>
                    <w:rPr>
                      <w:rFonts w:hint="eastAsia" w:cs="Times New Roman"/>
                      <w:color w:val="auto"/>
                      <w:highlight w:val="none"/>
                      <w:lang w:val="en-US" w:eastAsia="zh-CN"/>
                    </w:rPr>
                    <w:t>脱硫剂（熟石灰Ca（OH）</w:t>
                  </w:r>
                  <w:r>
                    <w:rPr>
                      <w:rFonts w:hint="eastAsia" w:cs="Times New Roman"/>
                      <w:color w:val="auto"/>
                      <w:highlight w:val="none"/>
                      <w:vertAlign w:val="subscript"/>
                      <w:lang w:val="en-US" w:eastAsia="zh-CN"/>
                    </w:rPr>
                    <w:t>2</w:t>
                  </w:r>
                  <w:r>
                    <w:rPr>
                      <w:rFonts w:hint="eastAsia" w:cs="Times New Roman"/>
                      <w:color w:val="auto"/>
                      <w:highlight w:val="none"/>
                      <w:lang w:val="en-US" w:eastAsia="zh-CN"/>
                    </w:rPr>
                    <w:t>）</w:t>
                  </w:r>
                </w:p>
              </w:tc>
              <w:tc>
                <w:tcPr>
                  <w:tcW w:w="1028" w:type="pct"/>
                  <w:noWrap w:val="0"/>
                  <w:vAlign w:val="center"/>
                </w:tcPr>
                <w:p w14:paraId="371BC2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118.77</w:t>
                  </w:r>
                </w:p>
              </w:tc>
              <w:tc>
                <w:tcPr>
                  <w:tcW w:w="727" w:type="pct"/>
                  <w:noWrap w:val="0"/>
                  <w:vAlign w:val="center"/>
                </w:tcPr>
                <w:p w14:paraId="266F02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w:t>
                  </w:r>
                </w:p>
              </w:tc>
              <w:tc>
                <w:tcPr>
                  <w:tcW w:w="759" w:type="pct"/>
                  <w:noWrap w:val="0"/>
                  <w:vAlign w:val="center"/>
                </w:tcPr>
                <w:p w14:paraId="455FFD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外购</w:t>
                  </w:r>
                </w:p>
              </w:tc>
              <w:tc>
                <w:tcPr>
                  <w:tcW w:w="916" w:type="pct"/>
                  <w:vMerge w:val="continue"/>
                  <w:noWrap w:val="0"/>
                  <w:vAlign w:val="center"/>
                </w:tcPr>
                <w:p w14:paraId="78CBD2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24F8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shd w:val="clear" w:color="auto" w:fill="auto"/>
                  <w:noWrap w:val="0"/>
                  <w:vAlign w:val="center"/>
                </w:tcPr>
                <w:p w14:paraId="66EB07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highlight w:val="none"/>
                      <w:lang w:val="en-US" w:eastAsia="zh-CN"/>
                    </w:rPr>
                    <w:t>4</w:t>
                  </w:r>
                </w:p>
              </w:tc>
              <w:tc>
                <w:tcPr>
                  <w:tcW w:w="1105" w:type="pct"/>
                  <w:noWrap w:val="0"/>
                  <w:vAlign w:val="center"/>
                </w:tcPr>
                <w:p w14:paraId="56C45A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脱硝剂（纯尿素）</w:t>
                  </w:r>
                </w:p>
              </w:tc>
              <w:tc>
                <w:tcPr>
                  <w:tcW w:w="1028" w:type="pct"/>
                  <w:noWrap w:val="0"/>
                  <w:vAlign w:val="center"/>
                </w:tcPr>
                <w:p w14:paraId="28A9F7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72.64</w:t>
                  </w:r>
                </w:p>
              </w:tc>
              <w:tc>
                <w:tcPr>
                  <w:tcW w:w="727" w:type="pct"/>
                  <w:noWrap w:val="0"/>
                  <w:vAlign w:val="center"/>
                </w:tcPr>
                <w:p w14:paraId="2B57C1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759" w:type="pct"/>
                  <w:noWrap w:val="0"/>
                  <w:vAlign w:val="center"/>
                </w:tcPr>
                <w:p w14:paraId="429687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外购</w:t>
                  </w:r>
                </w:p>
              </w:tc>
              <w:tc>
                <w:tcPr>
                  <w:tcW w:w="916" w:type="pct"/>
                  <w:vMerge w:val="continue"/>
                  <w:noWrap w:val="0"/>
                  <w:vAlign w:val="center"/>
                </w:tcPr>
                <w:p w14:paraId="6CB036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017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4D05D0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5</w:t>
                  </w:r>
                </w:p>
              </w:tc>
              <w:tc>
                <w:tcPr>
                  <w:tcW w:w="1105" w:type="pct"/>
                  <w:noWrap w:val="0"/>
                  <w:vAlign w:val="center"/>
                </w:tcPr>
                <w:p w14:paraId="3F37DE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脱硝催化剂（钒钛系蜂窝状催化剂）</w:t>
                  </w:r>
                </w:p>
              </w:tc>
              <w:tc>
                <w:tcPr>
                  <w:tcW w:w="1028" w:type="pct"/>
                  <w:noWrap w:val="0"/>
                  <w:vAlign w:val="center"/>
                </w:tcPr>
                <w:p w14:paraId="16306F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5t/a</w:t>
                  </w:r>
                </w:p>
              </w:tc>
              <w:tc>
                <w:tcPr>
                  <w:tcW w:w="727" w:type="pct"/>
                  <w:noWrap w:val="0"/>
                  <w:vAlign w:val="center"/>
                </w:tcPr>
                <w:p w14:paraId="5055A1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5t/a</w:t>
                  </w:r>
                </w:p>
              </w:tc>
              <w:tc>
                <w:tcPr>
                  <w:tcW w:w="759" w:type="pct"/>
                  <w:noWrap w:val="0"/>
                  <w:vAlign w:val="center"/>
                </w:tcPr>
                <w:p w14:paraId="75C421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外购</w:t>
                  </w:r>
                </w:p>
              </w:tc>
              <w:tc>
                <w:tcPr>
                  <w:tcW w:w="916" w:type="pct"/>
                  <w:vMerge w:val="continue"/>
                  <w:noWrap w:val="0"/>
                  <w:vAlign w:val="center"/>
                </w:tcPr>
                <w:p w14:paraId="5452BD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4A31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5000" w:type="pct"/>
                  <w:gridSpan w:val="6"/>
                  <w:noWrap w:val="0"/>
                  <w:vAlign w:val="center"/>
                </w:tcPr>
                <w:p w14:paraId="090BB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能源消耗</w:t>
                  </w:r>
                </w:p>
              </w:tc>
            </w:tr>
            <w:tr w14:paraId="0C8C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204AA6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1105" w:type="pct"/>
                  <w:noWrap w:val="0"/>
                  <w:vAlign w:val="center"/>
                </w:tcPr>
                <w:p w14:paraId="225CBB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w:t>
                  </w:r>
                </w:p>
              </w:tc>
              <w:tc>
                <w:tcPr>
                  <w:tcW w:w="1755" w:type="pct"/>
                  <w:gridSpan w:val="2"/>
                  <w:noWrap w:val="0"/>
                  <w:vAlign w:val="center"/>
                </w:tcPr>
                <w:p w14:paraId="0B07C9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235872t/a</w:t>
                  </w:r>
                </w:p>
              </w:tc>
              <w:tc>
                <w:tcPr>
                  <w:tcW w:w="759" w:type="pct"/>
                  <w:noWrap w:val="0"/>
                  <w:vAlign w:val="center"/>
                </w:tcPr>
                <w:p w14:paraId="22A59C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矿井涌水</w:t>
                  </w:r>
                </w:p>
              </w:tc>
              <w:tc>
                <w:tcPr>
                  <w:tcW w:w="916" w:type="pct"/>
                  <w:noWrap w:val="0"/>
                  <w:vAlign w:val="center"/>
                </w:tcPr>
                <w:p w14:paraId="6B55F3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3D6F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62" w:type="pct"/>
                  <w:noWrap w:val="0"/>
                  <w:vAlign w:val="center"/>
                </w:tcPr>
                <w:p w14:paraId="134D2C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1105" w:type="pct"/>
                  <w:noWrap w:val="0"/>
                  <w:vAlign w:val="center"/>
                </w:tcPr>
                <w:p w14:paraId="15D1CB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电</w:t>
                  </w:r>
                </w:p>
              </w:tc>
              <w:tc>
                <w:tcPr>
                  <w:tcW w:w="1755" w:type="pct"/>
                  <w:gridSpan w:val="2"/>
                  <w:noWrap w:val="0"/>
                  <w:vAlign w:val="center"/>
                </w:tcPr>
                <w:p w14:paraId="45FE09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150kW·h</w:t>
                  </w:r>
                </w:p>
              </w:tc>
              <w:tc>
                <w:tcPr>
                  <w:tcW w:w="759" w:type="pct"/>
                  <w:noWrap w:val="0"/>
                  <w:vAlign w:val="center"/>
                </w:tcPr>
                <w:p w14:paraId="2BD9F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依托现有</w:t>
                  </w:r>
                </w:p>
              </w:tc>
              <w:tc>
                <w:tcPr>
                  <w:tcW w:w="916" w:type="pct"/>
                  <w:noWrap w:val="0"/>
                  <w:vAlign w:val="center"/>
                </w:tcPr>
                <w:p w14:paraId="79A5A4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r>
          </w:tbl>
          <w:p w14:paraId="6314E726">
            <w:pPr>
              <w:bidi w:val="0"/>
              <w:rPr>
                <w:rFonts w:hint="eastAsia"/>
                <w:color w:val="auto"/>
                <w:highlight w:val="none"/>
                <w:lang w:val="en-US" w:eastAsia="zh-CN"/>
              </w:rPr>
            </w:pPr>
            <w:r>
              <w:rPr>
                <w:rFonts w:hint="eastAsia"/>
                <w:color w:val="auto"/>
                <w:highlight w:val="none"/>
                <w:lang w:val="en-US" w:eastAsia="zh-CN"/>
              </w:rPr>
              <w:t>被脱除的二氧化硫量为83.16t/a，氢氧化钠理论消耗量=83.16×80/64=103.95t/a，Ca（OH）</w:t>
            </w:r>
            <w:r>
              <w:rPr>
                <w:rFonts w:hint="eastAsia"/>
                <w:color w:val="auto"/>
                <w:highlight w:val="none"/>
                <w:vertAlign w:val="subscript"/>
                <w:lang w:val="en-US" w:eastAsia="zh-CN"/>
              </w:rPr>
              <w:t>2</w:t>
            </w:r>
            <w:r>
              <w:rPr>
                <w:rFonts w:hint="eastAsia"/>
                <w:color w:val="auto"/>
                <w:highlight w:val="none"/>
                <w:lang w:val="en-US" w:eastAsia="zh-CN"/>
              </w:rPr>
              <w:t>理论消耗量=83.16×74/64=96.15t/a，</w:t>
            </w:r>
          </w:p>
          <w:p w14:paraId="2E5F5CFB">
            <w:pPr>
              <w:bidi w:val="0"/>
              <w:rPr>
                <w:rFonts w:hint="default"/>
                <w:color w:val="auto"/>
                <w:highlight w:val="none"/>
                <w:lang w:val="en-US" w:eastAsia="zh-CN"/>
              </w:rPr>
            </w:pPr>
            <w:r>
              <w:rPr>
                <w:rFonts w:hint="eastAsia"/>
                <w:color w:val="auto"/>
                <w:highlight w:val="none"/>
                <w:lang w:val="en-US" w:eastAsia="zh-CN"/>
              </w:rPr>
              <w:t>采购量考虑1.05的工程过量系数，则工业级氢氧化钠实际购买量为103.95÷0.96×1.05=113.70t/a，熟石灰实际购买量为96.15÷0.85×1.05=118.77t/a。</w:t>
            </w:r>
          </w:p>
          <w:p w14:paraId="65D73B66">
            <w:pPr>
              <w:bidi w:val="0"/>
              <w:rPr>
                <w:rFonts w:hint="eastAsia"/>
                <w:color w:val="auto"/>
                <w:highlight w:val="none"/>
                <w:lang w:val="en-US" w:eastAsia="zh-CN"/>
              </w:rPr>
            </w:pPr>
            <w:r>
              <w:rPr>
                <w:rFonts w:hint="eastAsia"/>
                <w:color w:val="auto"/>
                <w:highlight w:val="none"/>
                <w:lang w:val="en-US" w:eastAsia="zh-CN"/>
              </w:rPr>
              <w:t>氮氧化物产生量=241895950.73×260÷10⁹=62.89t/a，</w:t>
            </w:r>
          </w:p>
          <w:p w14:paraId="67128A35">
            <w:pPr>
              <w:bidi w:val="0"/>
              <w:rPr>
                <w:rFonts w:hint="default"/>
                <w:color w:val="auto"/>
                <w:highlight w:val="none"/>
                <w:lang w:val="en-US" w:eastAsia="zh-CN"/>
              </w:rPr>
            </w:pPr>
            <w:r>
              <w:rPr>
                <w:rFonts w:hint="eastAsia"/>
                <w:color w:val="auto"/>
                <w:highlight w:val="none"/>
                <w:lang w:val="en-US" w:eastAsia="zh-CN"/>
              </w:rPr>
              <w:t>氮氧化物去除量=62.89-28.30=34.59t/a，理论用量为34.59÷0.5=69.18t/a，采购量考虑1.05的工程过量系数，则尿素用量为69.18×1.05=72.64t/a。</w:t>
            </w:r>
          </w:p>
          <w:p w14:paraId="2CC83980">
            <w:pPr>
              <w:bidi w:val="0"/>
              <w:rPr>
                <w:rFonts w:hint="default"/>
                <w:color w:val="auto"/>
                <w:highlight w:val="none"/>
                <w:lang w:val="en-US" w:eastAsia="zh-CN"/>
              </w:rPr>
            </w:pPr>
            <w:r>
              <w:rPr>
                <w:rFonts w:hint="default"/>
                <w:color w:val="auto"/>
                <w:highlight w:val="none"/>
                <w:lang w:val="en-US" w:eastAsia="zh-CN"/>
              </w:rPr>
              <w:t>根据内蒙古安创检验检测有限公司于2022年11月10日对凯达煤矿的末煤出具的煤质检验检测报告（见附件4），本项目燃料煤煤质如下：</w:t>
            </w:r>
          </w:p>
          <w:p w14:paraId="3B0AFE11">
            <w:pPr>
              <w:bidi w:val="0"/>
              <w:ind w:left="0" w:leftChars="0" w:firstLine="0" w:firstLineChars="0"/>
              <w:jc w:val="center"/>
              <w:rPr>
                <w:rFonts w:hint="default" w:ascii="Times New Roman" w:hAnsi="Times New Roman" w:cs="Times New Roman"/>
                <w:b/>
                <w:bCs/>
                <w:color w:val="auto"/>
                <w:highlight w:val="none"/>
                <w:vertAlign w:val="baseline"/>
                <w:lang w:val="en-US" w:eastAsia="zh-CN"/>
              </w:rPr>
            </w:pPr>
            <w:r>
              <w:rPr>
                <w:rFonts w:hint="default" w:ascii="Times New Roman" w:hAnsi="Times New Roman" w:cs="Times New Roman"/>
                <w:b/>
                <w:bCs/>
                <w:color w:val="auto"/>
                <w:highlight w:val="none"/>
                <w:lang w:val="en-US" w:eastAsia="zh-CN"/>
              </w:rPr>
              <w:t>表2-7燃料煤煤质成分一览表</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877"/>
              <w:gridCol w:w="1321"/>
              <w:gridCol w:w="1134"/>
              <w:gridCol w:w="1134"/>
              <w:gridCol w:w="1134"/>
              <w:gridCol w:w="1134"/>
            </w:tblGrid>
            <w:tr w14:paraId="0E8D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603CD9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w:t>
                  </w:r>
                </w:p>
              </w:tc>
              <w:tc>
                <w:tcPr>
                  <w:tcW w:w="553" w:type="pct"/>
                  <w:noWrap w:val="0"/>
                  <w:vAlign w:val="center"/>
                </w:tcPr>
                <w:p w14:paraId="3B7871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c>
                <w:tcPr>
                  <w:tcW w:w="832" w:type="pct"/>
                  <w:noWrap w:val="0"/>
                  <w:vAlign w:val="center"/>
                </w:tcPr>
                <w:p w14:paraId="574AAA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单位</w:t>
                  </w:r>
                </w:p>
              </w:tc>
              <w:tc>
                <w:tcPr>
                  <w:tcW w:w="714" w:type="pct"/>
                  <w:noWrap w:val="0"/>
                  <w:vAlign w:val="center"/>
                </w:tcPr>
                <w:p w14:paraId="02635F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空气干燥基</w:t>
                  </w:r>
                </w:p>
              </w:tc>
              <w:tc>
                <w:tcPr>
                  <w:tcW w:w="714" w:type="pct"/>
                  <w:noWrap w:val="0"/>
                  <w:vAlign w:val="center"/>
                </w:tcPr>
                <w:p w14:paraId="5F11FF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干燥基</w:t>
                  </w:r>
                </w:p>
              </w:tc>
              <w:tc>
                <w:tcPr>
                  <w:tcW w:w="714" w:type="pct"/>
                  <w:noWrap w:val="0"/>
                  <w:vAlign w:val="center"/>
                </w:tcPr>
                <w:p w14:paraId="5674A3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干燥无灰基</w:t>
                  </w:r>
                </w:p>
              </w:tc>
              <w:tc>
                <w:tcPr>
                  <w:tcW w:w="714" w:type="pct"/>
                  <w:noWrap w:val="0"/>
                  <w:vAlign w:val="center"/>
                </w:tcPr>
                <w:p w14:paraId="3A7506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收到基</w:t>
                  </w:r>
                </w:p>
              </w:tc>
            </w:tr>
            <w:tr w14:paraId="037C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56" w:type="pct"/>
                  <w:noWrap w:val="0"/>
                  <w:vAlign w:val="center"/>
                </w:tcPr>
                <w:p w14:paraId="56DF04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全水分</w:t>
                  </w:r>
                </w:p>
              </w:tc>
              <w:tc>
                <w:tcPr>
                  <w:tcW w:w="553" w:type="pct"/>
                  <w:noWrap w:val="0"/>
                  <w:vAlign w:val="center"/>
                </w:tcPr>
                <w:p w14:paraId="2E8AE5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Mt</w:t>
                  </w:r>
                </w:p>
              </w:tc>
              <w:tc>
                <w:tcPr>
                  <w:tcW w:w="832" w:type="pct"/>
                  <w:noWrap w:val="0"/>
                  <w:vAlign w:val="center"/>
                </w:tcPr>
                <w:p w14:paraId="6C598B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70C1D2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930E1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320F98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3E6D3B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18.0</w:t>
                  </w:r>
                </w:p>
              </w:tc>
            </w:tr>
            <w:tr w14:paraId="66AF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64D435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空气干燥基水分</w:t>
                  </w:r>
                </w:p>
              </w:tc>
              <w:tc>
                <w:tcPr>
                  <w:tcW w:w="553" w:type="pct"/>
                  <w:noWrap w:val="0"/>
                  <w:vAlign w:val="center"/>
                </w:tcPr>
                <w:p w14:paraId="2F2E83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Mad</w:t>
                  </w:r>
                </w:p>
              </w:tc>
              <w:tc>
                <w:tcPr>
                  <w:tcW w:w="832" w:type="pct"/>
                  <w:noWrap w:val="0"/>
                  <w:vAlign w:val="center"/>
                </w:tcPr>
                <w:p w14:paraId="797D25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204EFD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4.57</w:t>
                  </w:r>
                </w:p>
              </w:tc>
              <w:tc>
                <w:tcPr>
                  <w:tcW w:w="714" w:type="pct"/>
                  <w:noWrap w:val="0"/>
                  <w:vAlign w:val="center"/>
                </w:tcPr>
                <w:p w14:paraId="7BC90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50FB65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1E47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1699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756" w:type="pct"/>
                  <w:noWrap w:val="0"/>
                  <w:vAlign w:val="center"/>
                </w:tcPr>
                <w:p w14:paraId="239638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灰分</w:t>
                  </w:r>
                </w:p>
              </w:tc>
              <w:tc>
                <w:tcPr>
                  <w:tcW w:w="553" w:type="pct"/>
                  <w:noWrap w:val="0"/>
                  <w:vAlign w:val="center"/>
                </w:tcPr>
                <w:p w14:paraId="59CB05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w:t>
                  </w:r>
                </w:p>
              </w:tc>
              <w:tc>
                <w:tcPr>
                  <w:tcW w:w="832" w:type="pct"/>
                  <w:noWrap w:val="0"/>
                  <w:vAlign w:val="center"/>
                </w:tcPr>
                <w:p w14:paraId="61614B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21835E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16.29</w:t>
                  </w:r>
                </w:p>
              </w:tc>
              <w:tc>
                <w:tcPr>
                  <w:tcW w:w="714" w:type="pct"/>
                  <w:noWrap w:val="0"/>
                  <w:vAlign w:val="center"/>
                </w:tcPr>
                <w:p w14:paraId="3294CC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17.07</w:t>
                  </w:r>
                </w:p>
              </w:tc>
              <w:tc>
                <w:tcPr>
                  <w:tcW w:w="714" w:type="pct"/>
                  <w:noWrap w:val="0"/>
                  <w:vAlign w:val="center"/>
                </w:tcPr>
                <w:p w14:paraId="09EA77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79EE8B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14.00</w:t>
                  </w:r>
                </w:p>
              </w:tc>
            </w:tr>
            <w:tr w14:paraId="18C4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00CE71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挥发分</w:t>
                  </w:r>
                </w:p>
              </w:tc>
              <w:tc>
                <w:tcPr>
                  <w:tcW w:w="553" w:type="pct"/>
                  <w:noWrap w:val="0"/>
                  <w:vAlign w:val="center"/>
                </w:tcPr>
                <w:p w14:paraId="4B7193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V</w:t>
                  </w:r>
                </w:p>
              </w:tc>
              <w:tc>
                <w:tcPr>
                  <w:tcW w:w="832" w:type="pct"/>
                  <w:noWrap w:val="0"/>
                  <w:vAlign w:val="center"/>
                </w:tcPr>
                <w:p w14:paraId="1E91F4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02C39B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28.65</w:t>
                  </w:r>
                </w:p>
              </w:tc>
              <w:tc>
                <w:tcPr>
                  <w:tcW w:w="714" w:type="pct"/>
                  <w:noWrap w:val="0"/>
                  <w:vAlign w:val="center"/>
                </w:tcPr>
                <w:p w14:paraId="31818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30.02</w:t>
                  </w:r>
                </w:p>
              </w:tc>
              <w:tc>
                <w:tcPr>
                  <w:tcW w:w="714" w:type="pct"/>
                  <w:noWrap w:val="0"/>
                  <w:vAlign w:val="center"/>
                </w:tcPr>
                <w:p w14:paraId="6761BE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val="0"/>
                      <w:color w:val="auto"/>
                      <w:highlight w:val="none"/>
                      <w:lang w:val="en-US" w:eastAsia="zh-CN"/>
                    </w:rPr>
                    <w:t>36.20</w:t>
                  </w:r>
                </w:p>
              </w:tc>
              <w:tc>
                <w:tcPr>
                  <w:tcW w:w="714" w:type="pct"/>
                  <w:noWrap w:val="0"/>
                  <w:vAlign w:val="center"/>
                </w:tcPr>
                <w:p w14:paraId="48DACE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24.62</w:t>
                  </w:r>
                </w:p>
              </w:tc>
            </w:tr>
            <w:tr w14:paraId="6D31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E970C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氢</w:t>
                  </w:r>
                </w:p>
              </w:tc>
              <w:tc>
                <w:tcPr>
                  <w:tcW w:w="553" w:type="pct"/>
                  <w:noWrap w:val="0"/>
                  <w:vAlign w:val="center"/>
                </w:tcPr>
                <w:p w14:paraId="3F348E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H</w:t>
                  </w:r>
                </w:p>
              </w:tc>
              <w:tc>
                <w:tcPr>
                  <w:tcW w:w="832" w:type="pct"/>
                  <w:noWrap w:val="0"/>
                  <w:vAlign w:val="center"/>
                </w:tcPr>
                <w:p w14:paraId="0771AD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3B90B5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3.83</w:t>
                  </w:r>
                </w:p>
              </w:tc>
              <w:tc>
                <w:tcPr>
                  <w:tcW w:w="714" w:type="pct"/>
                  <w:noWrap w:val="0"/>
                  <w:vAlign w:val="center"/>
                </w:tcPr>
                <w:p w14:paraId="54A2E5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4.01</w:t>
                  </w:r>
                </w:p>
              </w:tc>
              <w:tc>
                <w:tcPr>
                  <w:tcW w:w="714" w:type="pct"/>
                  <w:noWrap w:val="0"/>
                  <w:vAlign w:val="center"/>
                </w:tcPr>
                <w:p w14:paraId="576F76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4.84</w:t>
                  </w:r>
                </w:p>
              </w:tc>
              <w:tc>
                <w:tcPr>
                  <w:tcW w:w="714" w:type="pct"/>
                  <w:noWrap w:val="0"/>
                  <w:vAlign w:val="center"/>
                </w:tcPr>
                <w:p w14:paraId="3FD6BF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3.29</w:t>
                  </w:r>
                </w:p>
              </w:tc>
            </w:tr>
            <w:tr w14:paraId="41FF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F437B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碳</w:t>
                  </w:r>
                </w:p>
              </w:tc>
              <w:tc>
                <w:tcPr>
                  <w:tcW w:w="553" w:type="pct"/>
                  <w:noWrap w:val="0"/>
                  <w:vAlign w:val="center"/>
                </w:tcPr>
                <w:p w14:paraId="33A4E1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w:t>
                  </w:r>
                </w:p>
              </w:tc>
              <w:tc>
                <w:tcPr>
                  <w:tcW w:w="832" w:type="pct"/>
                  <w:noWrap w:val="0"/>
                  <w:vAlign w:val="center"/>
                </w:tcPr>
                <w:p w14:paraId="35EB62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511F87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6F883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467640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68301A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73BC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3096FB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氮</w:t>
                  </w:r>
                </w:p>
              </w:tc>
              <w:tc>
                <w:tcPr>
                  <w:tcW w:w="553" w:type="pct"/>
                  <w:noWrap w:val="0"/>
                  <w:vAlign w:val="center"/>
                </w:tcPr>
                <w:p w14:paraId="66351E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w:t>
                  </w:r>
                </w:p>
              </w:tc>
              <w:tc>
                <w:tcPr>
                  <w:tcW w:w="832" w:type="pct"/>
                  <w:noWrap w:val="0"/>
                  <w:vAlign w:val="center"/>
                </w:tcPr>
                <w:p w14:paraId="410BED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098D7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44F26A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2134E5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66D240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43.38</w:t>
                  </w:r>
                </w:p>
              </w:tc>
            </w:tr>
            <w:tr w14:paraId="6F60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756" w:type="pct"/>
                  <w:noWrap w:val="0"/>
                  <w:vAlign w:val="center"/>
                </w:tcPr>
                <w:p w14:paraId="7C012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全硫</w:t>
                  </w:r>
                </w:p>
              </w:tc>
              <w:tc>
                <w:tcPr>
                  <w:tcW w:w="553" w:type="pct"/>
                  <w:noWrap w:val="0"/>
                  <w:vAlign w:val="center"/>
                </w:tcPr>
                <w:p w14:paraId="336D3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St</w:t>
                  </w:r>
                </w:p>
              </w:tc>
              <w:tc>
                <w:tcPr>
                  <w:tcW w:w="832" w:type="pct"/>
                  <w:noWrap w:val="0"/>
                  <w:vAlign w:val="center"/>
                </w:tcPr>
                <w:p w14:paraId="7B6927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714" w:type="pct"/>
                  <w:noWrap w:val="0"/>
                  <w:vAlign w:val="center"/>
                </w:tcPr>
                <w:p w14:paraId="7A80F5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0.24</w:t>
                  </w:r>
                </w:p>
              </w:tc>
              <w:tc>
                <w:tcPr>
                  <w:tcW w:w="714" w:type="pct"/>
                  <w:noWrap w:val="0"/>
                  <w:vAlign w:val="center"/>
                </w:tcPr>
                <w:p w14:paraId="5F9F05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0.25</w:t>
                  </w:r>
                </w:p>
              </w:tc>
              <w:tc>
                <w:tcPr>
                  <w:tcW w:w="714" w:type="pct"/>
                  <w:noWrap w:val="0"/>
                  <w:vAlign w:val="center"/>
                </w:tcPr>
                <w:p w14:paraId="7B1082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0.30</w:t>
                  </w:r>
                </w:p>
              </w:tc>
              <w:tc>
                <w:tcPr>
                  <w:tcW w:w="714" w:type="pct"/>
                  <w:noWrap w:val="0"/>
                  <w:vAlign w:val="center"/>
                </w:tcPr>
                <w:p w14:paraId="77F313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0.21</w:t>
                  </w:r>
                </w:p>
              </w:tc>
            </w:tr>
            <w:tr w14:paraId="5AD0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59A0D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高位发热量</w:t>
                  </w:r>
                </w:p>
              </w:tc>
              <w:tc>
                <w:tcPr>
                  <w:tcW w:w="553" w:type="pct"/>
                  <w:noWrap w:val="0"/>
                  <w:vAlign w:val="center"/>
                </w:tcPr>
                <w:p w14:paraId="001E55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Qgr</w:t>
                  </w:r>
                </w:p>
              </w:tc>
              <w:tc>
                <w:tcPr>
                  <w:tcW w:w="832" w:type="pct"/>
                  <w:noWrap w:val="0"/>
                  <w:vAlign w:val="center"/>
                </w:tcPr>
                <w:p w14:paraId="5DBB15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MJ/kg</w:t>
                  </w:r>
                </w:p>
              </w:tc>
              <w:tc>
                <w:tcPr>
                  <w:tcW w:w="714" w:type="pct"/>
                  <w:noWrap w:val="0"/>
                  <w:vAlign w:val="center"/>
                </w:tcPr>
                <w:p w14:paraId="093EFB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25.43</w:t>
                  </w:r>
                </w:p>
              </w:tc>
              <w:tc>
                <w:tcPr>
                  <w:tcW w:w="714" w:type="pct"/>
                  <w:noWrap w:val="0"/>
                  <w:vAlign w:val="center"/>
                </w:tcPr>
                <w:p w14:paraId="5FE5B1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26.65</w:t>
                  </w:r>
                </w:p>
              </w:tc>
              <w:tc>
                <w:tcPr>
                  <w:tcW w:w="714" w:type="pct"/>
                  <w:noWrap w:val="0"/>
                  <w:vAlign w:val="center"/>
                </w:tcPr>
                <w:p w14:paraId="4DF8BC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32.13</w:t>
                  </w:r>
                </w:p>
              </w:tc>
              <w:tc>
                <w:tcPr>
                  <w:tcW w:w="714" w:type="pct"/>
                  <w:noWrap w:val="0"/>
                  <w:vAlign w:val="center"/>
                </w:tcPr>
                <w:p w14:paraId="116B9E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3156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pct"/>
                  <w:noWrap w:val="0"/>
                  <w:vAlign w:val="center"/>
                </w:tcPr>
                <w:p w14:paraId="41B1B8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低位发热量</w:t>
                  </w:r>
                </w:p>
              </w:tc>
              <w:tc>
                <w:tcPr>
                  <w:tcW w:w="553" w:type="pct"/>
                  <w:noWrap w:val="0"/>
                  <w:vAlign w:val="center"/>
                </w:tcPr>
                <w:p w14:paraId="3C58E1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Qnet</w:t>
                  </w:r>
                </w:p>
              </w:tc>
              <w:tc>
                <w:tcPr>
                  <w:tcW w:w="832" w:type="pct"/>
                  <w:noWrap w:val="0"/>
                  <w:vAlign w:val="center"/>
                </w:tcPr>
                <w:p w14:paraId="694332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MJ/kg</w:t>
                  </w:r>
                </w:p>
              </w:tc>
              <w:tc>
                <w:tcPr>
                  <w:tcW w:w="714" w:type="pct"/>
                  <w:noWrap w:val="0"/>
                  <w:vAlign w:val="center"/>
                </w:tcPr>
                <w:p w14:paraId="315DAE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51FA7A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48E155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714" w:type="pct"/>
                  <w:noWrap w:val="0"/>
                  <w:vAlign w:val="center"/>
                </w:tcPr>
                <w:p w14:paraId="71D7A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20.76</w:t>
                  </w:r>
                </w:p>
              </w:tc>
            </w:tr>
          </w:tbl>
          <w:p w14:paraId="4D36690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6.公用工程</w:t>
            </w:r>
          </w:p>
          <w:p w14:paraId="3010058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（1）给水工程</w:t>
            </w:r>
          </w:p>
          <w:p w14:paraId="3F1DBFF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为生产用水，无新增劳动定员，无新增生活用水。软水制备系统用水、脱硫系统用水依托现有供水系统，采用凯达煤矿的富裕矿井涌水，不足部分由准格尔旗科源水务有限公司提供。锅炉补水、脱硝系统用水使用纯水。</w:t>
            </w:r>
          </w:p>
          <w:p w14:paraId="39F627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①锅炉用水量</w:t>
            </w:r>
          </w:p>
          <w:p w14:paraId="6F0BF5C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本项目新建1台40t/h的燃煤蒸汽锅炉，运行天数为182d日运行24h，年运行时间为4368h。</w:t>
            </w:r>
          </w:p>
          <w:p w14:paraId="6BBBF0BB">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蒸汽锅炉补水量</w:t>
            </w:r>
            <w:r>
              <w:rPr>
                <w:rFonts w:hint="default" w:ascii="Times New Roman" w:hAnsi="Times New Roman" w:cs="Times New Roman"/>
                <w:color w:val="auto"/>
                <w:highlight w:val="none"/>
                <w:lang w:val="en-US" w:eastAsia="zh-CN"/>
              </w:rPr>
              <w:t>=锅炉排污损失+管道汽水损失</w:t>
            </w:r>
          </w:p>
          <w:p w14:paraId="5D79150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锅炉排污损失按照5%计算，管道汽水损失按照3%计算。</w:t>
            </w:r>
          </w:p>
          <w:p w14:paraId="6329222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则锅炉用水量=40×5%+40×3%=3.2t/h，锅炉日用水量为</w:t>
            </w:r>
            <w:r>
              <w:rPr>
                <w:rFonts w:hint="eastAsia" w:cs="Times New Roman"/>
                <w:color w:val="auto"/>
                <w:highlight w:val="none"/>
                <w:lang w:val="en-US" w:eastAsia="zh-CN"/>
              </w:rPr>
              <w:t>76.8</w:t>
            </w:r>
            <w:r>
              <w:rPr>
                <w:rFonts w:hint="default" w:ascii="Times New Roman" w:hAnsi="Times New Roman" w:cs="Times New Roman"/>
                <w:color w:val="auto"/>
                <w:highlight w:val="none"/>
                <w:lang w:val="en-US" w:eastAsia="zh-CN"/>
              </w:rPr>
              <w:t>t/d，年锅炉用水量为</w:t>
            </w:r>
            <w:r>
              <w:rPr>
                <w:rFonts w:hint="eastAsia" w:cs="Times New Roman"/>
                <w:color w:val="auto"/>
                <w:highlight w:val="none"/>
                <w:lang w:val="en-US" w:eastAsia="zh-CN"/>
              </w:rPr>
              <w:t>14017.6</w:t>
            </w:r>
            <w:r>
              <w:rPr>
                <w:rFonts w:hint="default" w:ascii="Times New Roman" w:hAnsi="Times New Roman" w:cs="Times New Roman"/>
                <w:color w:val="auto"/>
                <w:highlight w:val="none"/>
                <w:lang w:val="en-US" w:eastAsia="zh-CN"/>
              </w:rPr>
              <w:t>t/a。</w:t>
            </w:r>
            <w:r>
              <w:rPr>
                <w:rFonts w:hint="eastAsia" w:ascii="Times New Roman" w:hAnsi="Times New Roman" w:cs="Times New Roman"/>
                <w:color w:val="auto"/>
                <w:highlight w:val="none"/>
                <w:lang w:val="en-US" w:eastAsia="zh-CN"/>
              </w:rPr>
              <w:t>锅炉用水由纯水提供。</w:t>
            </w:r>
          </w:p>
          <w:p w14:paraId="28F61CC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②脱硝系统用水</w:t>
            </w:r>
          </w:p>
          <w:p w14:paraId="71E512A4">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脱硝</w:t>
            </w:r>
            <w:r>
              <w:rPr>
                <w:rFonts w:hint="eastAsia" w:ascii="Times New Roman" w:hAnsi="Times New Roman" w:cs="Times New Roman"/>
                <w:color w:val="auto"/>
                <w:highlight w:val="none"/>
                <w:lang w:val="en-US" w:eastAsia="zh-CN"/>
              </w:rPr>
              <w:t>系统用水由纯水提供，</w:t>
            </w:r>
            <w:r>
              <w:rPr>
                <w:rFonts w:hint="default" w:ascii="Times New Roman" w:hAnsi="Times New Roman" w:cs="Times New Roman"/>
                <w:color w:val="auto"/>
                <w:highlight w:val="none"/>
                <w:lang w:val="en-US" w:eastAsia="zh-CN"/>
              </w:rPr>
              <w:t>经计算，</w:t>
            </w:r>
            <w:r>
              <w:rPr>
                <w:rFonts w:hint="eastAsia" w:ascii="Times New Roman" w:hAnsi="Times New Roman" w:cs="Times New Roman"/>
                <w:color w:val="auto"/>
                <w:highlight w:val="none"/>
                <w:lang w:val="en-US" w:eastAsia="zh-CN"/>
              </w:rPr>
              <w:t>纯尿素消耗量为38kg/h，</w:t>
            </w:r>
            <w:r>
              <w:rPr>
                <w:rFonts w:hint="default" w:ascii="Times New Roman" w:hAnsi="Times New Roman" w:cs="Times New Roman"/>
                <w:color w:val="auto"/>
                <w:highlight w:val="none"/>
                <w:lang w:val="en-US" w:eastAsia="zh-CN"/>
              </w:rPr>
              <w:t>配制20%尿素</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纯尿素与配置水按照1:4配比，则配置</w:t>
            </w:r>
            <w:r>
              <w:rPr>
                <w:rFonts w:hint="default" w:ascii="Times New Roman" w:hAnsi="Times New Roman" w:cs="Times New Roman"/>
                <w:color w:val="auto"/>
                <w:highlight w:val="none"/>
                <w:lang w:val="en-US" w:eastAsia="zh-CN"/>
              </w:rPr>
              <w:t>20%尿素溶液</w:t>
            </w:r>
            <w:r>
              <w:rPr>
                <w:rFonts w:hint="eastAsia" w:ascii="Times New Roman" w:hAnsi="Times New Roman" w:cs="Times New Roman"/>
                <w:color w:val="auto"/>
                <w:highlight w:val="none"/>
                <w:lang w:val="en-US" w:eastAsia="zh-CN"/>
              </w:rPr>
              <w:t>，配置用水量为0.15t/h，日耗水量为3.6t/d，年耗水量为655.2t/a。</w:t>
            </w:r>
            <w:r>
              <w:rPr>
                <w:rFonts w:hint="default" w:ascii="Times New Roman" w:hAnsi="Times New Roman" w:eastAsia="Segoe UI" w:cs="Times New Roman"/>
                <w:i w:val="0"/>
                <w:iCs w:val="0"/>
                <w:caps w:val="0"/>
                <w:color w:val="auto"/>
                <w:spacing w:val="0"/>
                <w:sz w:val="24"/>
                <w:szCs w:val="24"/>
                <w:highlight w:val="none"/>
                <w:shd w:val="clear" w:fill="FFFFFF"/>
              </w:rPr>
              <w:t>水分随烟气蒸发，系统无工艺废水排放</w:t>
            </w:r>
            <w:r>
              <w:rPr>
                <w:rFonts w:hint="default" w:ascii="Times New Roman" w:hAnsi="Times New Roman" w:cs="Times New Roman"/>
                <w:color w:val="auto"/>
                <w:highlight w:val="none"/>
                <w:lang w:val="en-US" w:eastAsia="zh-CN"/>
              </w:rPr>
              <w:t>。</w:t>
            </w:r>
          </w:p>
          <w:p w14:paraId="0C14B93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③软水制备用水量</w:t>
            </w:r>
          </w:p>
          <w:p w14:paraId="2798112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软水制备系统用水量：软水制备采用“钠离子交换树脂”，软水制备率为80%，则软水制备系统原水用水量为</w:t>
            </w:r>
            <w:r>
              <w:rPr>
                <w:rFonts w:hint="eastAsia" w:ascii="Times New Roman" w:hAnsi="Times New Roman" w:cs="Times New Roman"/>
                <w:color w:val="auto"/>
                <w:highlight w:val="none"/>
                <w:lang w:val="en-US" w:eastAsia="zh-CN"/>
              </w:rPr>
              <w:t>（3.2+0.15）</w:t>
            </w:r>
            <w:r>
              <w:rPr>
                <w:rFonts w:hint="default" w:ascii="Times New Roman" w:hAnsi="Times New Roman" w:cs="Times New Roman"/>
                <w:color w:val="auto"/>
                <w:highlight w:val="none"/>
                <w:lang w:val="en-US" w:eastAsia="zh-CN"/>
              </w:rPr>
              <w:t>÷0.8=</w:t>
            </w:r>
            <w:r>
              <w:rPr>
                <w:rFonts w:hint="eastAsia" w:cs="Times New Roman"/>
                <w:color w:val="auto"/>
                <w:highlight w:val="none"/>
                <w:lang w:val="en-US" w:eastAsia="zh-CN"/>
              </w:rPr>
              <w:t>4.19</w:t>
            </w:r>
            <w:r>
              <w:rPr>
                <w:rFonts w:hint="default" w:ascii="Times New Roman" w:hAnsi="Times New Roman" w:cs="Times New Roman"/>
                <w:color w:val="auto"/>
                <w:highlight w:val="none"/>
                <w:lang w:val="en-US" w:eastAsia="zh-CN"/>
              </w:rPr>
              <w:t>t/h，日软水设备原水用水量为</w:t>
            </w:r>
            <w:r>
              <w:rPr>
                <w:rFonts w:hint="eastAsia" w:cs="Times New Roman"/>
                <w:color w:val="auto"/>
                <w:highlight w:val="none"/>
                <w:lang w:val="en-US" w:eastAsia="zh-CN"/>
              </w:rPr>
              <w:t>100.56</w:t>
            </w:r>
            <w:r>
              <w:rPr>
                <w:rFonts w:hint="default" w:ascii="Times New Roman" w:hAnsi="Times New Roman" w:cs="Times New Roman"/>
                <w:color w:val="auto"/>
                <w:highlight w:val="none"/>
                <w:lang w:val="en-US" w:eastAsia="zh-CN"/>
              </w:rPr>
              <w:t>t/d，年软水设备用水量为</w:t>
            </w:r>
            <w:r>
              <w:rPr>
                <w:rFonts w:hint="eastAsia" w:cs="Times New Roman"/>
                <w:color w:val="auto"/>
                <w:highlight w:val="none"/>
                <w:lang w:val="en-US" w:eastAsia="zh-CN"/>
              </w:rPr>
              <w:t>18301.92</w:t>
            </w:r>
            <w:r>
              <w:rPr>
                <w:rFonts w:hint="default" w:ascii="Times New Roman" w:hAnsi="Times New Roman" w:cs="Times New Roman"/>
                <w:color w:val="auto"/>
                <w:highlight w:val="none"/>
                <w:lang w:val="en-US" w:eastAsia="zh-CN"/>
              </w:rPr>
              <w:t>t/a。</w:t>
            </w:r>
          </w:p>
          <w:p w14:paraId="716E5EE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④脱硫系统用水</w:t>
            </w:r>
          </w:p>
          <w:p w14:paraId="04FE96C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脱硫系统用水主要为循环用水及定期补水量，</w:t>
            </w:r>
            <w:r>
              <w:rPr>
                <w:rFonts w:hint="eastAsia" w:ascii="Times New Roman" w:hAnsi="Times New Roman" w:cs="Times New Roman"/>
                <w:color w:val="auto"/>
                <w:highlight w:val="none"/>
                <w:lang w:val="en-US" w:eastAsia="zh-CN"/>
              </w:rPr>
              <w:t>由锅炉定期排污及新鲜水补充</w:t>
            </w:r>
            <w:r>
              <w:rPr>
                <w:rFonts w:hint="default" w:ascii="Times New Roman" w:hAnsi="Times New Roman" w:cs="Times New Roman"/>
                <w:color w:val="auto"/>
                <w:highlight w:val="none"/>
                <w:lang w:val="en-US" w:eastAsia="zh-CN"/>
              </w:rPr>
              <w:t>。</w:t>
            </w:r>
          </w:p>
          <w:p w14:paraId="66B8B80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根据《工业锅炉烟气治理工程技术规范》（HJ462-2021）及《烟气脱硫工艺设计标准》（GB51284-2018）标准要求，循环水量计算公式如下：</w:t>
            </w:r>
          </w:p>
          <w:p w14:paraId="0B9F1ACA">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循环</w:t>
            </w: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烟气</w:t>
            </w:r>
            <w:r>
              <w:rPr>
                <w:rFonts w:hint="default" w:ascii="Times New Roman" w:hAnsi="Times New Roman" w:cs="Times New Roman"/>
                <w:color w:val="auto"/>
                <w:highlight w:val="none"/>
                <w:lang w:val="en-US" w:eastAsia="zh-CN"/>
              </w:rPr>
              <w:t>​×L/G</w:t>
            </w:r>
          </w:p>
          <w:p w14:paraId="0710091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循环</w:t>
            </w:r>
            <w:r>
              <w:rPr>
                <w:rFonts w:hint="default" w:ascii="Times New Roman" w:hAnsi="Times New Roman" w:cs="Times New Roman"/>
                <w:color w:val="auto"/>
                <w:highlight w:val="none"/>
                <w:lang w:val="en-US" w:eastAsia="zh-CN"/>
              </w:rPr>
              <w:t>：循环水量，m³/h</w:t>
            </w:r>
          </w:p>
          <w:p w14:paraId="66AB754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w:t>
            </w:r>
            <w:r>
              <w:rPr>
                <w:rFonts w:hint="default" w:ascii="Times New Roman" w:hAnsi="Times New Roman" w:cs="Times New Roman"/>
                <w:color w:val="auto"/>
                <w:highlight w:val="none"/>
                <w:vertAlign w:val="subscript"/>
                <w:lang w:val="en-US" w:eastAsia="zh-CN"/>
              </w:rPr>
              <w:t>烟气</w:t>
            </w:r>
            <w:r>
              <w:rPr>
                <w:rFonts w:hint="default" w:ascii="Times New Roman" w:hAnsi="Times New Roman" w:cs="Times New Roman"/>
                <w:color w:val="auto"/>
                <w:highlight w:val="none"/>
                <w:lang w:val="en-US" w:eastAsia="zh-CN"/>
              </w:rPr>
              <w:t>：锅炉烟气量（标态，干基），Nm³/h，</w:t>
            </w:r>
            <w:r>
              <w:rPr>
                <w:rFonts w:hint="eastAsia" w:ascii="Times New Roman" w:hAnsi="Times New Roman" w:cs="Times New Roman"/>
                <w:color w:val="auto"/>
                <w:highlight w:val="none"/>
                <w:lang w:val="en-US" w:eastAsia="zh-CN"/>
              </w:rPr>
              <w:t>241895950.73</w:t>
            </w:r>
            <w:r>
              <w:rPr>
                <w:rFonts w:hint="default" w:ascii="Times New Roman" w:hAnsi="Times New Roman" w:cs="Times New Roman"/>
                <w:color w:val="auto"/>
                <w:highlight w:val="none"/>
                <w:lang w:val="en-US" w:eastAsia="zh-CN"/>
              </w:rPr>
              <w:t>Nm³/a，</w:t>
            </w:r>
            <w:r>
              <w:rPr>
                <w:rFonts w:hint="eastAsia" w:cs="Times New Roman"/>
                <w:color w:val="auto"/>
                <w:highlight w:val="none"/>
                <w:lang w:val="en-US" w:eastAsia="zh-CN"/>
              </w:rPr>
              <w:t>即</w:t>
            </w:r>
            <w:r>
              <w:rPr>
                <w:rFonts w:hint="default" w:ascii="Times New Roman" w:hAnsi="Times New Roman" w:cs="Times New Roman"/>
                <w:color w:val="auto"/>
                <w:highlight w:val="none"/>
                <w:lang w:val="en-US" w:eastAsia="zh-CN"/>
              </w:rPr>
              <w:t>55379.1096Nm³/h。</w:t>
            </w:r>
          </w:p>
          <w:p w14:paraId="6DCC302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L/G：液气比，L/m³（即每立方米烟气对应的循环水升数），单碱法（简易湿法）通常取2~5L/m³，本项目取值3L/m³。</w:t>
            </w:r>
          </w:p>
          <w:p w14:paraId="155E6A9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则Q</w:t>
            </w:r>
            <w:r>
              <w:rPr>
                <w:rFonts w:hint="default" w:ascii="Times New Roman" w:hAnsi="Times New Roman" w:cs="Times New Roman"/>
                <w:color w:val="auto"/>
                <w:highlight w:val="none"/>
                <w:vertAlign w:val="subscript"/>
                <w:lang w:val="en-US" w:eastAsia="zh-CN"/>
              </w:rPr>
              <w:t>循环</w:t>
            </w:r>
            <w:r>
              <w:rPr>
                <w:rFonts w:hint="default" w:ascii="Times New Roman" w:hAnsi="Times New Roman" w:cs="Times New Roman"/>
                <w:color w:val="auto"/>
                <w:highlight w:val="none"/>
                <w:lang w:val="en-US" w:eastAsia="zh-CN"/>
              </w:rPr>
              <w:t>=55379.1096Nm³/h×3L/m³=166.14t/h，日循环水量为3987.36t/d，年循环用水量为725699.52t/a。</w:t>
            </w:r>
          </w:p>
          <w:p w14:paraId="6FBD354E">
            <w:pPr>
              <w:bidi w:val="0"/>
              <w:rPr>
                <w:rFonts w:hint="default" w:cs="Times New Roman"/>
                <w:color w:val="auto"/>
                <w:highlight w:val="none"/>
                <w:lang w:val="en-US" w:eastAsia="zh-CN"/>
              </w:rPr>
            </w:pPr>
            <w:r>
              <w:rPr>
                <w:rFonts w:hint="eastAsia" w:cs="Times New Roman"/>
                <w:color w:val="auto"/>
                <w:highlight w:val="none"/>
                <w:lang w:val="en-US" w:eastAsia="zh-CN"/>
              </w:rPr>
              <w:t>脱硫系统补水量按照循环水量的2%计算，则脱硫系统补水量为3.32t/h，日补水量为79.68t/d，年补水量为14501.76t/a。</w:t>
            </w:r>
          </w:p>
          <w:p w14:paraId="46D391D8">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锅炉系统排污废水及软水制备系统排污废水排至脱硫系统水量为2t/h，不足部分由新鲜用水补充，则新鲜用水补充量为1.32t/h，日新鲜用水补充水量为31.68t/d，年新鲜用水补水量为5765.76t/a。</w:t>
            </w:r>
          </w:p>
          <w:p w14:paraId="3E498A96">
            <w:pPr>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则本项目新鲜用水量共计为5.51t/h，日新鲜用水量共计为132.24t/d，年新鲜用水量共计为24067.68t/a。</w:t>
            </w:r>
          </w:p>
          <w:p w14:paraId="3A07A1E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（2）排水工程</w:t>
            </w:r>
          </w:p>
          <w:p w14:paraId="4287B56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①锅炉系统排污废水</w:t>
            </w:r>
          </w:p>
          <w:p w14:paraId="26A1C4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锅炉小时排污量为2t/h，日锅炉排污量为48t/d，年锅炉排污量为8736t/a，锅炉系统排污废水用于</w:t>
            </w:r>
            <w:r>
              <w:rPr>
                <w:rFonts w:hint="eastAsia"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，不外排。</w:t>
            </w:r>
            <w:r>
              <w:rPr>
                <w:rFonts w:hint="eastAsia" w:ascii="Times New Roman" w:hAnsi="Times New Roman" w:cs="Times New Roman"/>
                <w:color w:val="auto"/>
                <w:highlight w:val="none"/>
                <w:lang w:val="en-US" w:eastAsia="zh-CN"/>
              </w:rPr>
              <w:t>管道损失量为1.2t/h，日管道损失量为28.8t/d，年管道损失量为5241.6t/a。</w:t>
            </w:r>
          </w:p>
          <w:p w14:paraId="5A538B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②软水制备系统排污废水</w:t>
            </w:r>
          </w:p>
          <w:p w14:paraId="13D8DC75">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软水制备率为80%，则软水制备系统排污废水量为</w:t>
            </w:r>
            <w:r>
              <w:rPr>
                <w:rFonts w:hint="eastAsia" w:ascii="Times New Roman" w:hAnsi="Times New Roman" w:cs="Times New Roman"/>
                <w:color w:val="auto"/>
                <w:highlight w:val="none"/>
                <w:lang w:val="en-US" w:eastAsia="zh-CN"/>
              </w:rPr>
              <w:t>0.84</w:t>
            </w:r>
            <w:r>
              <w:rPr>
                <w:rFonts w:hint="default" w:ascii="Times New Roman" w:hAnsi="Times New Roman" w:cs="Times New Roman"/>
                <w:color w:val="auto"/>
                <w:highlight w:val="none"/>
                <w:lang w:val="en-US" w:eastAsia="zh-CN"/>
              </w:rPr>
              <w:t>t/h，软水制备系统日排污废水量为</w:t>
            </w:r>
            <w:r>
              <w:rPr>
                <w:rFonts w:hint="eastAsia" w:ascii="Times New Roman" w:hAnsi="Times New Roman" w:cs="Times New Roman"/>
                <w:color w:val="auto"/>
                <w:highlight w:val="none"/>
                <w:lang w:val="en-US" w:eastAsia="zh-CN"/>
              </w:rPr>
              <w:t>20.16</w:t>
            </w:r>
            <w:r>
              <w:rPr>
                <w:rFonts w:hint="default" w:ascii="Times New Roman" w:hAnsi="Times New Roman" w:cs="Times New Roman"/>
                <w:color w:val="auto"/>
                <w:highlight w:val="none"/>
                <w:lang w:val="en-US" w:eastAsia="zh-CN"/>
              </w:rPr>
              <w:t>t/d，软水制备系统年排污废水量为</w:t>
            </w:r>
            <w:r>
              <w:rPr>
                <w:rFonts w:hint="eastAsia" w:ascii="Times New Roman" w:hAnsi="Times New Roman" w:cs="Times New Roman"/>
                <w:color w:val="auto"/>
                <w:highlight w:val="none"/>
                <w:lang w:val="en-US" w:eastAsia="zh-CN"/>
              </w:rPr>
              <w:t>3669.12</w:t>
            </w:r>
            <w:r>
              <w:rPr>
                <w:rFonts w:hint="default" w:ascii="Times New Roman" w:hAnsi="Times New Roman" w:cs="Times New Roman"/>
                <w:color w:val="auto"/>
                <w:highlight w:val="none"/>
                <w:lang w:val="en-US" w:eastAsia="zh-CN"/>
              </w:rPr>
              <w:t>t/a，</w:t>
            </w:r>
            <w:r>
              <w:rPr>
                <w:rFonts w:hint="eastAsia" w:cs="Times New Roman"/>
                <w:color w:val="auto"/>
                <w:highlight w:val="none"/>
                <w:lang w:val="en-US" w:eastAsia="zh-CN"/>
              </w:rPr>
              <w:t>软化水系统排污废水浓水池（100m³）暂存后，定期交由有浓水处理资质的单位进行处置。</w:t>
            </w:r>
          </w:p>
          <w:p w14:paraId="3EB2F37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w:t>
            </w:r>
            <w:r>
              <w:rPr>
                <w:rFonts w:hint="eastAsia" w:cs="Times New Roman"/>
                <w:color w:val="auto"/>
                <w:highlight w:val="none"/>
                <w:lang w:val="en-US" w:eastAsia="zh-CN"/>
              </w:rPr>
              <w:t>脱硝</w:t>
            </w:r>
            <w:r>
              <w:rPr>
                <w:rFonts w:hint="default" w:ascii="Times New Roman" w:hAnsi="Times New Roman" w:cs="Times New Roman"/>
                <w:color w:val="auto"/>
                <w:highlight w:val="none"/>
                <w:lang w:val="en-US" w:eastAsia="zh-CN"/>
              </w:rPr>
              <w:t>系统排污废水</w:t>
            </w:r>
          </w:p>
          <w:p w14:paraId="31AFC7F3">
            <w:pPr>
              <w:bidi w:val="0"/>
              <w:rPr>
                <w:rFonts w:hint="default" w:ascii="Times New Roman" w:hAnsi="Times New Roman" w:cs="Times New Roman"/>
                <w:color w:val="auto"/>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尿素溶液全部参与反应，水分随烟气蒸发，系统无工艺废水排放。</w:t>
            </w:r>
          </w:p>
          <w:p w14:paraId="3EAE78C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④脱硫系统排污废水</w:t>
            </w:r>
          </w:p>
          <w:p w14:paraId="57932B2D">
            <w:pPr>
              <w:bidi w:val="0"/>
              <w:rPr>
                <w:rFonts w:hint="default" w:ascii="Times New Roman" w:hAnsi="Times New Roman" w:cs="Times New Roman"/>
                <w:color w:val="auto"/>
                <w:highlight w:val="none"/>
                <w:lang w:val="en-US" w:eastAsia="zh-CN"/>
              </w:rPr>
            </w:pPr>
            <w:r>
              <w:rPr>
                <w:rFonts w:hint="eastAsia"/>
                <w:color w:val="auto"/>
                <w:highlight w:val="none"/>
                <w:lang w:val="en-US" w:eastAsia="zh-CN"/>
              </w:rPr>
              <w:t>脱硫系统定期补水量为3.32t/h，则蒸发损失量为3.32t/h，日损失量为79.68t/d，年损失量为14501.76t/a，全部蒸发散失。</w:t>
            </w:r>
            <w:r>
              <w:rPr>
                <w:rFonts w:hint="default" w:ascii="Times New Roman" w:hAnsi="Times New Roman" w:cs="Times New Roman"/>
                <w:color w:val="auto"/>
                <w:highlight w:val="none"/>
                <w:lang w:val="en-US" w:eastAsia="zh-CN"/>
              </w:rPr>
              <w:t>脱硫系统</w:t>
            </w:r>
            <w:r>
              <w:rPr>
                <w:rFonts w:hint="eastAsia" w:ascii="Times New Roman" w:hAnsi="Times New Roman" w:cs="Times New Roman"/>
                <w:color w:val="auto"/>
                <w:highlight w:val="none"/>
                <w:lang w:val="en-US" w:eastAsia="zh-CN"/>
              </w:rPr>
              <w:t>用循环水</w:t>
            </w:r>
            <w:r>
              <w:rPr>
                <w:rFonts w:hint="default" w:ascii="Times New Roman" w:hAnsi="Times New Roman" w:cs="Times New Roman"/>
                <w:color w:val="auto"/>
                <w:highlight w:val="none"/>
                <w:lang w:val="en-US" w:eastAsia="zh-CN"/>
              </w:rPr>
              <w:t>循环使用，不外排</w:t>
            </w:r>
            <w:r>
              <w:rPr>
                <w:rFonts w:hint="eastAsia" w:ascii="Times New Roman" w:hAnsi="Times New Roman" w:cs="Times New Roman"/>
                <w:color w:val="auto"/>
                <w:highlight w:val="none"/>
                <w:lang w:val="en-US" w:eastAsia="zh-CN"/>
              </w:rPr>
              <w:t>。</w:t>
            </w:r>
          </w:p>
          <w:p w14:paraId="26E5197A">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表2-8项目水平衡一览表（单位：t/h）</w:t>
            </w:r>
          </w:p>
          <w:tbl>
            <w:tblPr>
              <w:tblStyle w:val="25"/>
              <w:tblW w:w="8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125"/>
              <w:gridCol w:w="1147"/>
              <w:gridCol w:w="1090"/>
              <w:gridCol w:w="1287"/>
              <w:gridCol w:w="1090"/>
              <w:gridCol w:w="992"/>
            </w:tblGrid>
            <w:tr w14:paraId="207B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44" w:type="pct"/>
                  <w:vMerge w:val="restart"/>
                  <w:tcBorders>
                    <w:tl2br w:val="nil"/>
                    <w:tr2bl w:val="nil"/>
                  </w:tcBorders>
                  <w:noWrap w:val="0"/>
                  <w:vAlign w:val="center"/>
                </w:tcPr>
                <w:p w14:paraId="4B2753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用水项目</w:t>
                  </w:r>
                </w:p>
              </w:tc>
              <w:tc>
                <w:tcPr>
                  <w:tcW w:w="2870" w:type="pct"/>
                  <w:gridSpan w:val="4"/>
                  <w:tcBorders>
                    <w:tl2br w:val="nil"/>
                    <w:tr2bl w:val="nil"/>
                  </w:tcBorders>
                  <w:noWrap w:val="0"/>
                  <w:vAlign w:val="center"/>
                </w:tcPr>
                <w:p w14:paraId="534272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用水量</w:t>
                  </w:r>
                </w:p>
              </w:tc>
              <w:tc>
                <w:tcPr>
                  <w:tcW w:w="673" w:type="pct"/>
                  <w:vMerge w:val="restart"/>
                  <w:tcBorders>
                    <w:tl2br w:val="nil"/>
                    <w:tr2bl w:val="nil"/>
                  </w:tcBorders>
                  <w:noWrap w:val="0"/>
                  <w:vAlign w:val="center"/>
                </w:tcPr>
                <w:p w14:paraId="72CDD3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损耗量</w:t>
                  </w:r>
                </w:p>
              </w:tc>
              <w:tc>
                <w:tcPr>
                  <w:tcW w:w="612" w:type="pct"/>
                  <w:vMerge w:val="restart"/>
                  <w:tcBorders>
                    <w:tl2br w:val="nil"/>
                    <w:tr2bl w:val="nil"/>
                  </w:tcBorders>
                  <w:noWrap w:val="0"/>
                  <w:vAlign w:val="center"/>
                </w:tcPr>
                <w:p w14:paraId="3D58F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排水量</w:t>
                  </w:r>
                </w:p>
              </w:tc>
            </w:tr>
            <w:tr w14:paraId="3E32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844" w:type="pct"/>
                  <w:vMerge w:val="continue"/>
                  <w:tcBorders>
                    <w:tl2br w:val="nil"/>
                    <w:tr2bl w:val="nil"/>
                  </w:tcBorders>
                  <w:noWrap w:val="0"/>
                  <w:vAlign w:val="center"/>
                </w:tcPr>
                <w:p w14:paraId="4FAE40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694" w:type="pct"/>
                  <w:tcBorders>
                    <w:tl2br w:val="nil"/>
                    <w:tr2bl w:val="nil"/>
                  </w:tcBorders>
                  <w:noWrap w:val="0"/>
                  <w:vAlign w:val="center"/>
                </w:tcPr>
                <w:p w14:paraId="533BF6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新水用水量</w:t>
                  </w:r>
                </w:p>
              </w:tc>
              <w:tc>
                <w:tcPr>
                  <w:tcW w:w="708" w:type="pct"/>
                  <w:tcBorders>
                    <w:tl2br w:val="nil"/>
                    <w:tr2bl w:val="nil"/>
                  </w:tcBorders>
                  <w:noWrap w:val="0"/>
                  <w:vAlign w:val="center"/>
                </w:tcPr>
                <w:p w14:paraId="532523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软化水用水量</w:t>
                  </w:r>
                </w:p>
              </w:tc>
              <w:tc>
                <w:tcPr>
                  <w:tcW w:w="673" w:type="pct"/>
                  <w:tcBorders>
                    <w:tl2br w:val="nil"/>
                    <w:tr2bl w:val="nil"/>
                  </w:tcBorders>
                  <w:noWrap w:val="0"/>
                  <w:vAlign w:val="center"/>
                </w:tcPr>
                <w:p w14:paraId="308A56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回用水</w:t>
                  </w:r>
                </w:p>
              </w:tc>
              <w:tc>
                <w:tcPr>
                  <w:tcW w:w="794" w:type="pct"/>
                  <w:tcBorders>
                    <w:tl2br w:val="nil"/>
                    <w:tr2bl w:val="nil"/>
                  </w:tcBorders>
                  <w:noWrap w:val="0"/>
                  <w:vAlign w:val="center"/>
                </w:tcPr>
                <w:p w14:paraId="18447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循环量</w:t>
                  </w:r>
                </w:p>
              </w:tc>
              <w:tc>
                <w:tcPr>
                  <w:tcW w:w="673" w:type="pct"/>
                  <w:vMerge w:val="continue"/>
                  <w:tcBorders>
                    <w:tl2br w:val="nil"/>
                    <w:tr2bl w:val="nil"/>
                  </w:tcBorders>
                  <w:noWrap w:val="0"/>
                  <w:vAlign w:val="center"/>
                </w:tcPr>
                <w:p w14:paraId="4C140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612" w:type="pct"/>
                  <w:vMerge w:val="continue"/>
                  <w:tcBorders>
                    <w:tl2br w:val="nil"/>
                    <w:tr2bl w:val="nil"/>
                  </w:tcBorders>
                  <w:noWrap w:val="0"/>
                  <w:vAlign w:val="center"/>
                </w:tcPr>
                <w:p w14:paraId="4EC39A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r>
            <w:tr w14:paraId="091A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844" w:type="pct"/>
                  <w:tcBorders>
                    <w:tl2br w:val="nil"/>
                    <w:tr2bl w:val="nil"/>
                  </w:tcBorders>
                  <w:noWrap w:val="0"/>
                  <w:vAlign w:val="center"/>
                </w:tcPr>
                <w:p w14:paraId="0B3651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软水制备系统用水</w:t>
                  </w:r>
                </w:p>
              </w:tc>
              <w:tc>
                <w:tcPr>
                  <w:tcW w:w="694" w:type="pct"/>
                  <w:tcBorders>
                    <w:tl2br w:val="nil"/>
                    <w:tr2bl w:val="nil"/>
                  </w:tcBorders>
                  <w:noWrap w:val="0"/>
                  <w:vAlign w:val="center"/>
                </w:tcPr>
                <w:p w14:paraId="40DC82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4.19</w:t>
                  </w:r>
                </w:p>
              </w:tc>
              <w:tc>
                <w:tcPr>
                  <w:tcW w:w="708" w:type="pct"/>
                  <w:tcBorders>
                    <w:tl2br w:val="nil"/>
                    <w:tr2bl w:val="nil"/>
                  </w:tcBorders>
                  <w:noWrap w:val="0"/>
                  <w:vAlign w:val="center"/>
                </w:tcPr>
                <w:p w14:paraId="60C8CC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5B9EFE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94" w:type="pct"/>
                  <w:tcBorders>
                    <w:tl2br w:val="nil"/>
                    <w:tr2bl w:val="nil"/>
                  </w:tcBorders>
                  <w:noWrap w:val="0"/>
                  <w:vAlign w:val="center"/>
                </w:tcPr>
                <w:p w14:paraId="76C898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2CC52E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3.35</w:t>
                  </w:r>
                </w:p>
              </w:tc>
              <w:tc>
                <w:tcPr>
                  <w:tcW w:w="612" w:type="pct"/>
                  <w:tcBorders>
                    <w:tl2br w:val="nil"/>
                    <w:tr2bl w:val="nil"/>
                  </w:tcBorders>
                  <w:noWrap w:val="0"/>
                  <w:vAlign w:val="center"/>
                </w:tcPr>
                <w:p w14:paraId="492B07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0.84</w:t>
                  </w:r>
                </w:p>
              </w:tc>
            </w:tr>
            <w:tr w14:paraId="5AAE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44" w:type="pct"/>
                  <w:tcBorders>
                    <w:tl2br w:val="nil"/>
                    <w:tr2bl w:val="nil"/>
                  </w:tcBorders>
                  <w:noWrap w:val="0"/>
                  <w:vAlign w:val="center"/>
                </w:tcPr>
                <w:p w14:paraId="0B6F22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锅炉用水量</w:t>
                  </w:r>
                </w:p>
              </w:tc>
              <w:tc>
                <w:tcPr>
                  <w:tcW w:w="694" w:type="pct"/>
                  <w:tcBorders>
                    <w:tl2br w:val="nil"/>
                    <w:tr2bl w:val="nil"/>
                  </w:tcBorders>
                  <w:noWrap w:val="0"/>
                  <w:vAlign w:val="center"/>
                </w:tcPr>
                <w:p w14:paraId="57EBD0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08" w:type="pct"/>
                  <w:tcBorders>
                    <w:tl2br w:val="nil"/>
                    <w:tr2bl w:val="nil"/>
                  </w:tcBorders>
                  <w:noWrap w:val="0"/>
                  <w:vAlign w:val="center"/>
                </w:tcPr>
                <w:p w14:paraId="78BFC4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3.2</w:t>
                  </w:r>
                </w:p>
              </w:tc>
              <w:tc>
                <w:tcPr>
                  <w:tcW w:w="673" w:type="pct"/>
                  <w:tcBorders>
                    <w:tl2br w:val="nil"/>
                    <w:tr2bl w:val="nil"/>
                  </w:tcBorders>
                  <w:noWrap w:val="0"/>
                  <w:vAlign w:val="center"/>
                </w:tcPr>
                <w:p w14:paraId="2A60C0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94" w:type="pct"/>
                  <w:tcBorders>
                    <w:tl2br w:val="nil"/>
                    <w:tr2bl w:val="nil"/>
                  </w:tcBorders>
                  <w:noWrap w:val="0"/>
                  <w:vAlign w:val="center"/>
                </w:tcPr>
                <w:p w14:paraId="34F5F9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64DD48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1.2</w:t>
                  </w:r>
                </w:p>
              </w:tc>
              <w:tc>
                <w:tcPr>
                  <w:tcW w:w="612" w:type="pct"/>
                  <w:tcBorders>
                    <w:tl2br w:val="nil"/>
                    <w:tr2bl w:val="nil"/>
                  </w:tcBorders>
                  <w:noWrap w:val="0"/>
                  <w:vAlign w:val="center"/>
                </w:tcPr>
                <w:p w14:paraId="4E1D8A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r>
            <w:tr w14:paraId="216B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44" w:type="pct"/>
                  <w:tcBorders>
                    <w:tl2br w:val="nil"/>
                    <w:tr2bl w:val="nil"/>
                  </w:tcBorders>
                  <w:noWrap w:val="0"/>
                  <w:vAlign w:val="center"/>
                </w:tcPr>
                <w:p w14:paraId="27ED15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脱硫系统用水</w:t>
                  </w:r>
                </w:p>
              </w:tc>
              <w:tc>
                <w:tcPr>
                  <w:tcW w:w="694" w:type="pct"/>
                  <w:tcBorders>
                    <w:tl2br w:val="nil"/>
                    <w:tr2bl w:val="nil"/>
                  </w:tcBorders>
                  <w:noWrap w:val="0"/>
                  <w:vAlign w:val="center"/>
                </w:tcPr>
                <w:p w14:paraId="0FF006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1.32</w:t>
                  </w:r>
                </w:p>
              </w:tc>
              <w:tc>
                <w:tcPr>
                  <w:tcW w:w="708" w:type="pct"/>
                  <w:tcBorders>
                    <w:tl2br w:val="nil"/>
                    <w:tr2bl w:val="nil"/>
                  </w:tcBorders>
                  <w:noWrap w:val="0"/>
                  <w:vAlign w:val="center"/>
                </w:tcPr>
                <w:p w14:paraId="07C9F9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2FC738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c>
                <w:tcPr>
                  <w:tcW w:w="794" w:type="pct"/>
                  <w:tcBorders>
                    <w:tl2br w:val="nil"/>
                    <w:tr2bl w:val="nil"/>
                  </w:tcBorders>
                  <w:noWrap w:val="0"/>
                  <w:vAlign w:val="center"/>
                </w:tcPr>
                <w:p w14:paraId="4E62F6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166.14</w:t>
                  </w:r>
                </w:p>
              </w:tc>
              <w:tc>
                <w:tcPr>
                  <w:tcW w:w="673" w:type="pct"/>
                  <w:tcBorders>
                    <w:tl2br w:val="nil"/>
                    <w:tr2bl w:val="nil"/>
                  </w:tcBorders>
                  <w:noWrap w:val="0"/>
                  <w:vAlign w:val="center"/>
                </w:tcPr>
                <w:p w14:paraId="4CC037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3.32</w:t>
                  </w:r>
                </w:p>
              </w:tc>
              <w:tc>
                <w:tcPr>
                  <w:tcW w:w="612" w:type="pct"/>
                  <w:tcBorders>
                    <w:tl2br w:val="nil"/>
                    <w:tr2bl w:val="nil"/>
                  </w:tcBorders>
                  <w:noWrap w:val="0"/>
                  <w:vAlign w:val="center"/>
                </w:tcPr>
                <w:p w14:paraId="3D2A82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p>
              </w:tc>
            </w:tr>
            <w:tr w14:paraId="2188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4" w:type="pct"/>
                  <w:tcBorders>
                    <w:tl2br w:val="nil"/>
                    <w:tr2bl w:val="nil"/>
                  </w:tcBorders>
                  <w:noWrap w:val="0"/>
                  <w:vAlign w:val="center"/>
                </w:tcPr>
                <w:p w14:paraId="259CB6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脱硝系统用水</w:t>
                  </w:r>
                </w:p>
              </w:tc>
              <w:tc>
                <w:tcPr>
                  <w:tcW w:w="694" w:type="pct"/>
                  <w:tcBorders>
                    <w:tl2br w:val="nil"/>
                    <w:tr2bl w:val="nil"/>
                  </w:tcBorders>
                  <w:noWrap w:val="0"/>
                  <w:vAlign w:val="center"/>
                </w:tcPr>
                <w:p w14:paraId="3DD614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08" w:type="pct"/>
                  <w:tcBorders>
                    <w:tl2br w:val="nil"/>
                    <w:tr2bl w:val="nil"/>
                  </w:tcBorders>
                  <w:noWrap w:val="0"/>
                  <w:vAlign w:val="center"/>
                </w:tcPr>
                <w:p w14:paraId="3BE04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ascii="Times New Roman" w:hAnsi="Times New Roman" w:cs="Times New Roman"/>
                      <w:color w:val="auto"/>
                      <w:highlight w:val="none"/>
                      <w:lang w:val="en-US" w:eastAsia="zh-CN"/>
                    </w:rPr>
                    <w:t>15</w:t>
                  </w:r>
                </w:p>
              </w:tc>
              <w:tc>
                <w:tcPr>
                  <w:tcW w:w="673" w:type="pct"/>
                  <w:tcBorders>
                    <w:tl2br w:val="nil"/>
                    <w:tr2bl w:val="nil"/>
                  </w:tcBorders>
                  <w:noWrap w:val="0"/>
                  <w:vAlign w:val="center"/>
                </w:tcPr>
                <w:p w14:paraId="354859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794" w:type="pct"/>
                  <w:tcBorders>
                    <w:tl2br w:val="nil"/>
                    <w:tr2bl w:val="nil"/>
                  </w:tcBorders>
                  <w:noWrap w:val="0"/>
                  <w:vAlign w:val="center"/>
                </w:tcPr>
                <w:p w14:paraId="36189D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c>
                <w:tcPr>
                  <w:tcW w:w="673" w:type="pct"/>
                  <w:tcBorders>
                    <w:tl2br w:val="nil"/>
                    <w:tr2bl w:val="nil"/>
                  </w:tcBorders>
                  <w:noWrap w:val="0"/>
                  <w:vAlign w:val="center"/>
                </w:tcPr>
                <w:p w14:paraId="0E49B9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ascii="Times New Roman" w:hAnsi="Times New Roman" w:cs="Times New Roman"/>
                      <w:color w:val="auto"/>
                      <w:highlight w:val="none"/>
                      <w:lang w:val="en-US" w:eastAsia="zh-CN"/>
                    </w:rPr>
                    <w:t>15</w:t>
                  </w:r>
                </w:p>
              </w:tc>
              <w:tc>
                <w:tcPr>
                  <w:tcW w:w="612" w:type="pct"/>
                  <w:tcBorders>
                    <w:tl2br w:val="nil"/>
                    <w:tr2bl w:val="nil"/>
                  </w:tcBorders>
                  <w:noWrap w:val="0"/>
                  <w:vAlign w:val="center"/>
                </w:tcPr>
                <w:p w14:paraId="4D4758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w:t>
                  </w:r>
                </w:p>
              </w:tc>
            </w:tr>
            <w:tr w14:paraId="0F82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44" w:type="pct"/>
                  <w:tcBorders>
                    <w:tl2br w:val="nil"/>
                    <w:tr2bl w:val="nil"/>
                  </w:tcBorders>
                  <w:noWrap w:val="0"/>
                  <w:vAlign w:val="center"/>
                </w:tcPr>
                <w:p w14:paraId="6289D3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694" w:type="pct"/>
                  <w:tcBorders>
                    <w:tl2br w:val="nil"/>
                    <w:tr2bl w:val="nil"/>
                  </w:tcBorders>
                  <w:noWrap w:val="0"/>
                  <w:vAlign w:val="center"/>
                </w:tcPr>
                <w:p w14:paraId="4F9D31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sum(B3:B6)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5.51</w:t>
                  </w:r>
                  <w:r>
                    <w:rPr>
                      <w:rFonts w:hint="default" w:ascii="Times New Roman" w:hAnsi="Times New Roman" w:cs="Times New Roman"/>
                      <w:color w:val="auto"/>
                      <w:highlight w:val="none"/>
                      <w:lang w:val="en-US" w:eastAsia="zh-CN"/>
                    </w:rPr>
                    <w:fldChar w:fldCharType="end"/>
                  </w:r>
                </w:p>
              </w:tc>
              <w:tc>
                <w:tcPr>
                  <w:tcW w:w="708" w:type="pct"/>
                  <w:tcBorders>
                    <w:tl2br w:val="nil"/>
                    <w:tr2bl w:val="nil"/>
                  </w:tcBorders>
                  <w:noWrap w:val="0"/>
                  <w:vAlign w:val="center"/>
                </w:tcPr>
                <w:p w14:paraId="197CCF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sum(C3:C6)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3.35</w:t>
                  </w:r>
                  <w:r>
                    <w:rPr>
                      <w:rFonts w:hint="default" w:ascii="Times New Roman" w:hAnsi="Times New Roman" w:cs="Times New Roman"/>
                      <w:color w:val="auto"/>
                      <w:highlight w:val="none"/>
                      <w:lang w:val="en-US" w:eastAsia="zh-CN"/>
                    </w:rPr>
                    <w:fldChar w:fldCharType="end"/>
                  </w:r>
                </w:p>
              </w:tc>
              <w:tc>
                <w:tcPr>
                  <w:tcW w:w="673" w:type="pct"/>
                  <w:tcBorders>
                    <w:tl2br w:val="nil"/>
                    <w:tr2bl w:val="nil"/>
                  </w:tcBorders>
                  <w:noWrap w:val="0"/>
                  <w:vAlign w:val="center"/>
                </w:tcPr>
                <w:p w14:paraId="1D5AE2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2.0</w:t>
                  </w:r>
                </w:p>
              </w:tc>
              <w:tc>
                <w:tcPr>
                  <w:tcW w:w="794" w:type="pct"/>
                  <w:tcBorders>
                    <w:tl2br w:val="nil"/>
                    <w:tr2bl w:val="nil"/>
                  </w:tcBorders>
                  <w:noWrap w:val="0"/>
                  <w:vAlign w:val="center"/>
                </w:tcPr>
                <w:p w14:paraId="0E1D5B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166.14</w:t>
                  </w:r>
                </w:p>
              </w:tc>
              <w:tc>
                <w:tcPr>
                  <w:tcW w:w="673" w:type="pct"/>
                  <w:tcBorders>
                    <w:tl2br w:val="nil"/>
                    <w:tr2bl w:val="nil"/>
                  </w:tcBorders>
                  <w:noWrap w:val="0"/>
                  <w:vAlign w:val="center"/>
                </w:tcPr>
                <w:p w14:paraId="188D12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sum(F3:F6)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8.02</w:t>
                  </w:r>
                  <w:r>
                    <w:rPr>
                      <w:rFonts w:hint="default" w:ascii="Times New Roman" w:hAnsi="Times New Roman" w:cs="Times New Roman"/>
                      <w:color w:val="auto"/>
                      <w:highlight w:val="none"/>
                      <w:lang w:val="en-US" w:eastAsia="zh-CN"/>
                    </w:rPr>
                    <w:fldChar w:fldCharType="end"/>
                  </w:r>
                </w:p>
              </w:tc>
              <w:tc>
                <w:tcPr>
                  <w:tcW w:w="612" w:type="pct"/>
                  <w:tcBorders>
                    <w:tl2br w:val="nil"/>
                    <w:tr2bl w:val="nil"/>
                  </w:tcBorders>
                  <w:noWrap w:val="0"/>
                  <w:vAlign w:val="center"/>
                </w:tcPr>
                <w:p w14:paraId="1B91D3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sum(G3:G6)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2.84</w:t>
                  </w:r>
                  <w:r>
                    <w:rPr>
                      <w:rFonts w:hint="default" w:ascii="Times New Roman" w:hAnsi="Times New Roman" w:cs="Times New Roman"/>
                      <w:color w:val="auto"/>
                      <w:highlight w:val="none"/>
                      <w:lang w:val="en-US" w:eastAsia="zh-CN"/>
                    </w:rPr>
                    <w:fldChar w:fldCharType="end"/>
                  </w:r>
                </w:p>
              </w:tc>
            </w:tr>
          </w:tbl>
          <w:p w14:paraId="792CE256">
            <w:pPr>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4984115" cy="3801110"/>
                  <wp:effectExtent l="0" t="0" r="0" b="0"/>
                  <wp:docPr id="144" name="E657119C-6982-421D-8BA7-E74DEB70A7D9-1" descr="C:/Users/Lenovo/AppData/Local/Temp/wps.FhuNlq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E657119C-6982-421D-8BA7-E74DEB70A7D9-1" descr="C:/Users/Lenovo/AppData/Local/Temp/wps.FhuNlqwps"/>
                          <pic:cNvPicPr>
                            <a:picLocks noChangeAspect="1"/>
                          </pic:cNvPicPr>
                        </pic:nvPicPr>
                        <pic:blipFill>
                          <a:blip r:embed="rId20"/>
                          <a:stretch>
                            <a:fillRect/>
                          </a:stretch>
                        </pic:blipFill>
                        <pic:spPr>
                          <a:xfrm>
                            <a:off x="0" y="0"/>
                            <a:ext cx="4984115" cy="3801110"/>
                          </a:xfrm>
                          <a:prstGeom prst="rect">
                            <a:avLst/>
                          </a:prstGeom>
                        </pic:spPr>
                      </pic:pic>
                    </a:graphicData>
                  </a:graphic>
                </wp:inline>
              </w:drawing>
            </w:r>
          </w:p>
          <w:p w14:paraId="746C3587">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图2-1水平衡图（单位：t/h）</w:t>
            </w:r>
          </w:p>
          <w:p w14:paraId="1472876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（2）供电工程</w:t>
            </w:r>
          </w:p>
          <w:p w14:paraId="3338D1E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本项目供电工程依托选煤厂现有供电系统。</w:t>
            </w:r>
          </w:p>
          <w:p w14:paraId="5C2333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（3）供热工程</w:t>
            </w:r>
          </w:p>
          <w:p w14:paraId="1A8B5DF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厂区冬季供暖由本项目锅炉提供。</w:t>
            </w:r>
          </w:p>
          <w:p w14:paraId="149BCB1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8.平面布置</w:t>
            </w:r>
          </w:p>
          <w:p w14:paraId="330457E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位于内蒙古自治区鄂尔多斯市准格尔旗纳日松镇，内蒙古伊泰煤炭股份有限公司凯达选煤厂内，利用现有798㎡的锅炉房，新建1台型号为DZL40-1.6-AII型40t/h的燃煤蒸汽锅炉。废气排气筒依托现有1根50m高排气筒（选煤厂排气筒DA001排放），锅炉房布设有锅炉间、除尘车间、脱硝车间、脱硫车间、引风机房、空压机房、一般固废暂存区、原辅材料暂存区等，整个厂区建筑布局合理，交通组织便捷、顺畅，锅炉房与选煤厂厂区位置关系图见附图3。</w:t>
            </w:r>
          </w:p>
        </w:tc>
      </w:tr>
      <w:tr w14:paraId="5DDE2A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2" w:hRule="atLeast"/>
          <w:jc w:val="center"/>
        </w:trPr>
        <w:tc>
          <w:tcPr>
            <w:tcW w:w="823" w:type="dxa"/>
            <w:noWrap w:val="0"/>
            <w:vAlign w:val="center"/>
          </w:tcPr>
          <w:p w14:paraId="6B967204">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工艺流程和产排污环节</w:t>
            </w:r>
          </w:p>
        </w:tc>
        <w:tc>
          <w:tcPr>
            <w:tcW w:w="8161" w:type="dxa"/>
            <w:gridSpan w:val="2"/>
            <w:noWrap w:val="0"/>
            <w:vAlign w:val="top"/>
          </w:tcPr>
          <w:p w14:paraId="2519F05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一、施工期工艺流程及产排污环节</w:t>
            </w:r>
          </w:p>
          <w:p w14:paraId="3141047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本项目施工期仅安装锅炉</w:t>
            </w:r>
            <w:r>
              <w:rPr>
                <w:rFonts w:hint="default" w:ascii="Times New Roman" w:hAnsi="Times New Roman" w:cs="Times New Roman"/>
                <w:color w:val="auto"/>
                <w:highlight w:val="none"/>
                <w:lang w:val="en-US" w:eastAsia="zh-CN"/>
              </w:rPr>
              <w:t>及其设备</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施工过程中会产生噪声、固废及施工废水等</w:t>
            </w:r>
            <w:r>
              <w:rPr>
                <w:rFonts w:hint="default" w:ascii="Times New Roman" w:hAnsi="Times New Roman" w:cs="Times New Roman"/>
                <w:color w:val="auto"/>
                <w:highlight w:val="none"/>
              </w:rPr>
              <w:t>。</w:t>
            </w:r>
          </w:p>
          <w:p w14:paraId="68DC591F">
            <w:pPr>
              <w:bidi w:val="0"/>
              <w:ind w:left="0" w:leftChars="0" w:firstLine="0" w:firstLineChars="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drawing>
                <wp:inline distT="0" distB="0" distL="114300" distR="114300">
                  <wp:extent cx="3506470" cy="1637665"/>
                  <wp:effectExtent l="0" t="0" r="0" b="0"/>
                  <wp:docPr id="58" name="ECB019B1-382A-4266-B25C-5B523AA43C14-2" descr="C:/Users/Lenovo/AppData/Local/Temp/wps.vlscK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ECB019B1-382A-4266-B25C-5B523AA43C14-2" descr="C:/Users/Lenovo/AppData/Local/Temp/wps.vlscKiwps"/>
                          <pic:cNvPicPr>
                            <a:picLocks noChangeAspect="1"/>
                          </pic:cNvPicPr>
                        </pic:nvPicPr>
                        <pic:blipFill>
                          <a:blip r:embed="rId21"/>
                          <a:stretch>
                            <a:fillRect/>
                          </a:stretch>
                        </pic:blipFill>
                        <pic:spPr>
                          <a:xfrm>
                            <a:off x="0" y="0"/>
                            <a:ext cx="3506470" cy="1637665"/>
                          </a:xfrm>
                          <a:prstGeom prst="rect">
                            <a:avLst/>
                          </a:prstGeom>
                        </pic:spPr>
                      </pic:pic>
                    </a:graphicData>
                  </a:graphic>
                </wp:inline>
              </w:drawing>
            </w:r>
          </w:p>
          <w:p w14:paraId="7B40021C">
            <w:pPr>
              <w:bidi w:val="0"/>
              <w:ind w:left="0" w:leftChars="0" w:firstLine="0" w:firstLineChars="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图2-2施工期工艺流程及产排污环节节点图</w:t>
            </w:r>
          </w:p>
          <w:p w14:paraId="72416D11">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二、</w:t>
            </w:r>
            <w:r>
              <w:rPr>
                <w:rFonts w:hint="default" w:ascii="Times New Roman" w:hAnsi="Times New Roman" w:cs="Times New Roman"/>
                <w:b/>
                <w:bCs/>
                <w:color w:val="auto"/>
                <w:highlight w:val="none"/>
              </w:rPr>
              <w:t>运营期工艺流程及产排污环节</w:t>
            </w:r>
          </w:p>
          <w:p w14:paraId="144D9A44">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1、工艺流程</w:t>
            </w:r>
          </w:p>
          <w:p w14:paraId="76C5F9E5">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A.原料储备系统</w:t>
            </w:r>
          </w:p>
          <w:p w14:paraId="028A7D7B">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（1）储煤、输煤系统</w:t>
            </w:r>
          </w:p>
          <w:p w14:paraId="572146FF">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本项目锅炉用燃煤为凯达选煤厂的末煤，锅炉用煤直接由末煤仓经过全封闭输煤走廊输送至锅炉房的上煤系统。末煤仓和全封闭输煤走廊均依托现有工程。</w:t>
            </w:r>
          </w:p>
          <w:p w14:paraId="351EE9C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（2）尿素制备、输送系统</w:t>
            </w:r>
          </w:p>
          <w:p w14:paraId="5035415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外购袋装尿素暂存至尿素储存间，人工拆袋后经过斗式提升机投放到尿素溶液配制罐中，尿素溶液配制罐中水温加热至60℃，启动搅拌器，由输送泵送至尿素溶液罐中备用。</w:t>
            </w:r>
          </w:p>
          <w:p w14:paraId="16101152">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B.软化水系统</w:t>
            </w:r>
          </w:p>
          <w:p w14:paraId="20AC0940">
            <w:pPr>
              <w:bidi w:val="0"/>
              <w:rPr>
                <w:rFonts w:hint="default"/>
                <w:color w:val="auto"/>
                <w:highlight w:val="none"/>
                <w:lang w:val="en-US" w:eastAsia="zh-CN"/>
              </w:rPr>
            </w:pPr>
            <w:r>
              <w:rPr>
                <w:rFonts w:hint="default"/>
                <w:color w:val="auto"/>
                <w:highlight w:val="none"/>
                <w:lang w:val="en-US" w:eastAsia="zh-CN"/>
              </w:rPr>
              <w:t>锅炉用水就需要锅炉软水器进行水质软化或脱盐处理。主要去除水中的钙</w:t>
            </w:r>
            <w:r>
              <w:rPr>
                <w:rFonts w:hint="eastAsia"/>
                <w:color w:val="auto"/>
                <w:highlight w:val="none"/>
                <w:lang w:val="en-US" w:eastAsia="zh-CN"/>
              </w:rPr>
              <w:t>（</w:t>
            </w:r>
            <w:r>
              <w:rPr>
                <w:rFonts w:hint="default"/>
                <w:color w:val="auto"/>
                <w:highlight w:val="none"/>
                <w:lang w:val="en-US" w:eastAsia="zh-CN"/>
              </w:rPr>
              <w:t>Ca</w:t>
            </w:r>
            <w:r>
              <w:rPr>
                <w:rFonts w:hint="default"/>
                <w:color w:val="auto"/>
                <w:highlight w:val="none"/>
                <w:vertAlign w:val="superscript"/>
                <w:lang w:val="en-US" w:eastAsia="zh-CN"/>
              </w:rPr>
              <w:t>2+</w:t>
            </w:r>
            <w:r>
              <w:rPr>
                <w:rFonts w:hint="eastAsia"/>
                <w:color w:val="auto"/>
                <w:highlight w:val="none"/>
                <w:lang w:val="en-US" w:eastAsia="zh-CN"/>
              </w:rPr>
              <w:t>）</w:t>
            </w:r>
            <w:r>
              <w:rPr>
                <w:rFonts w:hint="default"/>
                <w:color w:val="auto"/>
                <w:highlight w:val="none"/>
                <w:lang w:val="en-US" w:eastAsia="zh-CN"/>
              </w:rPr>
              <w:t>、镁</w:t>
            </w:r>
            <w:r>
              <w:rPr>
                <w:rFonts w:hint="eastAsia"/>
                <w:color w:val="auto"/>
                <w:highlight w:val="none"/>
                <w:lang w:val="en-US" w:eastAsia="zh-CN"/>
              </w:rPr>
              <w:t>（</w:t>
            </w:r>
            <w:r>
              <w:rPr>
                <w:rFonts w:hint="default"/>
                <w:color w:val="auto"/>
                <w:highlight w:val="none"/>
                <w:lang w:val="en-US" w:eastAsia="zh-CN"/>
              </w:rPr>
              <w:t>Mg</w:t>
            </w:r>
            <w:r>
              <w:rPr>
                <w:rFonts w:hint="default"/>
                <w:color w:val="auto"/>
                <w:highlight w:val="none"/>
                <w:vertAlign w:val="superscript"/>
                <w:lang w:val="en-US" w:eastAsia="zh-CN"/>
              </w:rPr>
              <w:t>2</w:t>
            </w:r>
            <w:r>
              <w:rPr>
                <w:rFonts w:hint="eastAsia"/>
                <w:color w:val="auto"/>
                <w:highlight w:val="none"/>
                <w:vertAlign w:val="superscript"/>
                <w:lang w:val="en-US" w:eastAsia="zh-CN"/>
              </w:rPr>
              <w:t>+</w:t>
            </w:r>
            <w:r>
              <w:rPr>
                <w:rFonts w:hint="eastAsia"/>
                <w:color w:val="auto"/>
                <w:highlight w:val="none"/>
                <w:lang w:val="en-US" w:eastAsia="zh-CN"/>
              </w:rPr>
              <w:t>）</w:t>
            </w:r>
            <w:r>
              <w:rPr>
                <w:rFonts w:hint="default"/>
                <w:color w:val="auto"/>
                <w:highlight w:val="none"/>
                <w:lang w:val="en-US" w:eastAsia="zh-CN"/>
              </w:rPr>
              <w:t>离子。当含有硬度离子的原水通过锅炉软水器的交换器树脂层时，水中的钙、镁离子与树脂内的钠离子发生置换，树脂吸附了钙、镁离子而钠离子进入水中，这样从交换器内流出的水就是去掉了硬度离子的软化水。随着交换过程的不断进行，树脂中Na</w:t>
            </w:r>
            <w:r>
              <w:rPr>
                <w:rFonts w:hint="default"/>
                <w:color w:val="auto"/>
                <w:highlight w:val="none"/>
                <w:vertAlign w:val="superscript"/>
                <w:lang w:val="en-US" w:eastAsia="zh-CN"/>
              </w:rPr>
              <w:t>+</w:t>
            </w:r>
            <w:r>
              <w:rPr>
                <w:rFonts w:hint="default"/>
                <w:color w:val="auto"/>
                <w:highlight w:val="none"/>
                <w:lang w:val="en-US" w:eastAsia="zh-CN"/>
              </w:rPr>
              <w:t>全部被置出来后就失去了交换功能，此时使用NaCI溶液对树脂进行再生，将树脂吸附的钙、镁离子置换下来，钙、镁离子生成了氯化物沉淀定期清理。树脂重新吸附了钠离子，恢复了软化交换能力。</w:t>
            </w:r>
          </w:p>
          <w:p w14:paraId="59548BA8">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C.锅炉燃烧及热力系统</w:t>
            </w:r>
          </w:p>
          <w:p w14:paraId="3D0B7EE4">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本项目设置1台</w:t>
            </w:r>
            <w:r>
              <w:rPr>
                <w:rFonts w:hint="default" w:ascii="Times New Roman" w:hAnsi="Times New Roman" w:eastAsia="宋体" w:cs="Times New Roman"/>
                <w:color w:val="auto"/>
                <w:sz w:val="24"/>
                <w:szCs w:val="24"/>
                <w:highlight w:val="none"/>
                <w:lang w:val="en-US" w:eastAsia="zh-CN"/>
              </w:rPr>
              <w:t>DZL40-1.25-AII</w:t>
            </w:r>
            <w:r>
              <w:rPr>
                <w:rFonts w:hint="default" w:ascii="Times New Roman" w:hAnsi="Times New Roman" w:cs="Times New Roman"/>
                <w:bCs/>
                <w:color w:val="auto"/>
                <w:sz w:val="24"/>
                <w:szCs w:val="24"/>
                <w:highlight w:val="none"/>
                <w:lang w:val="en-US" w:eastAsia="zh-CN"/>
              </w:rPr>
              <w:t>型蒸汽锅炉，用于采暖季供热。链条炉中煤的着火主要依靠炉膛火焰和拱的辐射热，因而上面的煤先着火，然后逐步向下燃烧，属于单面着火。这样的燃烧过程，在炉排上就出现了明显的区域分层。煤进入炉膛后，随炉排逐渐由前向后缓慢移动。在炉排的前部，是新煤燃烧准备区，主要进行煤的预热和干燥。紧接着是挥发分析并开始进入燃烧区。在炉排的中部，该区温度很高，同时进行着氧化和还原反应过程，放出大量热量。</w:t>
            </w:r>
          </w:p>
          <w:p w14:paraId="5ABACB86">
            <w:pPr>
              <w:adjustRightInd w:val="0"/>
              <w:snapToGrid w:val="0"/>
              <w:rPr>
                <w:rFonts w:hint="default" w:ascii="Times New Roman" w:hAnsi="Times New Roman" w:cs="Times New Roman"/>
                <w:b/>
                <w:bCs w:val="0"/>
                <w:color w:val="auto"/>
                <w:sz w:val="24"/>
                <w:szCs w:val="24"/>
                <w:highlight w:val="none"/>
              </w:rPr>
            </w:pPr>
            <w:r>
              <w:rPr>
                <w:rFonts w:hint="eastAsia" w:ascii="Times New Roman" w:hAnsi="Times New Roman" w:cs="Times New Roman"/>
                <w:b/>
                <w:bCs w:val="0"/>
                <w:color w:val="auto"/>
                <w:sz w:val="24"/>
                <w:szCs w:val="24"/>
                <w:highlight w:val="none"/>
                <w:lang w:val="en-US" w:eastAsia="zh-CN"/>
              </w:rPr>
              <w:t>D</w:t>
            </w:r>
            <w:r>
              <w:rPr>
                <w:rFonts w:hint="default" w:ascii="Times New Roman" w:hAnsi="Times New Roman" w:cs="Times New Roman"/>
                <w:b/>
                <w:bCs w:val="0"/>
                <w:color w:val="auto"/>
                <w:sz w:val="24"/>
                <w:szCs w:val="24"/>
                <w:highlight w:val="none"/>
                <w:lang w:val="en-US" w:eastAsia="zh-CN"/>
              </w:rPr>
              <w:t>.烟气处理系统</w:t>
            </w:r>
          </w:p>
          <w:p w14:paraId="0235DB6D">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本项目锅炉烟气</w:t>
            </w:r>
            <w:r>
              <w:rPr>
                <w:rFonts w:hint="eastAsia" w:ascii="Times New Roman" w:hAnsi="Times New Roman" w:cs="Times New Roman"/>
                <w:bCs/>
                <w:color w:val="auto"/>
                <w:sz w:val="24"/>
                <w:szCs w:val="24"/>
                <w:highlight w:val="none"/>
                <w:lang w:val="en-US" w:eastAsia="zh-CN"/>
              </w:rPr>
              <w:t>采用</w:t>
            </w:r>
            <w:r>
              <w:rPr>
                <w:rFonts w:hint="default" w:ascii="Times New Roman" w:hAnsi="Times New Roman" w:cs="Times New Roman"/>
                <w:color w:val="auto"/>
                <w:highlight w:val="none"/>
                <w:lang w:val="en-US" w:eastAsia="zh-CN"/>
              </w:rPr>
              <w:t>SNCR＋SCR联合法脱硝+布袋除尘器处理+</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处理后</w:t>
            </w:r>
            <w:r>
              <w:rPr>
                <w:rFonts w:hint="default" w:ascii="Times New Roman" w:hAnsi="Times New Roman" w:cs="Times New Roman"/>
                <w:color w:val="auto"/>
                <w:highlight w:val="none"/>
                <w:lang w:val="en-US" w:eastAsia="zh-CN"/>
              </w:rPr>
              <w:t>，烟气处理后经现有的1根50m</w:t>
            </w:r>
            <w:r>
              <w:rPr>
                <w:rFonts w:hint="eastAsia" w:cs="Times New Roman"/>
                <w:color w:val="auto"/>
                <w:highlight w:val="none"/>
                <w:lang w:val="en-US" w:eastAsia="zh-CN"/>
              </w:rPr>
              <w:t>高</w:t>
            </w:r>
            <w:r>
              <w:rPr>
                <w:rFonts w:hint="default" w:ascii="Times New Roman" w:hAnsi="Times New Roman" w:cs="Times New Roman"/>
                <w:color w:val="auto"/>
                <w:highlight w:val="none"/>
                <w:lang w:val="en-US" w:eastAsia="zh-CN"/>
              </w:rPr>
              <w:t>排气筒（选煤厂排气筒DA001）排放，烟囱出口直径为1.4m的根</w:t>
            </w:r>
            <w:r>
              <w:rPr>
                <w:rFonts w:hint="default" w:ascii="Times New Roman" w:hAnsi="Times New Roman" w:cs="Times New Roman"/>
                <w:bCs/>
                <w:color w:val="auto"/>
                <w:sz w:val="24"/>
                <w:szCs w:val="24"/>
                <w:highlight w:val="none"/>
                <w:lang w:val="en-US" w:eastAsia="zh-CN"/>
              </w:rPr>
              <w:t>。</w:t>
            </w:r>
          </w:p>
          <w:p w14:paraId="1EEDB02A">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（1）脱硝系统</w:t>
            </w:r>
          </w:p>
          <w:p w14:paraId="0269F324">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本项目锅炉产生的烟气采用“SNCR+SCR工艺”治理工艺进行脱硝。本项目拟采用尿素溶液作为还原剂，还原剂经计量分配系统精确喷入锅炉炉膛850～1</w:t>
            </w:r>
            <w:r>
              <w:rPr>
                <w:rFonts w:hint="eastAsia" w:cs="Times New Roman"/>
                <w:bCs/>
                <w:color w:val="auto"/>
                <w:sz w:val="24"/>
                <w:szCs w:val="24"/>
                <w:highlight w:val="none"/>
                <w:lang w:val="en-US" w:eastAsia="zh-CN"/>
              </w:rPr>
              <w:t>05</w:t>
            </w:r>
            <w:r>
              <w:rPr>
                <w:rFonts w:hint="default" w:ascii="Times New Roman" w:hAnsi="Times New Roman" w:cs="Times New Roman"/>
                <w:bCs/>
                <w:color w:val="auto"/>
                <w:sz w:val="24"/>
                <w:szCs w:val="24"/>
                <w:highlight w:val="none"/>
                <w:lang w:val="en-US" w:eastAsia="zh-CN"/>
              </w:rPr>
              <w:t>0℃区域进行SNCR段脱硝，逃逸氨随烟气进入SCR反应器（布置于省煤器与空预器之间，烟气温度</w:t>
            </w:r>
            <w:r>
              <w:rPr>
                <w:rFonts w:hint="eastAsia" w:cs="Times New Roman"/>
                <w:bCs/>
                <w:color w:val="auto"/>
                <w:sz w:val="24"/>
                <w:szCs w:val="24"/>
                <w:highlight w:val="none"/>
                <w:lang w:val="en-US" w:eastAsia="zh-CN"/>
              </w:rPr>
              <w:t>28</w:t>
            </w:r>
            <w:r>
              <w:rPr>
                <w:rFonts w:hint="default" w:ascii="Times New Roman" w:hAnsi="Times New Roman" w:cs="Times New Roman"/>
                <w:bCs/>
                <w:color w:val="auto"/>
                <w:sz w:val="24"/>
                <w:szCs w:val="24"/>
                <w:highlight w:val="none"/>
                <w:lang w:val="en-US" w:eastAsia="zh-CN"/>
              </w:rPr>
              <w:t>0～420℃）进行二次脱硝，从而实现烟气NOx的</w:t>
            </w:r>
            <w:r>
              <w:rPr>
                <w:rFonts w:hint="eastAsia" w:cs="Times New Roman"/>
                <w:bCs/>
                <w:color w:val="auto"/>
                <w:sz w:val="24"/>
                <w:szCs w:val="24"/>
                <w:highlight w:val="none"/>
                <w:lang w:val="en-US" w:eastAsia="zh-CN"/>
              </w:rPr>
              <w:t>去除。</w:t>
            </w:r>
          </w:p>
          <w:p w14:paraId="22511527">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本项目所用</w:t>
            </w:r>
            <w:r>
              <w:rPr>
                <w:rFonts w:hint="eastAsia" w:ascii="Times New Roman" w:hAnsi="Times New Roman" w:cs="Times New Roman"/>
                <w:bCs/>
                <w:color w:val="auto"/>
                <w:sz w:val="24"/>
                <w:szCs w:val="24"/>
                <w:highlight w:val="none"/>
                <w:lang w:val="en-US" w:eastAsia="zh-CN"/>
              </w:rPr>
              <w:t>原料采用直接外购工业级纯袋装尿素，</w:t>
            </w:r>
            <w:r>
              <w:rPr>
                <w:rFonts w:hint="default" w:ascii="Times New Roman" w:hAnsi="Times New Roman" w:cs="Times New Roman"/>
                <w:bCs/>
                <w:color w:val="auto"/>
                <w:sz w:val="24"/>
                <w:szCs w:val="24"/>
                <w:highlight w:val="none"/>
                <w:lang w:val="en-US" w:eastAsia="zh-CN"/>
              </w:rPr>
              <w:t>固体尿素在</w:t>
            </w:r>
            <w:r>
              <w:rPr>
                <w:rFonts w:hint="eastAsia" w:ascii="Times New Roman" w:hAnsi="Times New Roman" w:cs="Times New Roman"/>
                <w:bCs/>
                <w:color w:val="auto"/>
                <w:sz w:val="24"/>
                <w:szCs w:val="24"/>
                <w:highlight w:val="none"/>
                <w:lang w:val="en-US" w:eastAsia="zh-CN"/>
              </w:rPr>
              <w:t>原材料储存区</w:t>
            </w:r>
            <w:r>
              <w:rPr>
                <w:rFonts w:hint="default" w:ascii="Times New Roman" w:hAnsi="Times New Roman" w:cs="Times New Roman"/>
                <w:bCs/>
                <w:color w:val="auto"/>
                <w:sz w:val="24"/>
                <w:szCs w:val="24"/>
                <w:highlight w:val="none"/>
                <w:lang w:val="en-US" w:eastAsia="zh-CN"/>
              </w:rPr>
              <w:t>，在溶解罐中将纯尿素与去离子水按1:4质量比混合</w:t>
            </w:r>
            <w:r>
              <w:rPr>
                <w:rFonts w:hint="eastAsia" w:ascii="Times New Roman" w:hAnsi="Times New Roman" w:cs="Times New Roman"/>
                <w:bCs/>
                <w:color w:val="auto"/>
                <w:sz w:val="24"/>
                <w:szCs w:val="24"/>
                <w:highlight w:val="none"/>
                <w:lang w:val="en-US" w:eastAsia="zh-CN"/>
              </w:rPr>
              <w:t>，配制好的20%尿素溶液存入储罐，通过输送泵送至喷射系统。</w:t>
            </w:r>
            <w:r>
              <w:rPr>
                <w:rFonts w:hint="default" w:ascii="Times New Roman" w:hAnsi="Times New Roman" w:cs="Times New Roman"/>
                <w:bCs/>
                <w:color w:val="auto"/>
                <w:sz w:val="24"/>
                <w:szCs w:val="24"/>
                <w:highlight w:val="none"/>
                <w:lang w:val="en-US" w:eastAsia="zh-CN"/>
              </w:rPr>
              <w:t>其中主要</w:t>
            </w:r>
            <w:r>
              <w:rPr>
                <w:rFonts w:hint="eastAsia" w:cs="Times New Roman"/>
                <w:bCs/>
                <w:color w:val="auto"/>
                <w:sz w:val="24"/>
                <w:szCs w:val="24"/>
                <w:highlight w:val="none"/>
                <w:lang w:val="en-US" w:eastAsia="zh-CN"/>
              </w:rPr>
              <w:t>反映</w:t>
            </w:r>
            <w:r>
              <w:rPr>
                <w:rFonts w:hint="default" w:ascii="Times New Roman" w:hAnsi="Times New Roman" w:cs="Times New Roman"/>
                <w:bCs/>
                <w:color w:val="auto"/>
                <w:sz w:val="24"/>
                <w:szCs w:val="24"/>
                <w:highlight w:val="none"/>
                <w:lang w:val="en-US" w:eastAsia="zh-CN"/>
              </w:rPr>
              <w:t>如下：</w:t>
            </w:r>
          </w:p>
          <w:p w14:paraId="504E177B">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尿素在高温下分解：</w:t>
            </w:r>
          </w:p>
          <w:p w14:paraId="6E2C9FD5">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CO（NH</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→2NH</w:t>
            </w:r>
            <w:r>
              <w:rPr>
                <w:rFonts w:hint="default" w:ascii="Times New Roman" w:hAnsi="Times New Roman" w:cs="Times New Roman"/>
                <w:bCs/>
                <w:color w:val="auto"/>
                <w:sz w:val="24"/>
                <w:szCs w:val="24"/>
                <w:highlight w:val="none"/>
                <w:vertAlign w:val="subscript"/>
                <w:lang w:val="en-US" w:eastAsia="zh-CN"/>
              </w:rPr>
              <w:t>3</w:t>
            </w:r>
            <w:r>
              <w:rPr>
                <w:rFonts w:hint="default" w:ascii="Times New Roman" w:hAnsi="Times New Roman" w:cs="Times New Roman"/>
                <w:bCs/>
                <w:color w:val="auto"/>
                <w:sz w:val="24"/>
                <w:szCs w:val="24"/>
                <w:highlight w:val="none"/>
                <w:lang w:val="en-US" w:eastAsia="zh-CN"/>
              </w:rPr>
              <w:t>+CO</w:t>
            </w:r>
            <w:r>
              <w:rPr>
                <w:rFonts w:hint="default" w:ascii="Times New Roman" w:hAnsi="Times New Roman" w:cs="Times New Roman"/>
                <w:bCs/>
                <w:color w:val="auto"/>
                <w:sz w:val="24"/>
                <w:szCs w:val="24"/>
                <w:highlight w:val="none"/>
                <w:vertAlign w:val="subscript"/>
                <w:lang w:val="en-US" w:eastAsia="zh-CN"/>
              </w:rPr>
              <w:t>2</w:t>
            </w:r>
          </w:p>
          <w:p w14:paraId="6827D6E9">
            <w:pPr>
              <w:bidi w:val="0"/>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还原</w:t>
            </w:r>
            <w:r>
              <w:rPr>
                <w:rFonts w:hint="default" w:ascii="Times New Roman" w:hAnsi="Times New Roman" w:cs="Times New Roman"/>
                <w:bCs/>
                <w:color w:val="auto"/>
                <w:sz w:val="24"/>
                <w:szCs w:val="24"/>
                <w:highlight w:val="none"/>
                <w:lang w:val="en-US" w:eastAsia="zh-CN"/>
              </w:rPr>
              <w:t>NOx反应：</w:t>
            </w:r>
          </w:p>
          <w:p w14:paraId="0740F636">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4NH</w:t>
            </w:r>
            <w:r>
              <w:rPr>
                <w:rFonts w:hint="default" w:ascii="Times New Roman" w:hAnsi="Times New Roman" w:cs="Times New Roman"/>
                <w:bCs/>
                <w:color w:val="auto"/>
                <w:sz w:val="24"/>
                <w:szCs w:val="24"/>
                <w:highlight w:val="none"/>
                <w:vertAlign w:val="subscript"/>
                <w:lang w:val="en-US" w:eastAsia="zh-CN"/>
              </w:rPr>
              <w:t>3</w:t>
            </w:r>
            <w:r>
              <w:rPr>
                <w:rFonts w:hint="default" w:ascii="Times New Roman" w:hAnsi="Times New Roman" w:cs="Times New Roman"/>
                <w:bCs/>
                <w:color w:val="auto"/>
                <w:sz w:val="24"/>
                <w:szCs w:val="24"/>
                <w:highlight w:val="none"/>
                <w:lang w:val="en-US" w:eastAsia="zh-CN"/>
              </w:rPr>
              <w:t>+4NO+O</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→4N</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+6H</w:t>
            </w:r>
            <w:r>
              <w:rPr>
                <w:rFonts w:hint="default" w:ascii="Times New Roman" w:hAnsi="Times New Roman" w:cs="Times New Roman"/>
                <w:bCs/>
                <w:color w:val="auto"/>
                <w:sz w:val="24"/>
                <w:szCs w:val="24"/>
                <w:highlight w:val="none"/>
                <w:vertAlign w:val="subscript"/>
                <w:lang w:val="en-US" w:eastAsia="zh-CN"/>
              </w:rPr>
              <w:t>2</w:t>
            </w:r>
            <w:r>
              <w:rPr>
                <w:rFonts w:hint="default" w:ascii="Times New Roman" w:hAnsi="Times New Roman" w:cs="Times New Roman"/>
                <w:bCs/>
                <w:color w:val="auto"/>
                <w:sz w:val="24"/>
                <w:szCs w:val="24"/>
                <w:highlight w:val="none"/>
                <w:lang w:val="en-US" w:eastAsia="zh-CN"/>
              </w:rPr>
              <w:t>O</w:t>
            </w:r>
          </w:p>
          <w:p w14:paraId="0165D002">
            <w:pPr>
              <w:bidi w:val="0"/>
              <w:rPr>
                <w:rFonts w:hint="default" w:ascii="Times New Roman" w:hAnsi="Times New Roman" w:cs="Times New Roman"/>
                <w:bCs/>
                <w:color w:val="auto"/>
                <w:sz w:val="24"/>
                <w:szCs w:val="24"/>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尿素溶液全部参与反应，水分随烟气蒸发，系统无工艺废水排放。</w:t>
            </w:r>
          </w:p>
          <w:p w14:paraId="06462A11">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Cs/>
                <w:color w:val="auto"/>
                <w:sz w:val="24"/>
                <w:szCs w:val="24"/>
                <w:highlight w:val="none"/>
                <w:lang w:val="en-US" w:eastAsia="zh-CN"/>
              </w:rPr>
              <w:t>（2）除尘系统：</w:t>
            </w:r>
            <w:r>
              <w:rPr>
                <w:rFonts w:hint="default" w:ascii="Times New Roman" w:hAnsi="Times New Roman" w:cs="Times New Roman"/>
                <w:b w:val="0"/>
                <w:bCs w:val="0"/>
                <w:color w:val="auto"/>
                <w:highlight w:val="none"/>
                <w:lang w:val="en-US" w:eastAsia="zh-CN"/>
              </w:rPr>
              <w:t>排出的烟气经过袋式除尘器除尘，综合除尘效率为99%。</w:t>
            </w:r>
          </w:p>
          <w:p w14:paraId="372FCB37">
            <w:pPr>
              <w:adjustRightInd w:val="0"/>
              <w:snapToGrid w:val="0"/>
              <w:rPr>
                <w:rFonts w:hint="default" w:ascii="Times New Roman" w:hAnsi="Times New Roman" w:cs="Times New Roman"/>
                <w:bCs/>
                <w:color w:val="auto"/>
                <w:sz w:val="24"/>
                <w:szCs w:val="24"/>
                <w:highlight w:val="none"/>
                <w:lang w:val="en-US"/>
              </w:rPr>
            </w:pPr>
            <w:r>
              <w:rPr>
                <w:rFonts w:hint="default" w:ascii="Times New Roman" w:hAnsi="Times New Roman" w:cs="Times New Roman"/>
                <w:bCs/>
                <w:color w:val="auto"/>
                <w:sz w:val="24"/>
                <w:szCs w:val="24"/>
                <w:highlight w:val="none"/>
                <w:lang w:val="en-US" w:eastAsia="zh-CN"/>
              </w:rPr>
              <w:t>（3）脱硫系统</w:t>
            </w:r>
          </w:p>
          <w:p w14:paraId="4399553C">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燃煤锅炉双碱法脱硫（通常指钠-钙双碱法）是一种湿法脱硫工艺</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。它的核心思路是：用钠基脱硫剂（如NaOH或Na₂CO₃）在塔内高效吸收二氧化硫（SO₂），解决结垢问题；吸收后的液体再到塔外，用廉价的钙基脱硫剂（石灰，Ca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₂）进行再生，让钠基脱硫剂循环使用</w:t>
            </w:r>
          </w:p>
          <w:p w14:paraId="3C48F63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经除尘后的烟气从脱硫塔底部进入</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。在塔内，烟气与从上向下喷淋的钠基脱硫剂（</w:t>
            </w:r>
            <w:r>
              <w:rPr>
                <w:rFonts w:hint="eastAsia" w:ascii="Times New Roman" w:hAnsi="Times New Roman" w:cs="Times New Roman"/>
                <w:b w:val="0"/>
                <w:bCs w:val="0"/>
                <w:color w:val="auto"/>
                <w:highlight w:val="none"/>
                <w:lang w:val="en-US" w:eastAsia="zh-CN"/>
              </w:rPr>
              <w:t>本项目采用</w:t>
            </w:r>
            <w:r>
              <w:rPr>
                <w:rFonts w:hint="default" w:ascii="Times New Roman" w:hAnsi="Times New Roman" w:cs="Times New Roman"/>
                <w:b w:val="0"/>
                <w:bCs w:val="0"/>
                <w:color w:val="auto"/>
                <w:highlight w:val="none"/>
                <w:lang w:val="en-US" w:eastAsia="zh-CN"/>
              </w:rPr>
              <w:t>NaOH溶液）充分接触</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。烟气中的SO₂被吸收，生成亚硫酸钠（Na₂SO₃）等可溶性盐，从而达到脱硫目的</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"http://www.newu.com.cn/productsinfo.aspx?pid=75&amp;CateId=187&amp;ProductsId=74"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。吸收了SO₂的脱硫液流入塔外的再生池。在这里，加入石灰乳Ca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₂进行再生反应</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。石灰中的钙离子会置换出钠离子，使脱硫液恢复吸收能力</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09305B1D">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阶段一：塔内吸收（脱硫）过程</w:t>
            </w:r>
          </w:p>
          <w:p w14:paraId="5E095169">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吸收剂的种类（NaOH）和溶液的pH值会影响具体的反应路径</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74BD4E39">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使用氢氧化钠（NaOH）作为吸收剂：</w:t>
            </w:r>
          </w:p>
          <w:p w14:paraId="0FC9193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主反应（pH&gt;9时）：</w:t>
            </w:r>
          </w:p>
          <w:p w14:paraId="16FE7C2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+2NaOH→Na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w:t>
            </w:r>
          </w:p>
          <w:p w14:paraId="58319223">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当SO₂过量时，会进一步反应生成亚硫酸氢钠：</w:t>
            </w:r>
          </w:p>
          <w:p w14:paraId="34D7B7AF">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O→2NaHSO</w:t>
            </w:r>
            <w:r>
              <w:rPr>
                <w:rFonts w:hint="default" w:ascii="Times New Roman" w:hAnsi="Times New Roman" w:cs="Times New Roman"/>
                <w:b w:val="0"/>
                <w:bCs w:val="0"/>
                <w:color w:val="auto"/>
                <w:highlight w:val="none"/>
                <w:vertAlign w:val="subscript"/>
                <w:lang w:val="en-US" w:eastAsia="zh-CN"/>
              </w:rPr>
              <w:t>3</w:t>
            </w:r>
          </w:p>
          <w:p w14:paraId="641E1A66">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阶段二：塔外再生过程</w:t>
            </w:r>
          </w:p>
          <w:p w14:paraId="649F40F8">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在塔外，用石灰Ca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₂对吸收产物进行再生。</w:t>
            </w:r>
          </w:p>
          <w:p w14:paraId="6F503520">
            <w:pPr>
              <w:bidi w:val="0"/>
              <w:ind w:left="480" w:leftChars="200" w:firstLine="0" w:firstLineChars="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再生亚硫酸钠（Na₂SO₃）：</w:t>
            </w:r>
            <w:r>
              <w:rPr>
                <w:rFonts w:hint="default" w:ascii="Times New Roman" w:hAnsi="Times New Roman" w:cs="Times New Roman"/>
                <w:b w:val="0"/>
                <w:bCs w:val="0"/>
                <w:color w:val="auto"/>
                <w:highlight w:val="none"/>
                <w:lang w:val="en-US" w:eastAsia="zh-CN"/>
              </w:rPr>
              <w:br w:type="textWrapping"/>
            </w:r>
            <w:r>
              <w:rPr>
                <w:rFonts w:hint="default" w:ascii="Times New Roman" w:hAnsi="Times New Roman" w:cs="Times New Roman"/>
                <w:b w:val="0"/>
                <w:bCs w:val="0"/>
                <w:color w:val="auto"/>
                <w:highlight w:val="none"/>
                <w:lang w:val="en-US" w:eastAsia="zh-CN"/>
              </w:rPr>
              <w:t>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→2NaOH+CaSO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w:t>
            </w:r>
          </w:p>
          <w:p w14:paraId="2BD2DF40">
            <w:pPr>
              <w:bidi w:val="0"/>
              <w:ind w:left="480" w:leftChars="200" w:firstLine="0" w:firstLineChars="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再生亚硫酸氢钠（NaHSO₃）：</w:t>
            </w:r>
            <w:r>
              <w:rPr>
                <w:rFonts w:hint="default" w:ascii="Times New Roman" w:hAnsi="Times New Roman" w:cs="Times New Roman"/>
                <w:b w:val="0"/>
                <w:bCs w:val="0"/>
                <w:color w:val="auto"/>
                <w:highlight w:val="none"/>
                <w:lang w:val="en-US" w:eastAsia="zh-CN"/>
              </w:rPr>
              <w:br w:type="textWrapping"/>
            </w:r>
            <w:r>
              <w:rPr>
                <w:rFonts w:hint="default" w:ascii="Times New Roman" w:hAnsi="Times New Roman" w:cs="Times New Roman"/>
                <w:b w:val="0"/>
                <w:bCs w:val="0"/>
                <w:color w:val="auto"/>
                <w:highlight w:val="none"/>
                <w:lang w:val="en-US" w:eastAsia="zh-CN"/>
              </w:rPr>
              <w:t>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+2NaHSO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+CaSO</w:t>
            </w:r>
            <w:r>
              <w:rPr>
                <w:rFonts w:hint="default" w:ascii="Times New Roman" w:hAnsi="Times New Roman" w:cs="Times New Roman"/>
                <w:b w:val="0"/>
                <w:bCs w:val="0"/>
                <w:color w:val="auto"/>
                <w:highlight w:val="none"/>
                <w:vertAlign w:val="subscript"/>
                <w:lang w:val="en-US" w:eastAsia="zh-CN"/>
              </w:rPr>
              <w:t>3</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w:t>
            </w:r>
          </w:p>
          <w:p w14:paraId="1C963215">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氧化副反应（当有氧气（O₂）存在时）：部分亚硫酸钙（CaSO₃）会被氧化成硫酸钙（CaSO₄），即石膏</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4F678A80">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Ca</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OH</w:t>
            </w:r>
            <w:r>
              <w:rPr>
                <w:rFonts w:hint="eastAsia" w:cs="Times New Roman"/>
                <w:b w:val="0"/>
                <w:bCs w:val="0"/>
                <w:color w:val="auto"/>
                <w:highlight w:val="none"/>
                <w:lang w:val="en-US" w:eastAsia="zh-CN"/>
              </w:rPr>
              <w:t>）</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+Na</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SO</w:t>
            </w:r>
            <w:r>
              <w:rPr>
                <w:rFonts w:hint="default" w:ascii="Times New Roman" w:hAnsi="Times New Roman" w:cs="Times New Roman"/>
                <w:b w:val="0"/>
                <w:bCs w:val="0"/>
                <w:color w:val="auto"/>
                <w:highlight w:val="none"/>
                <w:vertAlign w:val="subscript"/>
                <w:lang w:val="en-US" w:eastAsia="zh-CN"/>
              </w:rPr>
              <w:t>3</w:t>
            </w:r>
            <w:r>
              <w:rPr>
                <w:rFonts w:hint="default" w:ascii="Times New Roman" w:hAnsi="Times New Roman" w:cs="Times New Roman"/>
                <w:b w:val="0"/>
                <w:bCs w:val="0"/>
                <w:color w:val="auto"/>
                <w:highlight w:val="none"/>
                <w:lang w:val="en-US" w:eastAsia="zh-CN"/>
              </w:rPr>
              <w:t>+1</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2O</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+2H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O→2NaOH+CaSO</w:t>
            </w:r>
            <w:r>
              <w:rPr>
                <w:rFonts w:hint="default" w:ascii="Times New Roman" w:hAnsi="Times New Roman" w:cs="Times New Roman"/>
                <w:b w:val="0"/>
                <w:bCs w:val="0"/>
                <w:color w:val="auto"/>
                <w:highlight w:val="none"/>
                <w:vertAlign w:val="subscript"/>
                <w:lang w:val="en-US" w:eastAsia="zh-CN"/>
              </w:rPr>
              <w:t>4</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t>2H</w:t>
            </w:r>
            <w:r>
              <w:rPr>
                <w:rFonts w:hint="default" w:ascii="Times New Roman" w:hAnsi="Times New Roman" w:cs="Times New Roman"/>
                <w:b w:val="0"/>
                <w:bCs w:val="0"/>
                <w:color w:val="auto"/>
                <w:highlight w:val="none"/>
                <w:vertAlign w:val="subscript"/>
                <w:lang w:val="en-US" w:eastAsia="zh-CN"/>
              </w:rPr>
              <w:t>2</w:t>
            </w:r>
            <w:r>
              <w:rPr>
                <w:rFonts w:hint="default" w:ascii="Times New Roman" w:hAnsi="Times New Roman" w:cs="Times New Roman"/>
                <w:b w:val="0"/>
                <w:bCs w:val="0"/>
                <w:color w:val="auto"/>
                <w:highlight w:val="none"/>
                <w:lang w:val="en-US" w:eastAsia="zh-CN"/>
              </w:rPr>
              <w:t>O↓</w:t>
            </w:r>
          </w:p>
          <w:p w14:paraId="367133B2">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沉淀与分离：再生反应生成的亚硫酸钙（CaSO₃）等副产物，在水中溶解度很低，会沉淀下来</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。上层的清液则是再生的NaOH溶液，被送回脱硫塔循环使用</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t>。</w:t>
            </w:r>
          </w:p>
          <w:p w14:paraId="4A2F7E6B">
            <w:pPr>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副产物处理：沉淀池底部的亚硫酸钙等废渣被排出，经脱水等处理后外运</w:t>
            </w:r>
            <w:r>
              <w:rPr>
                <w:rFonts w:hint="eastAsia" w:ascii="Times New Roman" w:hAnsi="Times New Roman" w:cs="Times New Roman"/>
                <w:b w:val="0"/>
                <w:bCs w:val="0"/>
                <w:color w:val="auto"/>
                <w:highlight w:val="none"/>
                <w:lang w:val="en-US" w:eastAsia="zh-CN"/>
              </w:rPr>
              <w:t>。</w:t>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"http://sthjt.jiangsu.gov.cn/ecqy/jshbw/hpzl/201408/P020140806634298125517.pdf" \l "42#31"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r>
              <w:rPr>
                <w:rFonts w:hint="default" w:ascii="Times New Roman" w:hAnsi="Times New Roman" w:cs="Times New Roman"/>
                <w:b w:val="0"/>
                <w:bCs w:val="0"/>
                <w:color w:val="auto"/>
                <w:highlight w:val="none"/>
                <w:lang w:val="en-US" w:eastAsia="zh-CN"/>
              </w:rPr>
              <w:fldChar w:fldCharType="begin"/>
            </w:r>
            <w:r>
              <w:rPr>
                <w:rFonts w:hint="default" w:ascii="Times New Roman" w:hAnsi="Times New Roman" w:cs="Times New Roman"/>
                <w:b w:val="0"/>
                <w:bCs w:val="0"/>
                <w:color w:val="auto"/>
                <w:highlight w:val="none"/>
                <w:lang w:val="en-US" w:eastAsia="zh-CN"/>
              </w:rPr>
              <w:instrText xml:space="preserve"> HYPERLINK "https://huanbao.bjx.com.cn/tech/20170217/155450-2.shtml" \t "https://chat.deepseek.com/a/chat/s/_blank" </w:instrText>
            </w:r>
            <w:r>
              <w:rPr>
                <w:rFonts w:hint="default" w:ascii="Times New Roman" w:hAnsi="Times New Roman" w:cs="Times New Roman"/>
                <w:b w:val="0"/>
                <w:bCs w:val="0"/>
                <w:color w:val="auto"/>
                <w:highlight w:val="none"/>
                <w:lang w:val="en-US" w:eastAsia="zh-CN"/>
              </w:rPr>
              <w:fldChar w:fldCharType="separate"/>
            </w:r>
            <w:r>
              <w:rPr>
                <w:rFonts w:hint="default" w:ascii="Times New Roman" w:hAnsi="Times New Roman" w:cs="Times New Roman"/>
                <w:b w:val="0"/>
                <w:bCs w:val="0"/>
                <w:color w:val="auto"/>
                <w:highlight w:val="none"/>
                <w:lang w:val="en-US" w:eastAsia="zh-CN"/>
              </w:rPr>
              <w:fldChar w:fldCharType="end"/>
            </w:r>
          </w:p>
          <w:p w14:paraId="0802E6A9">
            <w:pPr>
              <w:adjustRightInd w:val="0"/>
              <w:snapToGrid w:val="0"/>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4</w:t>
            </w:r>
            <w:r>
              <w:rPr>
                <w:rFonts w:hint="default" w:ascii="Times New Roman" w:hAnsi="Times New Roman" w:cs="Times New Roman"/>
                <w:bCs/>
                <w:color w:val="auto"/>
                <w:sz w:val="24"/>
                <w:szCs w:val="24"/>
                <w:highlight w:val="none"/>
                <w:lang w:val="en-US" w:eastAsia="zh-CN"/>
              </w:rPr>
              <w:t>）排放</w:t>
            </w:r>
          </w:p>
          <w:p w14:paraId="730E158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w:t>
            </w:r>
            <w:r>
              <w:rPr>
                <w:rFonts w:hint="eastAsia" w:ascii="Times New Roman" w:hAnsi="Times New Roman" w:cs="Times New Roman"/>
                <w:color w:val="auto"/>
                <w:highlight w:val="none"/>
                <w:lang w:val="en-US" w:eastAsia="zh-CN"/>
              </w:rPr>
              <w:t>依托现有的</w:t>
            </w:r>
            <w:r>
              <w:rPr>
                <w:rFonts w:hint="default" w:ascii="Times New Roman" w:hAnsi="Times New Roman" w:cs="Times New Roman"/>
                <w:color w:val="auto"/>
                <w:highlight w:val="none"/>
                <w:lang w:val="en-US" w:eastAsia="zh-CN"/>
              </w:rPr>
              <w:t>1根50m高烟囱（选煤厂排气筒DA001）排放，出口内径1.4m，并在烟囱设置烟气在线监测设备，对大气污染物排放浓度进行实时监测、数据上传环保主管部门。</w:t>
            </w:r>
          </w:p>
          <w:p w14:paraId="5333F11B">
            <w:pPr>
              <w:bidi w:val="0"/>
              <w:ind w:left="0" w:leftChars="0"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bCs/>
                <w:color w:val="auto"/>
                <w:sz w:val="24"/>
                <w:szCs w:val="24"/>
                <w:highlight w:val="none"/>
                <w:lang w:val="en-US" w:eastAsia="zh-CN"/>
              </w:rPr>
              <w:drawing>
                <wp:inline distT="0" distB="0" distL="114300" distR="114300">
                  <wp:extent cx="3941445" cy="4530725"/>
                  <wp:effectExtent l="0" t="0" r="0" b="0"/>
                  <wp:docPr id="78" name="E657119C-6982-421D-8BA7-E74DEB70A7D9-3" descr="C:/Users/Lenovo/AppData/Local/Temp/wps.XClUuK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E657119C-6982-421D-8BA7-E74DEB70A7D9-3" descr="C:/Users/Lenovo/AppData/Local/Temp/wps.XClUuKwps"/>
                          <pic:cNvPicPr>
                            <a:picLocks noChangeAspect="1"/>
                          </pic:cNvPicPr>
                        </pic:nvPicPr>
                        <pic:blipFill>
                          <a:blip r:embed="rId22"/>
                          <a:stretch>
                            <a:fillRect/>
                          </a:stretch>
                        </pic:blipFill>
                        <pic:spPr>
                          <a:xfrm>
                            <a:off x="0" y="0"/>
                            <a:ext cx="3941445" cy="4530725"/>
                          </a:xfrm>
                          <a:prstGeom prst="rect">
                            <a:avLst/>
                          </a:prstGeom>
                        </pic:spPr>
                      </pic:pic>
                    </a:graphicData>
                  </a:graphic>
                </wp:inline>
              </w:drawing>
            </w:r>
          </w:p>
          <w:p w14:paraId="1D356946">
            <w:pPr>
              <w:bidi w:val="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图2-2运营期工艺流程及产排污环节图</w:t>
            </w:r>
          </w:p>
          <w:p w14:paraId="59CD728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2、产污环节</w:t>
            </w:r>
          </w:p>
          <w:p w14:paraId="6BC35AF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（1）废气：锅炉烟气，锅炉烟气过SNCR＋SCR联合法脱硝+布袋除尘器处理+</w:t>
            </w:r>
            <w:r>
              <w:rPr>
                <w:rFonts w:hint="eastAsia" w:cs="Times New Roman"/>
                <w:color w:val="auto"/>
                <w:highlight w:val="none"/>
                <w:lang w:val="en-US" w:eastAsia="zh-CN"/>
              </w:rPr>
              <w:t>双碱法脱硫</w:t>
            </w:r>
            <w:r>
              <w:rPr>
                <w:rFonts w:hint="default" w:ascii="Times New Roman" w:hAnsi="Times New Roman" w:cs="Times New Roman"/>
                <w:color w:val="auto"/>
                <w:highlight w:val="none"/>
                <w:lang w:val="en-US" w:eastAsia="zh-CN"/>
              </w:rPr>
              <w:t>处理后经1根现有的50m高的烟囱（选煤厂排气筒DA001）排放。</w:t>
            </w:r>
          </w:p>
          <w:p w14:paraId="541273C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（2）废水：锅炉系统排污废水</w:t>
            </w:r>
            <w:r>
              <w:rPr>
                <w:rFonts w:hint="eastAsia" w:ascii="Times New Roman" w:hAnsi="Times New Roman" w:cs="Times New Roman"/>
                <w:color w:val="auto"/>
                <w:highlight w:val="none"/>
                <w:lang w:val="en-US" w:eastAsia="zh-CN"/>
              </w:rPr>
              <w:t>回用于脱硫系统补水</w:t>
            </w:r>
            <w:r>
              <w:rPr>
                <w:rFonts w:hint="eastAsia" w:cs="Times New Roman"/>
                <w:color w:val="auto"/>
                <w:highlight w:val="none"/>
                <w:lang w:val="en-US" w:eastAsia="zh-CN"/>
              </w:rPr>
              <w:t>，软化水系统排污废水浓水池（100m³）暂存后，定期交由有浓水处理资质的单位进行处置。</w:t>
            </w:r>
            <w:r>
              <w:rPr>
                <w:rFonts w:hint="default" w:ascii="Times New Roman" w:hAnsi="Times New Roman" w:cs="Times New Roman"/>
                <w:color w:val="auto"/>
                <w:highlight w:val="none"/>
                <w:lang w:val="en-US" w:eastAsia="zh-CN"/>
              </w:rPr>
              <w:t>脱硫水循环使用，不外排。</w:t>
            </w:r>
            <w:r>
              <w:rPr>
                <w:rFonts w:hint="eastAsia" w:cs="Times New Roman"/>
                <w:color w:val="auto"/>
                <w:highlight w:val="none"/>
                <w:lang w:val="en-US" w:eastAsia="zh-CN"/>
              </w:rPr>
              <w:t>脱硝系统废水全部蒸发散失。</w:t>
            </w:r>
          </w:p>
          <w:p w14:paraId="4F36D4C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（3）噪声：设备运行过程中会产生噪声。</w:t>
            </w:r>
          </w:p>
          <w:p w14:paraId="026739EA">
            <w:pPr>
              <w:bidi w:val="0"/>
              <w:rPr>
                <w:rFonts w:hint="default" w:ascii="Times New Roman" w:hAnsi="Times New Roman" w:cs="Times New Roman"/>
                <w:bCs/>
                <w:color w:val="auto"/>
                <w:sz w:val="24"/>
                <w:szCs w:val="24"/>
                <w:highlight w:val="none"/>
                <w:lang w:val="en-US"/>
              </w:rPr>
            </w:pPr>
            <w:r>
              <w:rPr>
                <w:rFonts w:hint="default" w:ascii="Times New Roman" w:hAnsi="Times New Roman" w:cs="Times New Roman"/>
                <w:color w:val="auto"/>
                <w:highlight w:val="none"/>
                <w:lang w:val="en-US" w:eastAsia="zh-CN"/>
              </w:rPr>
              <w:t>（4）固废：锅炉炉渣、</w:t>
            </w:r>
            <w:r>
              <w:rPr>
                <w:rFonts w:hint="eastAsia" w:ascii="Times New Roman" w:hAnsi="Times New Roman" w:cs="Times New Roman"/>
                <w:color w:val="auto"/>
                <w:highlight w:val="none"/>
                <w:lang w:val="en-US" w:eastAsia="zh-CN"/>
              </w:rPr>
              <w:t>脱硫石膏、</w:t>
            </w:r>
            <w:r>
              <w:rPr>
                <w:rFonts w:hint="default" w:ascii="Times New Roman" w:hAnsi="Times New Roman" w:cs="Times New Roman"/>
                <w:color w:val="auto"/>
                <w:highlight w:val="none"/>
                <w:lang w:val="en-US" w:eastAsia="zh-CN"/>
              </w:rPr>
              <w:t>布袋除尘产生的除尘灰属于一般固废，暂存于一般固废暂存区，定期拉运至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软化处理系统产生废离子交换树脂属于一般固废，更换下的废离子交换树脂不在厂区内暂存，由厂家回收。脱硝过程产生的废脱硝催化剂、设备定期维修更换下的废矿物油、废油桶属于危险废物，暂存于危废库内，定期交由有资质单位进行处置。</w:t>
            </w:r>
          </w:p>
        </w:tc>
      </w:tr>
      <w:tr w14:paraId="071BA6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060" w:type="dxa"/>
            <w:gridSpan w:val="2"/>
            <w:noWrap w:val="0"/>
            <w:vAlign w:val="center"/>
          </w:tcPr>
          <w:p w14:paraId="6DCAE345">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Cs/>
                <w:color w:val="auto"/>
                <w:kern w:val="2"/>
                <w:sz w:val="24"/>
                <w:szCs w:val="24"/>
                <w:highlight w:val="none"/>
              </w:rPr>
              <w:t>与项目有关的原有环境污染问题</w:t>
            </w:r>
          </w:p>
        </w:tc>
        <w:tc>
          <w:tcPr>
            <w:tcW w:w="6924" w:type="dxa"/>
            <w:noWrap w:val="0"/>
            <w:vAlign w:val="top"/>
          </w:tcPr>
          <w:p w14:paraId="0015FAA1">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eastAsia="zh-CN"/>
              </w:rPr>
              <w:t>1.</w:t>
            </w:r>
            <w:r>
              <w:rPr>
                <w:rFonts w:hint="default" w:ascii="Times New Roman" w:hAnsi="Times New Roman" w:cs="Times New Roman"/>
                <w:b/>
                <w:bCs/>
                <w:color w:val="auto"/>
                <w:highlight w:val="none"/>
                <w:lang w:val="en-US" w:eastAsia="zh-CN"/>
              </w:rPr>
              <w:t>现有项目环境影响评价、竣工环境保护验收履行情况</w:t>
            </w:r>
          </w:p>
          <w:p w14:paraId="08E740C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2011年9月13日，内蒙古自治区环境保护厅以内环审〔2011〕286号文件对《内蒙古伊泰煤炭股份有限公司凯达选煤厂环境影响报告书》予以批复，2014年5月，原鄂尔多斯市环境保护局以鄂环监字〔2014〕10号文出具《内蒙古伊泰煤炭股份有限公司凯达选煤厂竣工环境保护验收意见的通知》。根据原鄂尔多斯市环境保护局鄂环字〔2011〕165号文件，内蒙古伊泰煤炭股份有限公司凯达选煤厂项目主要污染物排放总量指标的确认意见，二氧化硫</w:t>
            </w:r>
            <w:r>
              <w:rPr>
                <w:rFonts w:hint="eastAsia" w:ascii="Times New Roman" w:hAnsi="Times New Roman" w:cs="Times New Roman"/>
                <w:color w:val="auto"/>
                <w:highlight w:val="none"/>
                <w:lang w:val="en-US" w:eastAsia="zh-CN"/>
              </w:rPr>
              <w:t>总量指标</w:t>
            </w:r>
            <w:r>
              <w:rPr>
                <w:rFonts w:hint="default" w:ascii="Times New Roman" w:hAnsi="Times New Roman" w:cs="Times New Roman"/>
                <w:color w:val="auto"/>
                <w:highlight w:val="none"/>
                <w:lang w:val="en-US" w:eastAsia="zh-CN"/>
              </w:rPr>
              <w:t>为44.13t/a，氮氧化物</w:t>
            </w:r>
            <w:r>
              <w:rPr>
                <w:rFonts w:hint="eastAsia" w:ascii="Times New Roman" w:hAnsi="Times New Roman" w:cs="Times New Roman"/>
                <w:color w:val="auto"/>
                <w:highlight w:val="none"/>
                <w:lang w:val="en-US" w:eastAsia="zh-CN"/>
              </w:rPr>
              <w:t>总量指标</w:t>
            </w:r>
            <w:r>
              <w:rPr>
                <w:rFonts w:hint="default" w:ascii="Times New Roman" w:hAnsi="Times New Roman" w:cs="Times New Roman"/>
                <w:color w:val="auto"/>
                <w:highlight w:val="none"/>
                <w:lang w:val="en-US" w:eastAsia="zh-CN"/>
              </w:rPr>
              <w:t>为57.92t/a。</w:t>
            </w:r>
          </w:p>
          <w:p w14:paraId="4F1C7E93">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2.排污许可</w:t>
            </w:r>
          </w:p>
          <w:p w14:paraId="6906923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w:t>
            </w:r>
            <w:r>
              <w:rPr>
                <w:rFonts w:hint="eastAsia" w:cs="Times New Roman"/>
                <w:color w:val="auto"/>
                <w:highlight w:val="none"/>
                <w:lang w:val="en-US" w:eastAsia="zh-CN"/>
              </w:rPr>
              <w:t>19</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9</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，内蒙古伊泰煤炭股份有限公司凯达选煤厂首次取得排污许可证，许可证编号为911506006264024904001Q</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最新申请日期为2025年11月，有效期限为2025年10月31日-2030年10月30日</w:t>
            </w:r>
            <w:r>
              <w:rPr>
                <w:rFonts w:hint="default" w:ascii="Times New Roman" w:hAnsi="Times New Roman" w:cs="Times New Roman"/>
                <w:color w:val="auto"/>
                <w:highlight w:val="none"/>
                <w:lang w:val="en-US" w:eastAsia="zh-CN"/>
              </w:rPr>
              <w:t>。</w:t>
            </w:r>
          </w:p>
          <w:p w14:paraId="2BCC0DA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3.选煤厂现有锅炉房污染物实际排放总量</w:t>
            </w:r>
          </w:p>
          <w:p w14:paraId="699921C5">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（1）废气</w:t>
            </w:r>
          </w:p>
          <w:p w14:paraId="6167598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选煤厂现有锅炉房2025年运行期1月、2月、3月、11月、12月的自行检测报告，最大排气流量为42637Nm³/h，生产运行过程中氮氧化物排放的最大折算浓度为261mg/m³，氮氧化物最大排放量为11.13t/a，氮氧化物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表1在用锅炉大气污染物排放浓度限值（氮氧化物：400mg/m³）；二氧化硫排放的最大折算浓度为127mg/m³，二氧化硫排放量为5.41t/a，二氧化硫排放浓度满足《锅炉大气污染物排放标准》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表1在用锅炉大气污染物排放浓度限值（二氧化硫：400mg/m³）；颗粒物排放的最大折算浓度为35.4mg/m³，颗粒物排放量为1.51t/a，颗粒物排放浓度满足《锅炉大气污染物排放标准》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表1在用锅炉大气污染物排放浓度限值（颗粒物：80mg/m³）；汞及其化合物排放的最大折算浓度为0.0261mg/m³，汞及其化合物排放量为0.001t/a，汞及其化合物排放浓度满足《锅炉大气污染物排放标准》</w:t>
            </w:r>
            <w:r>
              <w:rPr>
                <w:rFonts w:hint="default" w:ascii="Times New Roman" w:hAnsi="Times New Roman" w:cs="Times New Roman"/>
                <w:color w:val="auto"/>
                <w:highlight w:val="none"/>
              </w:rPr>
              <w:t>（GB13271-2014）</w:t>
            </w:r>
            <w:r>
              <w:rPr>
                <w:rFonts w:hint="default" w:ascii="Times New Roman" w:hAnsi="Times New Roman" w:cs="Times New Roman"/>
                <w:color w:val="auto"/>
                <w:highlight w:val="none"/>
                <w:lang w:val="en-US" w:eastAsia="zh-CN"/>
              </w:rPr>
              <w:t>表1在用锅炉大气污染物排放浓度限值（汞及其化合物：0.05mg/m³）；烟气黑度＜1。</w:t>
            </w:r>
          </w:p>
          <w:p w14:paraId="3E3AF09B">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（2）废水</w:t>
            </w:r>
          </w:p>
          <w:p w14:paraId="67F6EEC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根据选煤厂验收报告，冬季锅炉废水产生量为93m³/d，回用于锅炉除尘、冲渣，夏季锅炉停用。</w:t>
            </w:r>
          </w:p>
          <w:p w14:paraId="4C57B2B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（3）固废</w:t>
            </w:r>
          </w:p>
          <w:p w14:paraId="7E0EB720">
            <w:pPr>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根据选煤厂固废台账，锅炉灰渣产生量为400t/a、</w:t>
            </w:r>
            <w:r>
              <w:rPr>
                <w:rFonts w:hint="eastAsia" w:cs="Times New Roman"/>
                <w:color w:val="auto"/>
                <w:highlight w:val="none"/>
                <w:lang w:val="en-US" w:eastAsia="zh-CN"/>
              </w:rPr>
              <w:t>水浴除尘底泥</w:t>
            </w:r>
            <w:r>
              <w:rPr>
                <w:rFonts w:hint="default" w:ascii="Times New Roman" w:hAnsi="Times New Roman" w:cs="Times New Roman"/>
                <w:color w:val="auto"/>
                <w:highlight w:val="none"/>
                <w:lang w:val="en-US" w:eastAsia="zh-CN"/>
              </w:rPr>
              <w:t>产生量为26t/a，产生的</w:t>
            </w:r>
            <w:r>
              <w:rPr>
                <w:rFonts w:hint="eastAsia" w:cs="Times New Roman"/>
                <w:color w:val="auto"/>
                <w:highlight w:val="none"/>
                <w:lang w:val="en-US" w:eastAsia="zh-CN"/>
              </w:rPr>
              <w:t>锅炉灰渣、水浴除尘底泥送至准格尔旗杨家坡免烧砖厂制砖。</w:t>
            </w:r>
          </w:p>
          <w:p w14:paraId="62832E3A">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（4）噪声</w:t>
            </w:r>
          </w:p>
          <w:p w14:paraId="57C5743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根据选煤厂2025年度厂界四周噪声自行检测报告显示，昼间噪声值在43-58.1dB（A）之间，夜间噪声值在42-48.8dB（A）之间，可满足《工业企业厂界环境噪声排放标准》（GB12348-2008）2类标准要求。</w:t>
            </w:r>
          </w:p>
          <w:p w14:paraId="11CCAB59">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与项目有关的原有环境污染问题</w:t>
            </w:r>
          </w:p>
          <w:p w14:paraId="46D8B03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根据实地勘察，现有锅炉房地面防渗措施完整，现有锅</w:t>
            </w:r>
            <w:r>
              <w:rPr>
                <w:rFonts w:hint="eastAsia" w:cs="Times New Roman"/>
                <w:color w:val="auto"/>
                <w:highlight w:val="none"/>
                <w:lang w:val="en-US" w:eastAsia="zh-CN"/>
              </w:rPr>
              <w:t>炉</w:t>
            </w:r>
            <w:r>
              <w:rPr>
                <w:rFonts w:hint="default" w:ascii="Times New Roman" w:hAnsi="Times New Roman" w:cs="Times New Roman"/>
                <w:color w:val="auto"/>
                <w:highlight w:val="none"/>
                <w:lang w:val="en-US" w:eastAsia="zh-CN"/>
              </w:rPr>
              <w:t>环保手续完整，已取得排污许可证书。废气处理措施正常运行，固废暂存设施按照要求进行建设，锅炉房现有3台10t/h的燃煤蒸汽锅炉，根据《产业结构调整指导目录（2024年本）》，每小时10蒸吨及以下的燃煤锅炉为淘汰类设备，故选煤厂将现有的3台燃煤锅炉为淘汰类设备，应尽快拆除更换。</w:t>
            </w:r>
          </w:p>
          <w:p w14:paraId="54DDC58F">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5.项目“以新带老”措施</w:t>
            </w:r>
          </w:p>
          <w:p w14:paraId="45F6F190">
            <w:pPr>
              <w:bidi w:val="0"/>
              <w:rPr>
                <w:rFonts w:hint="default" w:ascii="Times New Roman" w:hAnsi="Times New Roman" w:cs="Times New Roman"/>
                <w:bCs/>
                <w:color w:val="auto"/>
                <w:kern w:val="2"/>
                <w:szCs w:val="24"/>
                <w:highlight w:val="none"/>
                <w:lang w:val="en-US" w:eastAsia="zh-CN"/>
              </w:rPr>
            </w:pPr>
            <w:r>
              <w:rPr>
                <w:rFonts w:hint="default" w:ascii="Times New Roman" w:hAnsi="Times New Roman" w:cs="Times New Roman"/>
                <w:color w:val="auto"/>
                <w:highlight w:val="none"/>
                <w:lang w:val="en-US" w:eastAsia="zh-CN"/>
              </w:rPr>
              <w:t>拆除现有锅炉房的3台10t/h的燃煤蒸汽锅炉，尽快新建锅炉。</w:t>
            </w:r>
          </w:p>
        </w:tc>
      </w:tr>
    </w:tbl>
    <w:p w14:paraId="3507D144">
      <w:pPr>
        <w:pStyle w:val="22"/>
        <w:jc w:val="center"/>
        <w:rPr>
          <w:rFonts w:hint="default" w:ascii="Times New Roman" w:hAnsi="Times New Roman" w:eastAsia="黑体" w:cs="Times New Roman"/>
          <w:snapToGrid w:val="0"/>
          <w:color w:val="auto"/>
          <w:sz w:val="36"/>
          <w:szCs w:val="36"/>
          <w:highlight w:val="none"/>
        </w:rPr>
        <w:sectPr>
          <w:footerReference r:id="rId10"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6206CAAF">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8A4F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00" w:type="dxa"/>
            <w:noWrap w:val="0"/>
            <w:vAlign w:val="center"/>
          </w:tcPr>
          <w:p w14:paraId="255306E5">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区域环境质量现状</w:t>
            </w:r>
          </w:p>
        </w:tc>
        <w:tc>
          <w:tcPr>
            <w:tcW w:w="8190" w:type="dxa"/>
            <w:noWrap w:val="0"/>
            <w:vAlign w:val="center"/>
          </w:tcPr>
          <w:p w14:paraId="27D22C12">
            <w:pPr>
              <w:bidi w:val="0"/>
              <w:rPr>
                <w:b/>
                <w:bCs/>
                <w:color w:val="auto"/>
                <w:highlight w:val="none"/>
              </w:rPr>
            </w:pPr>
            <w:r>
              <w:rPr>
                <w:rFonts w:hint="eastAsia"/>
                <w:b/>
                <w:bCs/>
                <w:color w:val="auto"/>
                <w:highlight w:val="none"/>
                <w:lang w:val="en-US" w:eastAsia="zh-CN"/>
              </w:rPr>
              <w:t>一、</w:t>
            </w:r>
            <w:r>
              <w:rPr>
                <w:b/>
                <w:bCs/>
                <w:color w:val="auto"/>
                <w:highlight w:val="none"/>
              </w:rPr>
              <w:t>环境空气质量现状</w:t>
            </w:r>
          </w:p>
          <w:p w14:paraId="1B5273F0">
            <w:pPr>
              <w:bidi w:val="0"/>
              <w:rPr>
                <w:b/>
                <w:bCs/>
                <w:color w:val="auto"/>
                <w:highlight w:val="none"/>
              </w:rPr>
            </w:pPr>
            <w:r>
              <w:rPr>
                <w:b/>
                <w:bCs/>
                <w:color w:val="auto"/>
                <w:highlight w:val="none"/>
              </w:rPr>
              <w:t>（1）基本污染物</w:t>
            </w:r>
          </w:p>
          <w:p w14:paraId="4C07C98F">
            <w:pPr>
              <w:bidi w:val="0"/>
              <w:rPr>
                <w:color w:val="auto"/>
                <w:highlight w:val="none"/>
              </w:rPr>
            </w:pPr>
            <w:r>
              <w:rPr>
                <w:rFonts w:hint="default"/>
                <w:color w:val="auto"/>
                <w:highlight w:val="none"/>
                <w:lang w:val="en-US" w:eastAsia="zh-CN"/>
              </w:rPr>
              <w:t>根据内蒙古自治区生态环境厅</w:t>
            </w:r>
            <w:r>
              <w:rPr>
                <w:rFonts w:hint="eastAsia"/>
                <w:color w:val="auto"/>
                <w:highlight w:val="none"/>
                <w:lang w:val="en-US" w:eastAsia="zh-CN"/>
              </w:rPr>
              <w:t>发布的</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年内蒙古自治区生态环境状况公报》，</w:t>
            </w:r>
            <w:r>
              <w:rPr>
                <w:rFonts w:hint="eastAsia"/>
                <w:color w:val="auto"/>
                <w:highlight w:val="none"/>
                <w:lang w:val="en-US" w:eastAsia="zh-CN"/>
              </w:rPr>
              <w:t>2025年全区为达标区，</w:t>
            </w:r>
            <w:r>
              <w:rPr>
                <w:color w:val="auto"/>
                <w:highlight w:val="none"/>
              </w:rPr>
              <w:t>本项目位于内蒙古自治区鄂尔多斯市准格尔旗，因此项目所在区域环境空气质量属于达标区。</w:t>
            </w:r>
          </w:p>
          <w:p w14:paraId="014FC6A0">
            <w:pPr>
              <w:bidi w:val="0"/>
              <w:rPr>
                <w:b/>
                <w:bCs/>
                <w:color w:val="auto"/>
                <w:highlight w:val="none"/>
              </w:rPr>
            </w:pPr>
            <w:r>
              <w:rPr>
                <w:b/>
                <w:bCs/>
                <w:color w:val="auto"/>
                <w:highlight w:val="none"/>
              </w:rPr>
              <w:t>（2）特征污染物</w:t>
            </w:r>
          </w:p>
          <w:p w14:paraId="4D80062F">
            <w:pPr>
              <w:bidi w:val="0"/>
              <w:rPr>
                <w:color w:val="auto"/>
                <w:highlight w:val="none"/>
              </w:rPr>
            </w:pPr>
            <w:r>
              <w:rPr>
                <w:color w:val="auto"/>
                <w:highlight w:val="none"/>
              </w:rPr>
              <w:t>本项目为</w:t>
            </w:r>
            <w:r>
              <w:rPr>
                <w:rFonts w:hint="eastAsia"/>
                <w:color w:val="auto"/>
                <w:highlight w:val="none"/>
                <w:lang w:val="en-US" w:eastAsia="zh-CN"/>
              </w:rPr>
              <w:t>锅炉项目</w:t>
            </w:r>
            <w:r>
              <w:rPr>
                <w:color w:val="auto"/>
                <w:highlight w:val="none"/>
              </w:rPr>
              <w:t>，运营过程中排放的特征污染物主要是颗粒物，</w:t>
            </w:r>
            <w:r>
              <w:rPr>
                <w:rFonts w:hint="eastAsia"/>
                <w:color w:val="auto"/>
                <w:highlight w:val="none"/>
                <w:lang w:val="en-US" w:eastAsia="zh-CN"/>
              </w:rPr>
              <w:t>委托内蒙古华予环境检测有限公司进行连续3天现状监测，监测时间为2025年12月2日-2025年12月4日，</w:t>
            </w:r>
            <w:r>
              <w:rPr>
                <w:color w:val="auto"/>
                <w:highlight w:val="none"/>
              </w:rPr>
              <w:t>监测点布设及监测项目情况见表3-</w:t>
            </w:r>
            <w:r>
              <w:rPr>
                <w:rFonts w:hint="eastAsia"/>
                <w:color w:val="auto"/>
                <w:highlight w:val="none"/>
                <w:lang w:val="en-US" w:eastAsia="zh-CN"/>
              </w:rPr>
              <w:t>1</w:t>
            </w:r>
            <w:r>
              <w:rPr>
                <w:color w:val="auto"/>
                <w:highlight w:val="none"/>
              </w:rPr>
              <w:t>，监测结果见表3-</w:t>
            </w:r>
            <w:r>
              <w:rPr>
                <w:rFonts w:hint="eastAsia"/>
                <w:color w:val="auto"/>
                <w:highlight w:val="none"/>
                <w:lang w:val="en-US" w:eastAsia="zh-CN"/>
              </w:rPr>
              <w:t>2</w:t>
            </w:r>
            <w:r>
              <w:rPr>
                <w:color w:val="auto"/>
                <w:highlight w:val="none"/>
              </w:rPr>
              <w:t>。</w:t>
            </w:r>
          </w:p>
          <w:p w14:paraId="7CECBD26">
            <w:pPr>
              <w:bidi w:val="0"/>
              <w:jc w:val="center"/>
              <w:rPr>
                <w:rFonts w:hint="default"/>
                <w:b/>
                <w:bCs/>
                <w:color w:val="auto"/>
                <w:highlight w:val="none"/>
                <w:lang w:val="en-US" w:eastAsia="zh-CN"/>
              </w:rPr>
            </w:pPr>
            <w:r>
              <w:rPr>
                <w:rFonts w:hint="default"/>
                <w:b/>
                <w:bCs/>
                <w:color w:val="auto"/>
                <w:highlight w:val="none"/>
              </w:rPr>
              <w:t>表3-</w:t>
            </w:r>
            <w:r>
              <w:rPr>
                <w:rFonts w:hint="eastAsia"/>
                <w:b/>
                <w:bCs/>
                <w:color w:val="auto"/>
                <w:highlight w:val="none"/>
                <w:lang w:val="en-US" w:eastAsia="zh-CN"/>
              </w:rPr>
              <w:t>1</w:t>
            </w:r>
            <w:r>
              <w:rPr>
                <w:rFonts w:hint="default"/>
                <w:b/>
                <w:bCs/>
                <w:color w:val="auto"/>
                <w:highlight w:val="none"/>
              </w:rPr>
              <w:t>特征污染物</w:t>
            </w:r>
            <w:r>
              <w:rPr>
                <w:rFonts w:hint="eastAsia"/>
                <w:b/>
                <w:bCs/>
                <w:color w:val="auto"/>
                <w:highlight w:val="none"/>
                <w:lang w:val="en-US" w:eastAsia="zh-CN"/>
              </w:rPr>
              <w:t>补充监测点位基本信息一览表</w:t>
            </w:r>
          </w:p>
          <w:tbl>
            <w:tblPr>
              <w:tblStyle w:val="26"/>
              <w:tblW w:w="7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175"/>
              <w:gridCol w:w="1202"/>
              <w:gridCol w:w="1131"/>
              <w:gridCol w:w="1342"/>
              <w:gridCol w:w="978"/>
              <w:gridCol w:w="1127"/>
            </w:tblGrid>
            <w:tr w14:paraId="082C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31" w:type="dxa"/>
                  <w:vMerge w:val="restart"/>
                  <w:noWrap w:val="0"/>
                  <w:vAlign w:val="center"/>
                </w:tcPr>
                <w:p w14:paraId="1066FE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监测点名称</w:t>
                  </w:r>
                </w:p>
              </w:tc>
              <w:tc>
                <w:tcPr>
                  <w:tcW w:w="2377" w:type="dxa"/>
                  <w:gridSpan w:val="2"/>
                  <w:noWrap w:val="0"/>
                  <w:vAlign w:val="center"/>
                </w:tcPr>
                <w:p w14:paraId="113735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监测点坐标</w:t>
                  </w:r>
                </w:p>
              </w:tc>
              <w:tc>
                <w:tcPr>
                  <w:tcW w:w="1131" w:type="dxa"/>
                  <w:vMerge w:val="restart"/>
                  <w:noWrap w:val="0"/>
                  <w:vAlign w:val="center"/>
                </w:tcPr>
                <w:p w14:paraId="33E3B0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监测因子</w:t>
                  </w:r>
                </w:p>
              </w:tc>
              <w:tc>
                <w:tcPr>
                  <w:tcW w:w="1342" w:type="dxa"/>
                  <w:vMerge w:val="restart"/>
                  <w:noWrap w:val="0"/>
                  <w:vAlign w:val="center"/>
                </w:tcPr>
                <w:p w14:paraId="737BDB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监测时段</w:t>
                  </w:r>
                </w:p>
              </w:tc>
              <w:tc>
                <w:tcPr>
                  <w:tcW w:w="978" w:type="dxa"/>
                  <w:vMerge w:val="restart"/>
                  <w:noWrap w:val="0"/>
                  <w:vAlign w:val="center"/>
                </w:tcPr>
                <w:p w14:paraId="54491A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相对厂址位置</w:t>
                  </w:r>
                </w:p>
              </w:tc>
              <w:tc>
                <w:tcPr>
                  <w:tcW w:w="1127" w:type="dxa"/>
                  <w:vMerge w:val="restart"/>
                  <w:noWrap w:val="0"/>
                  <w:vAlign w:val="center"/>
                </w:tcPr>
                <w:p w14:paraId="149F7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相对厂界距离</w:t>
                  </w:r>
                </w:p>
              </w:tc>
            </w:tr>
            <w:tr w14:paraId="52FF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31" w:type="dxa"/>
                  <w:vMerge w:val="continue"/>
                  <w:noWrap w:val="0"/>
                  <w:vAlign w:val="center"/>
                </w:tcPr>
                <w:p w14:paraId="10F862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val="0"/>
                      <w:bCs/>
                      <w:color w:val="auto"/>
                      <w:sz w:val="21"/>
                      <w:szCs w:val="21"/>
                      <w:highlight w:val="none"/>
                    </w:rPr>
                  </w:pPr>
                </w:p>
              </w:tc>
              <w:tc>
                <w:tcPr>
                  <w:tcW w:w="1175" w:type="dxa"/>
                  <w:noWrap w:val="0"/>
                  <w:vAlign w:val="center"/>
                </w:tcPr>
                <w:p w14:paraId="575D4E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X</w:t>
                  </w:r>
                </w:p>
              </w:tc>
              <w:tc>
                <w:tcPr>
                  <w:tcW w:w="1202" w:type="dxa"/>
                  <w:noWrap w:val="0"/>
                  <w:vAlign w:val="center"/>
                </w:tcPr>
                <w:p w14:paraId="683F0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Y</w:t>
                  </w:r>
                </w:p>
              </w:tc>
              <w:tc>
                <w:tcPr>
                  <w:tcW w:w="1131" w:type="dxa"/>
                  <w:vMerge w:val="continue"/>
                  <w:noWrap w:val="0"/>
                  <w:vAlign w:val="center"/>
                </w:tcPr>
                <w:p w14:paraId="0DFEA7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c>
                <w:tcPr>
                  <w:tcW w:w="1342" w:type="dxa"/>
                  <w:vMerge w:val="continue"/>
                  <w:noWrap w:val="0"/>
                  <w:vAlign w:val="center"/>
                </w:tcPr>
                <w:p w14:paraId="74A7A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c>
                <w:tcPr>
                  <w:tcW w:w="978" w:type="dxa"/>
                  <w:vMerge w:val="continue"/>
                  <w:noWrap w:val="0"/>
                  <w:vAlign w:val="center"/>
                </w:tcPr>
                <w:p w14:paraId="046F37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c>
                <w:tcPr>
                  <w:tcW w:w="1127" w:type="dxa"/>
                  <w:vMerge w:val="continue"/>
                  <w:noWrap w:val="0"/>
                  <w:vAlign w:val="center"/>
                </w:tcPr>
                <w:p w14:paraId="6959E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color w:val="auto"/>
                      <w:sz w:val="21"/>
                      <w:szCs w:val="21"/>
                      <w:highlight w:val="none"/>
                      <w:vertAlign w:val="baseline"/>
                      <w:lang w:val="en-US" w:eastAsia="zh-CN"/>
                    </w:rPr>
                  </w:pPr>
                </w:p>
              </w:tc>
            </w:tr>
            <w:tr w14:paraId="00F2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noWrap w:val="0"/>
                  <w:vAlign w:val="center"/>
                </w:tcPr>
                <w:p w14:paraId="3ED5C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G1</w:t>
                  </w:r>
                </w:p>
              </w:tc>
              <w:tc>
                <w:tcPr>
                  <w:tcW w:w="1175" w:type="dxa"/>
                  <w:noWrap w:val="0"/>
                  <w:vAlign w:val="center"/>
                </w:tcPr>
                <w:p w14:paraId="6DE121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default" w:eastAsia="宋体"/>
                      <w:b w:val="0"/>
                      <w:bCs/>
                      <w:color w:val="auto"/>
                      <w:sz w:val="21"/>
                      <w:szCs w:val="21"/>
                      <w:highlight w:val="none"/>
                      <w:vertAlign w:val="baseline"/>
                      <w:lang w:val="en-US" w:eastAsia="zh-CN"/>
                    </w:rPr>
                    <w:t>110.609</w:t>
                  </w:r>
                  <w:r>
                    <w:rPr>
                      <w:rFonts w:hint="eastAsia"/>
                      <w:b w:val="0"/>
                      <w:bCs/>
                      <w:color w:val="auto"/>
                      <w:sz w:val="21"/>
                      <w:szCs w:val="21"/>
                      <w:highlight w:val="none"/>
                      <w:vertAlign w:val="baseline"/>
                      <w:lang w:val="en-US" w:eastAsia="zh-CN"/>
                    </w:rPr>
                    <w:t>°</w:t>
                  </w:r>
                </w:p>
              </w:tc>
              <w:tc>
                <w:tcPr>
                  <w:tcW w:w="1202" w:type="dxa"/>
                  <w:noWrap w:val="0"/>
                  <w:vAlign w:val="center"/>
                </w:tcPr>
                <w:p w14:paraId="412BD9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default" w:eastAsia="宋体"/>
                      <w:b w:val="0"/>
                      <w:bCs/>
                      <w:color w:val="auto"/>
                      <w:sz w:val="21"/>
                      <w:szCs w:val="21"/>
                      <w:highlight w:val="none"/>
                      <w:vertAlign w:val="baseline"/>
                      <w:lang w:val="en-US" w:eastAsia="zh-CN"/>
                    </w:rPr>
                    <w:t>39.365</w:t>
                  </w:r>
                  <w:r>
                    <w:rPr>
                      <w:rFonts w:hint="eastAsia" w:eastAsia="宋体"/>
                      <w:b w:val="0"/>
                      <w:bCs/>
                      <w:color w:val="auto"/>
                      <w:sz w:val="21"/>
                      <w:szCs w:val="21"/>
                      <w:highlight w:val="none"/>
                      <w:vertAlign w:val="baseline"/>
                      <w:lang w:val="en-US" w:eastAsia="zh-CN"/>
                    </w:rPr>
                    <w:t>°</w:t>
                  </w:r>
                </w:p>
              </w:tc>
              <w:tc>
                <w:tcPr>
                  <w:tcW w:w="1131" w:type="dxa"/>
                  <w:noWrap w:val="0"/>
                  <w:vAlign w:val="center"/>
                </w:tcPr>
                <w:p w14:paraId="49625A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TSP</w:t>
                  </w:r>
                </w:p>
              </w:tc>
              <w:tc>
                <w:tcPr>
                  <w:tcW w:w="1342" w:type="dxa"/>
                  <w:noWrap w:val="0"/>
                  <w:vAlign w:val="center"/>
                </w:tcPr>
                <w:p w14:paraId="058620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2025年</w:t>
                  </w:r>
                  <w:r>
                    <w:rPr>
                      <w:rFonts w:hint="eastAsia" w:cs="Times New Roman"/>
                      <w:b w:val="0"/>
                      <w:bCs/>
                      <w:color w:val="auto"/>
                      <w:sz w:val="21"/>
                      <w:szCs w:val="21"/>
                      <w:highlight w:val="none"/>
                      <w:lang w:val="en-US" w:eastAsia="zh-CN"/>
                    </w:rPr>
                    <w:t>12</w:t>
                  </w:r>
                  <w:r>
                    <w:rPr>
                      <w:rFonts w:hint="eastAsia" w:ascii="Times New Roman" w:hAnsi="Times New Roman" w:eastAsia="宋体" w:cs="Times New Roman"/>
                      <w:b w:val="0"/>
                      <w:bCs/>
                      <w:color w:val="auto"/>
                      <w:sz w:val="21"/>
                      <w:szCs w:val="21"/>
                      <w:highlight w:val="none"/>
                      <w:lang w:val="en-US" w:eastAsia="zh-CN"/>
                    </w:rPr>
                    <w:t>月</w:t>
                  </w:r>
                  <w:r>
                    <w:rPr>
                      <w:rFonts w:hint="eastAsia" w:cs="Times New Roman"/>
                      <w:b w:val="0"/>
                      <w:bCs/>
                      <w:color w:val="auto"/>
                      <w:sz w:val="21"/>
                      <w:szCs w:val="21"/>
                      <w:highlight w:val="none"/>
                      <w:lang w:val="en-US" w:eastAsia="zh-CN"/>
                    </w:rPr>
                    <w:t>2</w:t>
                  </w:r>
                  <w:r>
                    <w:rPr>
                      <w:rFonts w:hint="eastAsia" w:ascii="Times New Roman" w:hAnsi="Times New Roman" w:eastAsia="宋体" w:cs="Times New Roman"/>
                      <w:b w:val="0"/>
                      <w:bCs/>
                      <w:color w:val="auto"/>
                      <w:sz w:val="21"/>
                      <w:szCs w:val="21"/>
                      <w:highlight w:val="none"/>
                      <w:lang w:val="en-US" w:eastAsia="zh-CN"/>
                    </w:rPr>
                    <w:t>日-2025年</w:t>
                  </w:r>
                  <w:r>
                    <w:rPr>
                      <w:rFonts w:hint="eastAsia" w:cs="Times New Roman"/>
                      <w:b w:val="0"/>
                      <w:bCs/>
                      <w:color w:val="auto"/>
                      <w:sz w:val="21"/>
                      <w:szCs w:val="21"/>
                      <w:highlight w:val="none"/>
                      <w:lang w:val="en-US" w:eastAsia="zh-CN"/>
                    </w:rPr>
                    <w:t>12</w:t>
                  </w:r>
                  <w:r>
                    <w:rPr>
                      <w:rFonts w:hint="eastAsia" w:ascii="Times New Roman" w:hAnsi="Times New Roman" w:eastAsia="宋体" w:cs="Times New Roman"/>
                      <w:b w:val="0"/>
                      <w:bCs/>
                      <w:color w:val="auto"/>
                      <w:sz w:val="21"/>
                      <w:szCs w:val="21"/>
                      <w:highlight w:val="none"/>
                      <w:lang w:val="en-US" w:eastAsia="zh-CN"/>
                    </w:rPr>
                    <w:t>月</w:t>
                  </w:r>
                  <w:r>
                    <w:rPr>
                      <w:rFonts w:hint="eastAsia" w:cs="Times New Roman"/>
                      <w:b w:val="0"/>
                      <w:bCs/>
                      <w:color w:val="auto"/>
                      <w:sz w:val="21"/>
                      <w:szCs w:val="21"/>
                      <w:highlight w:val="none"/>
                      <w:lang w:val="en-US" w:eastAsia="zh-CN"/>
                    </w:rPr>
                    <w:t>4</w:t>
                  </w:r>
                  <w:r>
                    <w:rPr>
                      <w:rFonts w:hint="eastAsia" w:ascii="Times New Roman" w:hAnsi="Times New Roman" w:eastAsia="宋体" w:cs="Times New Roman"/>
                      <w:b w:val="0"/>
                      <w:bCs/>
                      <w:color w:val="auto"/>
                      <w:sz w:val="21"/>
                      <w:szCs w:val="21"/>
                      <w:highlight w:val="none"/>
                      <w:lang w:val="en-US" w:eastAsia="zh-CN"/>
                    </w:rPr>
                    <w:t>日</w:t>
                  </w:r>
                </w:p>
              </w:tc>
              <w:tc>
                <w:tcPr>
                  <w:tcW w:w="978" w:type="dxa"/>
                  <w:noWrap w:val="0"/>
                  <w:vAlign w:val="center"/>
                </w:tcPr>
                <w:p w14:paraId="237B12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E</w:t>
                  </w:r>
                </w:p>
              </w:tc>
              <w:tc>
                <w:tcPr>
                  <w:tcW w:w="1127" w:type="dxa"/>
                  <w:noWrap w:val="0"/>
                  <w:vAlign w:val="center"/>
                </w:tcPr>
                <w:p w14:paraId="5067B9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color w:val="auto"/>
                      <w:sz w:val="21"/>
                      <w:szCs w:val="21"/>
                      <w:highlight w:val="none"/>
                      <w:vertAlign w:val="baseline"/>
                      <w:lang w:val="en-US" w:eastAsia="zh-CN"/>
                    </w:rPr>
                  </w:pPr>
                  <w:r>
                    <w:rPr>
                      <w:rFonts w:hint="eastAsia" w:eastAsia="宋体"/>
                      <w:b w:val="0"/>
                      <w:bCs/>
                      <w:color w:val="auto"/>
                      <w:sz w:val="21"/>
                      <w:szCs w:val="21"/>
                      <w:highlight w:val="none"/>
                      <w:vertAlign w:val="baseline"/>
                      <w:lang w:val="en-US" w:eastAsia="zh-CN"/>
                    </w:rPr>
                    <w:t>845m</w:t>
                  </w:r>
                </w:p>
              </w:tc>
            </w:tr>
          </w:tbl>
          <w:p w14:paraId="42F47322">
            <w:pPr>
              <w:ind w:firstLine="0" w:firstLineChars="0"/>
              <w:jc w:val="center"/>
              <w:rPr>
                <w:rFonts w:hint="default" w:eastAsia="宋体"/>
                <w:b/>
                <w:color w:val="auto"/>
                <w:highlight w:val="none"/>
              </w:rPr>
            </w:pPr>
            <w:r>
              <w:rPr>
                <w:rFonts w:hint="eastAsia" w:eastAsia="宋体"/>
                <w:b/>
                <w:color w:val="auto"/>
                <w:highlight w:val="none"/>
                <w:lang w:val="en-US" w:eastAsia="zh-CN"/>
              </w:rPr>
              <w:t>表3-2其他污染物</w:t>
            </w:r>
            <w:r>
              <w:rPr>
                <w:rFonts w:hint="default" w:eastAsia="宋体"/>
                <w:b/>
                <w:color w:val="auto"/>
                <w:highlight w:val="none"/>
              </w:rPr>
              <w:t>环境质量现状（监测结果）一览表</w:t>
            </w:r>
          </w:p>
          <w:tbl>
            <w:tblPr>
              <w:tblStyle w:val="26"/>
              <w:tblW w:w="7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788"/>
              <w:gridCol w:w="788"/>
              <w:gridCol w:w="788"/>
              <w:gridCol w:w="789"/>
              <w:gridCol w:w="789"/>
              <w:gridCol w:w="789"/>
              <w:gridCol w:w="789"/>
              <w:gridCol w:w="789"/>
              <w:gridCol w:w="789"/>
            </w:tblGrid>
            <w:tr w14:paraId="7CB0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88" w:type="dxa"/>
                  <w:vMerge w:val="restart"/>
                  <w:noWrap w:val="0"/>
                  <w:vAlign w:val="center"/>
                </w:tcPr>
                <w:p w14:paraId="78EE1C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监测点位</w:t>
                  </w:r>
                </w:p>
              </w:tc>
              <w:tc>
                <w:tcPr>
                  <w:tcW w:w="1576" w:type="dxa"/>
                  <w:gridSpan w:val="2"/>
                  <w:noWrap w:val="0"/>
                  <w:vAlign w:val="center"/>
                </w:tcPr>
                <w:p w14:paraId="751D0E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Style w:val="32"/>
                      <w:rFonts w:hint="eastAsia" w:eastAsia="宋体"/>
                      <w:color w:val="auto"/>
                      <w:kern w:val="0"/>
                      <w:highlight w:val="none"/>
                      <w:vertAlign w:val="baseline"/>
                      <w:lang w:val="en-US" w:eastAsia="zh-CN"/>
                    </w:rPr>
                    <w:t>监测点坐标</w:t>
                  </w:r>
                </w:p>
              </w:tc>
              <w:tc>
                <w:tcPr>
                  <w:tcW w:w="788" w:type="dxa"/>
                  <w:vMerge w:val="restart"/>
                  <w:noWrap w:val="0"/>
                  <w:vAlign w:val="center"/>
                </w:tcPr>
                <w:p w14:paraId="49C2F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污染物</w:t>
                  </w:r>
                </w:p>
              </w:tc>
              <w:tc>
                <w:tcPr>
                  <w:tcW w:w="789" w:type="dxa"/>
                  <w:vMerge w:val="restart"/>
                  <w:noWrap w:val="0"/>
                  <w:vAlign w:val="center"/>
                </w:tcPr>
                <w:p w14:paraId="67CFF2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平均时间</w:t>
                  </w:r>
                </w:p>
              </w:tc>
              <w:tc>
                <w:tcPr>
                  <w:tcW w:w="789" w:type="dxa"/>
                  <w:vMerge w:val="restart"/>
                  <w:noWrap w:val="0"/>
                  <w:vAlign w:val="center"/>
                </w:tcPr>
                <w:p w14:paraId="2A1502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评价标准/（</w:t>
                  </w:r>
                  <w:r>
                    <w:rPr>
                      <w:color w:val="auto"/>
                      <w:sz w:val="21"/>
                      <w:szCs w:val="21"/>
                      <w:highlight w:val="none"/>
                    </w:rPr>
                    <w:t>μg/</w:t>
                  </w:r>
                  <w:r>
                    <w:rPr>
                      <w:rFonts w:hint="eastAsia"/>
                      <w:color w:val="auto"/>
                      <w:sz w:val="21"/>
                      <w:szCs w:val="21"/>
                      <w:highlight w:val="none"/>
                      <w:lang w:eastAsia="zh-CN"/>
                    </w:rPr>
                    <w:t>m³</w:t>
                  </w:r>
                  <w:r>
                    <w:rPr>
                      <w:rStyle w:val="32"/>
                      <w:rFonts w:hint="eastAsia" w:eastAsia="宋体"/>
                      <w:color w:val="auto"/>
                      <w:kern w:val="0"/>
                      <w:highlight w:val="none"/>
                      <w:vertAlign w:val="baseline"/>
                      <w:lang w:val="en-US" w:eastAsia="zh-CN"/>
                    </w:rPr>
                    <w:t>）</w:t>
                  </w:r>
                </w:p>
              </w:tc>
              <w:tc>
                <w:tcPr>
                  <w:tcW w:w="789" w:type="dxa"/>
                  <w:vMerge w:val="restart"/>
                  <w:noWrap w:val="0"/>
                  <w:vAlign w:val="center"/>
                </w:tcPr>
                <w:p w14:paraId="18447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监测浓度范围/（</w:t>
                  </w:r>
                  <w:r>
                    <w:rPr>
                      <w:rStyle w:val="32"/>
                      <w:rFonts w:hint="eastAsia"/>
                      <w:color w:val="auto"/>
                      <w:kern w:val="0"/>
                      <w:highlight w:val="none"/>
                      <w:vertAlign w:val="baseline"/>
                      <w:lang w:val="en-US" w:eastAsia="zh-CN"/>
                    </w:rPr>
                    <w:t>μ</w:t>
                  </w:r>
                  <w:r>
                    <w:rPr>
                      <w:rStyle w:val="32"/>
                      <w:rFonts w:hint="eastAsia" w:eastAsia="宋体"/>
                      <w:color w:val="auto"/>
                      <w:kern w:val="0"/>
                      <w:highlight w:val="none"/>
                      <w:vertAlign w:val="baseline"/>
                      <w:lang w:val="en-US" w:eastAsia="zh-CN"/>
                    </w:rPr>
                    <w:t>g/m³）</w:t>
                  </w:r>
                </w:p>
              </w:tc>
              <w:tc>
                <w:tcPr>
                  <w:tcW w:w="789" w:type="dxa"/>
                  <w:vMerge w:val="restart"/>
                  <w:noWrap w:val="0"/>
                  <w:vAlign w:val="center"/>
                </w:tcPr>
                <w:p w14:paraId="6E2E65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最大浓度占标率%</w:t>
                  </w:r>
                </w:p>
              </w:tc>
              <w:tc>
                <w:tcPr>
                  <w:tcW w:w="789" w:type="dxa"/>
                  <w:vMerge w:val="restart"/>
                  <w:noWrap w:val="0"/>
                  <w:vAlign w:val="center"/>
                </w:tcPr>
                <w:p w14:paraId="42048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超标率</w:t>
                  </w:r>
                </w:p>
              </w:tc>
              <w:tc>
                <w:tcPr>
                  <w:tcW w:w="789" w:type="dxa"/>
                  <w:vMerge w:val="restart"/>
                  <w:noWrap w:val="0"/>
                  <w:vAlign w:val="center"/>
                </w:tcPr>
                <w:p w14:paraId="6551CF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达标情况</w:t>
                  </w:r>
                </w:p>
              </w:tc>
            </w:tr>
            <w:tr w14:paraId="1F45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88" w:type="dxa"/>
                  <w:vMerge w:val="continue"/>
                  <w:noWrap w:val="0"/>
                  <w:vAlign w:val="center"/>
                </w:tcPr>
                <w:p w14:paraId="1AE34A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rPr>
                  </w:pPr>
                </w:p>
              </w:tc>
              <w:tc>
                <w:tcPr>
                  <w:tcW w:w="788" w:type="dxa"/>
                  <w:noWrap w:val="0"/>
                  <w:vAlign w:val="center"/>
                </w:tcPr>
                <w:p w14:paraId="51C7C5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Fonts w:hint="eastAsia"/>
                      <w:b w:val="0"/>
                      <w:bCs/>
                      <w:color w:val="auto"/>
                      <w:sz w:val="21"/>
                      <w:szCs w:val="21"/>
                      <w:highlight w:val="none"/>
                      <w:vertAlign w:val="baseline"/>
                      <w:lang w:val="en-US" w:eastAsia="zh-CN"/>
                    </w:rPr>
                    <w:t>X</w:t>
                  </w:r>
                </w:p>
              </w:tc>
              <w:tc>
                <w:tcPr>
                  <w:tcW w:w="788" w:type="dxa"/>
                  <w:noWrap w:val="0"/>
                  <w:vAlign w:val="center"/>
                </w:tcPr>
                <w:p w14:paraId="45A638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Fonts w:hint="eastAsia" w:eastAsia="宋体"/>
                      <w:b w:val="0"/>
                      <w:bCs/>
                      <w:color w:val="auto"/>
                      <w:sz w:val="21"/>
                      <w:szCs w:val="21"/>
                      <w:highlight w:val="none"/>
                      <w:vertAlign w:val="baseline"/>
                      <w:lang w:val="en-US" w:eastAsia="zh-CN"/>
                    </w:rPr>
                    <w:t>Y</w:t>
                  </w:r>
                </w:p>
              </w:tc>
              <w:tc>
                <w:tcPr>
                  <w:tcW w:w="788" w:type="dxa"/>
                  <w:vMerge w:val="continue"/>
                  <w:noWrap w:val="0"/>
                  <w:vAlign w:val="center"/>
                </w:tcPr>
                <w:p w14:paraId="0DF5C8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2075D6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249523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15B7A4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0FF3E0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38D287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c>
                <w:tcPr>
                  <w:tcW w:w="789" w:type="dxa"/>
                  <w:vMerge w:val="continue"/>
                  <w:noWrap w:val="0"/>
                  <w:vAlign w:val="center"/>
                </w:tcPr>
                <w:p w14:paraId="3044CB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p>
              </w:tc>
            </w:tr>
            <w:tr w14:paraId="78CF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noWrap w:val="0"/>
                  <w:vAlign w:val="center"/>
                </w:tcPr>
                <w:p w14:paraId="0EF763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Fonts w:hint="eastAsia" w:eastAsia="宋体"/>
                      <w:b w:val="0"/>
                      <w:bCs/>
                      <w:color w:val="auto"/>
                      <w:sz w:val="21"/>
                      <w:szCs w:val="21"/>
                      <w:highlight w:val="none"/>
                      <w:vertAlign w:val="baseline"/>
                      <w:lang w:val="en-US" w:eastAsia="zh-CN"/>
                    </w:rPr>
                    <w:t>G1</w:t>
                  </w:r>
                </w:p>
              </w:tc>
              <w:tc>
                <w:tcPr>
                  <w:tcW w:w="788" w:type="dxa"/>
                  <w:noWrap w:val="0"/>
                  <w:vAlign w:val="center"/>
                </w:tcPr>
                <w:p w14:paraId="4C4749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Fonts w:hint="default" w:eastAsia="宋体"/>
                      <w:b w:val="0"/>
                      <w:bCs/>
                      <w:color w:val="auto"/>
                      <w:sz w:val="21"/>
                      <w:szCs w:val="21"/>
                      <w:highlight w:val="none"/>
                      <w:vertAlign w:val="baseline"/>
                      <w:lang w:val="en-US" w:eastAsia="zh-CN"/>
                    </w:rPr>
                    <w:t>110.609</w:t>
                  </w:r>
                  <w:r>
                    <w:rPr>
                      <w:rFonts w:hint="eastAsia"/>
                      <w:b w:val="0"/>
                      <w:bCs/>
                      <w:color w:val="auto"/>
                      <w:sz w:val="21"/>
                      <w:szCs w:val="21"/>
                      <w:highlight w:val="none"/>
                      <w:vertAlign w:val="baseline"/>
                      <w:lang w:val="en-US" w:eastAsia="zh-CN"/>
                    </w:rPr>
                    <w:t>°</w:t>
                  </w:r>
                </w:p>
              </w:tc>
              <w:tc>
                <w:tcPr>
                  <w:tcW w:w="788" w:type="dxa"/>
                  <w:noWrap w:val="0"/>
                  <w:vAlign w:val="center"/>
                </w:tcPr>
                <w:p w14:paraId="22F8C0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Fonts w:hint="default" w:eastAsia="宋体"/>
                      <w:b w:val="0"/>
                      <w:bCs/>
                      <w:color w:val="auto"/>
                      <w:sz w:val="21"/>
                      <w:szCs w:val="21"/>
                      <w:highlight w:val="none"/>
                      <w:vertAlign w:val="baseline"/>
                      <w:lang w:val="en-US" w:eastAsia="zh-CN"/>
                    </w:rPr>
                    <w:t>39.365</w:t>
                  </w:r>
                  <w:r>
                    <w:rPr>
                      <w:rFonts w:hint="eastAsia" w:eastAsia="宋体"/>
                      <w:b w:val="0"/>
                      <w:bCs/>
                      <w:color w:val="auto"/>
                      <w:sz w:val="21"/>
                      <w:szCs w:val="21"/>
                      <w:highlight w:val="none"/>
                      <w:vertAlign w:val="baseline"/>
                      <w:lang w:val="en-US" w:eastAsia="zh-CN"/>
                    </w:rPr>
                    <w:t>°</w:t>
                  </w:r>
                </w:p>
              </w:tc>
              <w:tc>
                <w:tcPr>
                  <w:tcW w:w="788" w:type="dxa"/>
                  <w:noWrap w:val="0"/>
                  <w:vAlign w:val="center"/>
                </w:tcPr>
                <w:p w14:paraId="461C03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color w:val="auto"/>
                      <w:kern w:val="0"/>
                      <w:highlight w:val="none"/>
                      <w:vertAlign w:val="baseline"/>
                      <w:lang w:val="en-US" w:eastAsia="zh-CN"/>
                    </w:rPr>
                    <w:t>TSP</w:t>
                  </w:r>
                </w:p>
              </w:tc>
              <w:tc>
                <w:tcPr>
                  <w:tcW w:w="789" w:type="dxa"/>
                  <w:noWrap w:val="0"/>
                  <w:vAlign w:val="center"/>
                </w:tcPr>
                <w:p w14:paraId="6F76F2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color w:val="auto"/>
                      <w:kern w:val="0"/>
                      <w:highlight w:val="none"/>
                      <w:vertAlign w:val="baseline"/>
                    </w:rPr>
                  </w:pPr>
                  <w:r>
                    <w:rPr>
                      <w:rStyle w:val="32"/>
                      <w:rFonts w:hint="eastAsia"/>
                      <w:color w:val="auto"/>
                      <w:kern w:val="0"/>
                      <w:highlight w:val="none"/>
                      <w:vertAlign w:val="baseline"/>
                      <w:lang w:eastAsia="zh-CN"/>
                    </w:rPr>
                    <w:t>24h</w:t>
                  </w:r>
                  <w:r>
                    <w:rPr>
                      <w:rStyle w:val="32"/>
                      <w:rFonts w:hint="eastAsia"/>
                      <w:color w:val="auto"/>
                      <w:kern w:val="0"/>
                      <w:highlight w:val="none"/>
                      <w:vertAlign w:val="baseline"/>
                    </w:rPr>
                    <w:t>平均浓度</w:t>
                  </w:r>
                </w:p>
              </w:tc>
              <w:tc>
                <w:tcPr>
                  <w:tcW w:w="789" w:type="dxa"/>
                  <w:noWrap w:val="0"/>
                  <w:vAlign w:val="center"/>
                </w:tcPr>
                <w:p w14:paraId="4C6F14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300</w:t>
                  </w:r>
                </w:p>
              </w:tc>
              <w:tc>
                <w:tcPr>
                  <w:tcW w:w="789" w:type="dxa"/>
                  <w:noWrap w:val="0"/>
                  <w:vAlign w:val="center"/>
                </w:tcPr>
                <w:p w14:paraId="1B8290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color w:val="auto"/>
                      <w:kern w:val="0"/>
                      <w:highlight w:val="none"/>
                      <w:vertAlign w:val="baseline"/>
                      <w:lang w:val="en-US" w:eastAsia="zh-CN"/>
                    </w:rPr>
                    <w:t>205-239</w:t>
                  </w:r>
                </w:p>
              </w:tc>
              <w:tc>
                <w:tcPr>
                  <w:tcW w:w="789" w:type="dxa"/>
                  <w:noWrap w:val="0"/>
                  <w:vAlign w:val="center"/>
                </w:tcPr>
                <w:p w14:paraId="68F947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default" w:eastAsia="宋体"/>
                      <w:color w:val="auto"/>
                      <w:kern w:val="0"/>
                      <w:highlight w:val="none"/>
                      <w:vertAlign w:val="baseline"/>
                      <w:lang w:val="en-US" w:eastAsia="zh-CN"/>
                    </w:rPr>
                  </w:pPr>
                  <w:r>
                    <w:rPr>
                      <w:rStyle w:val="32"/>
                      <w:rFonts w:hint="eastAsia"/>
                      <w:color w:val="auto"/>
                      <w:kern w:val="0"/>
                      <w:highlight w:val="none"/>
                      <w:vertAlign w:val="baseline"/>
                      <w:lang w:val="en-US" w:eastAsia="zh-CN"/>
                    </w:rPr>
                    <w:t>79.67</w:t>
                  </w:r>
                </w:p>
              </w:tc>
              <w:tc>
                <w:tcPr>
                  <w:tcW w:w="789" w:type="dxa"/>
                  <w:noWrap w:val="0"/>
                  <w:vAlign w:val="center"/>
                </w:tcPr>
                <w:p w14:paraId="350B0F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0</w:t>
                  </w:r>
                </w:p>
              </w:tc>
              <w:tc>
                <w:tcPr>
                  <w:tcW w:w="789" w:type="dxa"/>
                  <w:noWrap w:val="0"/>
                  <w:vAlign w:val="center"/>
                </w:tcPr>
                <w:p w14:paraId="089017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Style w:val="32"/>
                      <w:rFonts w:hint="eastAsia" w:eastAsia="宋体"/>
                      <w:color w:val="auto"/>
                      <w:kern w:val="0"/>
                      <w:highlight w:val="none"/>
                      <w:vertAlign w:val="baseline"/>
                      <w:lang w:val="en-US" w:eastAsia="zh-CN"/>
                    </w:rPr>
                  </w:pPr>
                  <w:r>
                    <w:rPr>
                      <w:rStyle w:val="32"/>
                      <w:rFonts w:hint="eastAsia" w:eastAsia="宋体"/>
                      <w:color w:val="auto"/>
                      <w:kern w:val="0"/>
                      <w:highlight w:val="none"/>
                      <w:vertAlign w:val="baseline"/>
                      <w:lang w:val="en-US" w:eastAsia="zh-CN"/>
                    </w:rPr>
                    <w:t>达标</w:t>
                  </w:r>
                </w:p>
              </w:tc>
            </w:tr>
          </w:tbl>
          <w:p w14:paraId="0D2F9612">
            <w:pPr>
              <w:bidi w:val="0"/>
              <w:rPr>
                <w:color w:val="auto"/>
                <w:highlight w:val="none"/>
              </w:rPr>
            </w:pPr>
            <w:r>
              <w:rPr>
                <w:color w:val="auto"/>
                <w:highlight w:val="none"/>
              </w:rPr>
              <w:t>由以上分析可知，项目区域特征污染物TSP</w:t>
            </w:r>
            <w:r>
              <w:rPr>
                <w:rFonts w:hint="eastAsia"/>
                <w:color w:val="auto"/>
                <w:highlight w:val="none"/>
                <w:lang w:val="en-US" w:eastAsia="zh-CN"/>
              </w:rPr>
              <w:t>日</w:t>
            </w:r>
            <w:r>
              <w:rPr>
                <w:color w:val="auto"/>
                <w:highlight w:val="none"/>
              </w:rPr>
              <w:t>平均浓度值满足</w:t>
            </w:r>
            <w:r>
              <w:rPr>
                <w:rFonts w:hint="eastAsia"/>
                <w:color w:val="auto"/>
                <w:highlight w:val="none"/>
                <w:lang w:val="en-US" w:eastAsia="zh-CN"/>
              </w:rPr>
              <w:t>《环境空气质量标准》（GB3095-2026）表2环境空气污染物其他项目浓度限值二级浓度限值要求</w:t>
            </w:r>
            <w:r>
              <w:rPr>
                <w:color w:val="auto"/>
                <w:highlight w:val="none"/>
              </w:rPr>
              <w:t>。</w:t>
            </w:r>
          </w:p>
          <w:p w14:paraId="3827C674">
            <w:pPr>
              <w:bidi w:val="0"/>
              <w:rPr>
                <w:b/>
                <w:bCs/>
                <w:color w:val="auto"/>
                <w:highlight w:val="none"/>
              </w:rPr>
            </w:pPr>
            <w:r>
              <w:rPr>
                <w:rFonts w:hint="eastAsia"/>
                <w:b/>
                <w:bCs/>
                <w:color w:val="auto"/>
                <w:highlight w:val="none"/>
                <w:lang w:eastAsia="zh-CN"/>
              </w:rPr>
              <w:t>2.</w:t>
            </w:r>
            <w:r>
              <w:rPr>
                <w:b/>
                <w:bCs/>
                <w:color w:val="auto"/>
                <w:highlight w:val="none"/>
              </w:rPr>
              <w:t>声环境质量现状</w:t>
            </w:r>
          </w:p>
          <w:p w14:paraId="21B93FEF">
            <w:pPr>
              <w:bidi w:val="0"/>
              <w:rPr>
                <w:color w:val="auto"/>
                <w:highlight w:val="none"/>
              </w:rPr>
            </w:pPr>
            <w:r>
              <w:rPr>
                <w:color w:val="auto"/>
                <w:highlight w:val="none"/>
              </w:rPr>
              <w:t>根据《建设项目环境影响报告表编制技术指南（污染影响类）》（试行），厂界外周边50米范围内存在声环境保护目标的建设项目，应监测保护目标声环境质量现状并评价达标情况。根据现场踏勘本项目厂界范围50米范围内无声环境保护目标，因此本次评价不进行声环境质量现状监测。</w:t>
            </w:r>
          </w:p>
          <w:p w14:paraId="2D2D4653">
            <w:pPr>
              <w:bidi w:val="0"/>
              <w:rPr>
                <w:b/>
                <w:bCs/>
                <w:color w:val="auto"/>
                <w:highlight w:val="none"/>
              </w:rPr>
            </w:pPr>
            <w:r>
              <w:rPr>
                <w:rFonts w:hint="eastAsia"/>
                <w:b/>
                <w:bCs/>
                <w:color w:val="auto"/>
                <w:highlight w:val="none"/>
                <w:lang w:eastAsia="zh-CN"/>
              </w:rPr>
              <w:t>3.</w:t>
            </w:r>
            <w:r>
              <w:rPr>
                <w:b/>
                <w:bCs/>
                <w:color w:val="auto"/>
                <w:highlight w:val="none"/>
              </w:rPr>
              <w:t>地下水环境</w:t>
            </w:r>
            <w:r>
              <w:rPr>
                <w:rFonts w:hint="eastAsia"/>
                <w:b/>
                <w:bCs/>
                <w:color w:val="auto"/>
                <w:highlight w:val="none"/>
                <w:lang w:val="en-US" w:eastAsia="zh-CN"/>
              </w:rPr>
              <w:t>质量</w:t>
            </w:r>
            <w:r>
              <w:rPr>
                <w:b/>
                <w:bCs/>
                <w:color w:val="auto"/>
                <w:highlight w:val="none"/>
              </w:rPr>
              <w:t>现状</w:t>
            </w:r>
          </w:p>
          <w:p w14:paraId="2A9957F4">
            <w:pPr>
              <w:bidi w:val="0"/>
              <w:rPr>
                <w:rFonts w:hint="default"/>
                <w:color w:val="auto"/>
                <w:highlight w:val="none"/>
                <w:lang w:val="en-US" w:eastAsia="zh-CN"/>
              </w:rPr>
            </w:pPr>
            <w:r>
              <w:rPr>
                <w:rFonts w:hint="eastAsia"/>
                <w:color w:val="auto"/>
                <w:highlight w:val="none"/>
                <w:lang w:val="en-US" w:eastAsia="zh-CN"/>
              </w:rPr>
              <w:t>本项目地下水环境质量现状监测引用《内蒙古伊泰煤炭股份有限公司凯达煤矿下半年地下水检测报告》，由内蒙古城矿环境检测有限公司于2025年8月15日进行监测。引用点距离本项目WN100m，监测点位坐标为X=37467789.961，Y=4358625.047（监测井1），X=37467649.878，Y=4358639.168（监测井2），引用数据满足“项目周边5千米范围内近3年的现有监测数据”。检测结果见下表。</w:t>
            </w:r>
          </w:p>
          <w:p w14:paraId="1AB8AC08">
            <w:pPr>
              <w:bidi w:val="0"/>
              <w:ind w:left="0" w:leftChars="0" w:firstLine="0" w:firstLineChars="0"/>
              <w:jc w:val="center"/>
              <w:rPr>
                <w:rFonts w:hint="default"/>
                <w:b/>
                <w:bCs/>
                <w:color w:val="auto"/>
                <w:highlight w:val="none"/>
                <w:vertAlign w:val="baseline"/>
                <w:lang w:val="en-US" w:eastAsia="zh-CN"/>
              </w:rPr>
            </w:pPr>
            <w:r>
              <w:rPr>
                <w:rFonts w:hint="eastAsia"/>
                <w:b/>
                <w:bCs/>
                <w:color w:val="auto"/>
                <w:highlight w:val="none"/>
                <w:lang w:val="en-US" w:eastAsia="zh-CN"/>
              </w:rPr>
              <w:t>表3-3地下水检测结果一览表</w:t>
            </w:r>
          </w:p>
          <w:tbl>
            <w:tblPr>
              <w:tblStyle w:val="26"/>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2442"/>
              <w:gridCol w:w="1575"/>
              <w:gridCol w:w="1300"/>
              <w:gridCol w:w="1200"/>
              <w:gridCol w:w="823"/>
            </w:tblGrid>
            <w:tr w14:paraId="36E0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4" w:type="dxa"/>
                  <w:vAlign w:val="center"/>
                </w:tcPr>
                <w:p w14:paraId="539C6F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序号</w:t>
                  </w:r>
                </w:p>
              </w:tc>
              <w:tc>
                <w:tcPr>
                  <w:tcW w:w="2442" w:type="dxa"/>
                  <w:vAlign w:val="center"/>
                </w:tcPr>
                <w:p w14:paraId="4FA0E4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检测项目</w:t>
                  </w:r>
                </w:p>
              </w:tc>
              <w:tc>
                <w:tcPr>
                  <w:tcW w:w="1575" w:type="dxa"/>
                  <w:vAlign w:val="center"/>
                </w:tcPr>
                <w:p w14:paraId="41FBDC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监测井1（mg/L）</w:t>
                  </w:r>
                </w:p>
              </w:tc>
              <w:tc>
                <w:tcPr>
                  <w:tcW w:w="1300" w:type="dxa"/>
                  <w:vAlign w:val="center"/>
                </w:tcPr>
                <w:p w14:paraId="0E457E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监测井2（mg/L）</w:t>
                  </w:r>
                </w:p>
              </w:tc>
              <w:tc>
                <w:tcPr>
                  <w:tcW w:w="1200" w:type="dxa"/>
                  <w:vAlign w:val="center"/>
                </w:tcPr>
                <w:p w14:paraId="41C25A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标准限值</w:t>
                  </w:r>
                </w:p>
              </w:tc>
              <w:tc>
                <w:tcPr>
                  <w:tcW w:w="823" w:type="dxa"/>
                  <w:vAlign w:val="center"/>
                </w:tcPr>
                <w:p w14:paraId="5D9646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结果评价</w:t>
                  </w:r>
                </w:p>
              </w:tc>
            </w:tr>
            <w:tr w14:paraId="0F45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45D75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w:t>
                  </w:r>
                </w:p>
              </w:tc>
              <w:tc>
                <w:tcPr>
                  <w:tcW w:w="2442" w:type="dxa"/>
                  <w:vAlign w:val="center"/>
                </w:tcPr>
                <w:p w14:paraId="1500F6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pH值</w:t>
                  </w:r>
                  <w:r>
                    <w:rPr>
                      <w:rFonts w:hint="eastAsia"/>
                      <w:color w:val="auto"/>
                      <w:highlight w:val="none"/>
                      <w:lang w:eastAsia="zh-CN"/>
                    </w:rPr>
                    <w:t>（</w:t>
                  </w:r>
                  <w:r>
                    <w:rPr>
                      <w:rFonts w:hint="eastAsia"/>
                      <w:color w:val="auto"/>
                      <w:highlight w:val="none"/>
                    </w:rPr>
                    <w:t>无量纲</w:t>
                  </w:r>
                  <w:r>
                    <w:rPr>
                      <w:rFonts w:hint="eastAsia"/>
                      <w:color w:val="auto"/>
                      <w:highlight w:val="none"/>
                      <w:lang w:eastAsia="zh-CN"/>
                    </w:rPr>
                    <w:t>）</w:t>
                  </w:r>
                </w:p>
              </w:tc>
              <w:tc>
                <w:tcPr>
                  <w:tcW w:w="1575" w:type="dxa"/>
                  <w:vAlign w:val="center"/>
                </w:tcPr>
                <w:p w14:paraId="1A6D9E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7.1</w:t>
                  </w:r>
                </w:p>
              </w:tc>
              <w:tc>
                <w:tcPr>
                  <w:tcW w:w="1300" w:type="dxa"/>
                  <w:vAlign w:val="center"/>
                </w:tcPr>
                <w:p w14:paraId="3D01D9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7.0</w:t>
                  </w:r>
                </w:p>
              </w:tc>
              <w:tc>
                <w:tcPr>
                  <w:tcW w:w="1200" w:type="dxa"/>
                  <w:vAlign w:val="center"/>
                </w:tcPr>
                <w:p w14:paraId="6FF826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6.5-8.5</w:t>
                  </w:r>
                </w:p>
              </w:tc>
              <w:tc>
                <w:tcPr>
                  <w:tcW w:w="823" w:type="dxa"/>
                  <w:vAlign w:val="center"/>
                </w:tcPr>
                <w:p w14:paraId="076B94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48FA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13CEA7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w:t>
                  </w:r>
                </w:p>
              </w:tc>
              <w:tc>
                <w:tcPr>
                  <w:tcW w:w="2442" w:type="dxa"/>
                  <w:vAlign w:val="center"/>
                </w:tcPr>
                <w:p w14:paraId="63037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总硬度</w:t>
                  </w:r>
                  <w:r>
                    <w:rPr>
                      <w:rFonts w:hint="eastAsia"/>
                      <w:color w:val="auto"/>
                      <w:highlight w:val="none"/>
                      <w:lang w:eastAsia="zh-CN"/>
                    </w:rPr>
                    <w:t>（</w:t>
                  </w:r>
                  <w:r>
                    <w:rPr>
                      <w:rFonts w:hint="eastAsia"/>
                      <w:color w:val="auto"/>
                      <w:highlight w:val="none"/>
                    </w:rPr>
                    <w:t>以CaCO</w:t>
                  </w:r>
                  <w:r>
                    <w:rPr>
                      <w:rFonts w:hint="eastAsia"/>
                      <w:color w:val="auto"/>
                      <w:highlight w:val="none"/>
                      <w:vertAlign w:val="subscript"/>
                    </w:rPr>
                    <w:t>3</w:t>
                  </w:r>
                  <w:r>
                    <w:rPr>
                      <w:rFonts w:hint="eastAsia"/>
                      <w:color w:val="auto"/>
                      <w:highlight w:val="none"/>
                    </w:rPr>
                    <w:t>计</w:t>
                  </w:r>
                  <w:r>
                    <w:rPr>
                      <w:rFonts w:hint="eastAsia"/>
                      <w:color w:val="auto"/>
                      <w:highlight w:val="none"/>
                      <w:lang w:eastAsia="zh-CN"/>
                    </w:rPr>
                    <w:t>）</w:t>
                  </w:r>
                </w:p>
              </w:tc>
              <w:tc>
                <w:tcPr>
                  <w:tcW w:w="1575" w:type="dxa"/>
                  <w:vAlign w:val="center"/>
                </w:tcPr>
                <w:p w14:paraId="117CEE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170</w:t>
                  </w:r>
                </w:p>
              </w:tc>
              <w:tc>
                <w:tcPr>
                  <w:tcW w:w="1300" w:type="dxa"/>
                  <w:vAlign w:val="center"/>
                </w:tcPr>
                <w:p w14:paraId="05CD5B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369</w:t>
                  </w:r>
                </w:p>
              </w:tc>
              <w:tc>
                <w:tcPr>
                  <w:tcW w:w="1200" w:type="dxa"/>
                  <w:vAlign w:val="center"/>
                </w:tcPr>
                <w:p w14:paraId="639263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450</w:t>
                  </w:r>
                </w:p>
              </w:tc>
              <w:tc>
                <w:tcPr>
                  <w:tcW w:w="823" w:type="dxa"/>
                  <w:vAlign w:val="center"/>
                </w:tcPr>
                <w:p w14:paraId="39A8FE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6113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D9B57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w:t>
                  </w:r>
                </w:p>
              </w:tc>
              <w:tc>
                <w:tcPr>
                  <w:tcW w:w="2442" w:type="dxa"/>
                  <w:vAlign w:val="center"/>
                </w:tcPr>
                <w:p w14:paraId="073E1C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挥发酚</w:t>
                  </w:r>
                  <w:r>
                    <w:rPr>
                      <w:rFonts w:hint="eastAsia"/>
                      <w:color w:val="auto"/>
                      <w:highlight w:val="none"/>
                      <w:lang w:eastAsia="zh-CN"/>
                    </w:rPr>
                    <w:t>（</w:t>
                  </w:r>
                  <w:r>
                    <w:rPr>
                      <w:rFonts w:hint="eastAsia"/>
                      <w:color w:val="auto"/>
                      <w:highlight w:val="none"/>
                    </w:rPr>
                    <w:t>以苯酚计</w:t>
                  </w:r>
                  <w:r>
                    <w:rPr>
                      <w:rFonts w:hint="eastAsia"/>
                      <w:color w:val="auto"/>
                      <w:highlight w:val="none"/>
                      <w:lang w:eastAsia="zh-CN"/>
                    </w:rPr>
                    <w:t>）</w:t>
                  </w:r>
                </w:p>
              </w:tc>
              <w:tc>
                <w:tcPr>
                  <w:tcW w:w="1575" w:type="dxa"/>
                  <w:vAlign w:val="center"/>
                </w:tcPr>
                <w:p w14:paraId="1D1646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0.0003L</w:t>
                  </w:r>
                </w:p>
              </w:tc>
              <w:tc>
                <w:tcPr>
                  <w:tcW w:w="1300" w:type="dxa"/>
                  <w:vAlign w:val="center"/>
                </w:tcPr>
                <w:p w14:paraId="4CDB4E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0.0003L</w:t>
                  </w:r>
                </w:p>
              </w:tc>
              <w:tc>
                <w:tcPr>
                  <w:tcW w:w="1200" w:type="dxa"/>
                  <w:vAlign w:val="center"/>
                </w:tcPr>
                <w:p w14:paraId="5D9AC4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0.002</w:t>
                  </w:r>
                </w:p>
              </w:tc>
              <w:tc>
                <w:tcPr>
                  <w:tcW w:w="823" w:type="dxa"/>
                  <w:vAlign w:val="center"/>
                </w:tcPr>
                <w:p w14:paraId="656839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790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CE12F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4</w:t>
                  </w:r>
                </w:p>
              </w:tc>
              <w:tc>
                <w:tcPr>
                  <w:tcW w:w="2442" w:type="dxa"/>
                  <w:vAlign w:val="center"/>
                </w:tcPr>
                <w:p w14:paraId="7A9DF6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耗氧量</w:t>
                  </w:r>
                  <w:r>
                    <w:rPr>
                      <w:rFonts w:hint="eastAsia"/>
                      <w:color w:val="auto"/>
                      <w:highlight w:val="none"/>
                      <w:lang w:eastAsia="zh-CN"/>
                    </w:rPr>
                    <w:t>（</w:t>
                  </w:r>
                  <w:r>
                    <w:rPr>
                      <w:rFonts w:hint="eastAsia"/>
                      <w:color w:val="auto"/>
                      <w:highlight w:val="none"/>
                    </w:rPr>
                    <w:t>CODMm法，以O</w:t>
                  </w:r>
                  <w:r>
                    <w:rPr>
                      <w:rFonts w:hint="eastAsia"/>
                      <w:color w:val="auto"/>
                      <w:highlight w:val="none"/>
                      <w:vertAlign w:val="subscript"/>
                    </w:rPr>
                    <w:t>2</w:t>
                  </w:r>
                  <w:r>
                    <w:rPr>
                      <w:rFonts w:hint="eastAsia"/>
                      <w:color w:val="auto"/>
                      <w:highlight w:val="none"/>
                    </w:rPr>
                    <w:t>计</w:t>
                  </w:r>
                  <w:r>
                    <w:rPr>
                      <w:rFonts w:hint="eastAsia"/>
                      <w:color w:val="auto"/>
                      <w:highlight w:val="none"/>
                      <w:lang w:eastAsia="zh-CN"/>
                    </w:rPr>
                    <w:t>）</w:t>
                  </w:r>
                </w:p>
              </w:tc>
              <w:tc>
                <w:tcPr>
                  <w:tcW w:w="1575" w:type="dxa"/>
                  <w:vAlign w:val="center"/>
                </w:tcPr>
                <w:p w14:paraId="050161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0.6</w:t>
                  </w:r>
                </w:p>
              </w:tc>
              <w:tc>
                <w:tcPr>
                  <w:tcW w:w="1300" w:type="dxa"/>
                  <w:vAlign w:val="center"/>
                </w:tcPr>
                <w:p w14:paraId="4D3C8E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0.6</w:t>
                  </w:r>
                </w:p>
              </w:tc>
              <w:tc>
                <w:tcPr>
                  <w:tcW w:w="1200" w:type="dxa"/>
                  <w:vAlign w:val="center"/>
                </w:tcPr>
                <w:p w14:paraId="7291AC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w:t>
                  </w:r>
                </w:p>
              </w:tc>
              <w:tc>
                <w:tcPr>
                  <w:tcW w:w="823" w:type="dxa"/>
                  <w:vAlign w:val="center"/>
                </w:tcPr>
                <w:p w14:paraId="3831E6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1939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6069FE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5</w:t>
                  </w:r>
                </w:p>
              </w:tc>
              <w:tc>
                <w:tcPr>
                  <w:tcW w:w="2442" w:type="dxa"/>
                  <w:vAlign w:val="center"/>
                </w:tcPr>
                <w:p w14:paraId="6B68FF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eastAsia="zh-CN"/>
                    </w:rPr>
                  </w:pPr>
                  <w:r>
                    <w:rPr>
                      <w:rFonts w:hint="eastAsia"/>
                      <w:color w:val="auto"/>
                      <w:highlight w:val="none"/>
                    </w:rPr>
                    <w:t>氮</w:t>
                  </w:r>
                  <w:r>
                    <w:rPr>
                      <w:rFonts w:hint="eastAsia"/>
                      <w:color w:val="auto"/>
                      <w:highlight w:val="none"/>
                      <w:lang w:eastAsia="zh-CN"/>
                    </w:rPr>
                    <w:t>（</w:t>
                  </w:r>
                  <w:r>
                    <w:rPr>
                      <w:rFonts w:hint="eastAsia"/>
                      <w:color w:val="auto"/>
                      <w:highlight w:val="none"/>
                    </w:rPr>
                    <w:t>以N计</w:t>
                  </w:r>
                  <w:r>
                    <w:rPr>
                      <w:rFonts w:hint="eastAsia"/>
                      <w:color w:val="auto"/>
                      <w:highlight w:val="none"/>
                      <w:lang w:eastAsia="zh-CN"/>
                    </w:rPr>
                    <w:t>）</w:t>
                  </w:r>
                </w:p>
              </w:tc>
              <w:tc>
                <w:tcPr>
                  <w:tcW w:w="1575" w:type="dxa"/>
                  <w:vAlign w:val="center"/>
                </w:tcPr>
                <w:p w14:paraId="36EA61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0.025L</w:t>
                  </w:r>
                </w:p>
              </w:tc>
              <w:tc>
                <w:tcPr>
                  <w:tcW w:w="1300" w:type="dxa"/>
                  <w:vAlign w:val="center"/>
                </w:tcPr>
                <w:p w14:paraId="3898AA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0.025L</w:t>
                  </w:r>
                </w:p>
              </w:tc>
              <w:tc>
                <w:tcPr>
                  <w:tcW w:w="1200" w:type="dxa"/>
                  <w:vAlign w:val="center"/>
                </w:tcPr>
                <w:p w14:paraId="588C14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0.50</w:t>
                  </w:r>
                </w:p>
              </w:tc>
              <w:tc>
                <w:tcPr>
                  <w:tcW w:w="823" w:type="dxa"/>
                  <w:vAlign w:val="center"/>
                </w:tcPr>
                <w:p w14:paraId="5861DF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51D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31C9F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w:t>
                  </w:r>
                </w:p>
              </w:tc>
              <w:tc>
                <w:tcPr>
                  <w:tcW w:w="2442" w:type="dxa"/>
                  <w:vAlign w:val="center"/>
                </w:tcPr>
                <w:p w14:paraId="7B54C1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eastAsia="zh-CN"/>
                    </w:rPr>
                  </w:pPr>
                  <w:r>
                    <w:rPr>
                      <w:rFonts w:hint="eastAsia"/>
                      <w:color w:val="auto"/>
                      <w:highlight w:val="none"/>
                    </w:rPr>
                    <w:t>总大肠菌群</w:t>
                  </w:r>
                  <w:r>
                    <w:rPr>
                      <w:rFonts w:hint="eastAsia"/>
                      <w:color w:val="auto"/>
                      <w:highlight w:val="none"/>
                      <w:lang w:eastAsia="zh-CN"/>
                    </w:rPr>
                    <w:t>（</w:t>
                  </w:r>
                  <w:r>
                    <w:rPr>
                      <w:rFonts w:hint="eastAsia"/>
                      <w:color w:val="auto"/>
                      <w:highlight w:val="none"/>
                    </w:rPr>
                    <w:t>MPN/L</w:t>
                  </w:r>
                  <w:r>
                    <w:rPr>
                      <w:rFonts w:hint="eastAsia"/>
                      <w:color w:val="auto"/>
                      <w:highlight w:val="none"/>
                      <w:lang w:eastAsia="zh-CN"/>
                    </w:rPr>
                    <w:t>）</w:t>
                  </w:r>
                </w:p>
              </w:tc>
              <w:tc>
                <w:tcPr>
                  <w:tcW w:w="1575" w:type="dxa"/>
                  <w:vAlign w:val="center"/>
                </w:tcPr>
                <w:p w14:paraId="4FFBEF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1300" w:type="dxa"/>
                  <w:vAlign w:val="center"/>
                </w:tcPr>
                <w:p w14:paraId="740EBF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1200" w:type="dxa"/>
                  <w:vAlign w:val="center"/>
                </w:tcPr>
                <w:p w14:paraId="7FF498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w:t>
                  </w:r>
                </w:p>
              </w:tc>
              <w:tc>
                <w:tcPr>
                  <w:tcW w:w="823" w:type="dxa"/>
                  <w:vAlign w:val="center"/>
                </w:tcPr>
                <w:p w14:paraId="568F88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1824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3D50FD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7</w:t>
                  </w:r>
                </w:p>
              </w:tc>
              <w:tc>
                <w:tcPr>
                  <w:tcW w:w="2442" w:type="dxa"/>
                  <w:vAlign w:val="center"/>
                </w:tcPr>
                <w:p w14:paraId="569F10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氯化物</w:t>
                  </w:r>
                </w:p>
              </w:tc>
              <w:tc>
                <w:tcPr>
                  <w:tcW w:w="1575" w:type="dxa"/>
                  <w:vAlign w:val="center"/>
                </w:tcPr>
                <w:p w14:paraId="25580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244</w:t>
                  </w:r>
                </w:p>
              </w:tc>
              <w:tc>
                <w:tcPr>
                  <w:tcW w:w="1300" w:type="dxa"/>
                  <w:vAlign w:val="center"/>
                </w:tcPr>
                <w:p w14:paraId="1B2CE4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244</w:t>
                  </w:r>
                </w:p>
              </w:tc>
              <w:tc>
                <w:tcPr>
                  <w:tcW w:w="1200" w:type="dxa"/>
                  <w:vAlign w:val="center"/>
                </w:tcPr>
                <w:p w14:paraId="273E39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250</w:t>
                  </w:r>
                </w:p>
              </w:tc>
              <w:tc>
                <w:tcPr>
                  <w:tcW w:w="823" w:type="dxa"/>
                  <w:vAlign w:val="center"/>
                </w:tcPr>
                <w:p w14:paraId="0DB96E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6926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BBD16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8</w:t>
                  </w:r>
                </w:p>
              </w:tc>
              <w:tc>
                <w:tcPr>
                  <w:tcW w:w="2442" w:type="dxa"/>
                  <w:vAlign w:val="center"/>
                </w:tcPr>
                <w:p w14:paraId="2D3E96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亚硝酸盐</w:t>
                  </w:r>
                </w:p>
              </w:tc>
              <w:tc>
                <w:tcPr>
                  <w:tcW w:w="1575" w:type="dxa"/>
                  <w:vAlign w:val="center"/>
                </w:tcPr>
                <w:p w14:paraId="250846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0.016L</w:t>
                  </w:r>
                </w:p>
              </w:tc>
              <w:tc>
                <w:tcPr>
                  <w:tcW w:w="1300" w:type="dxa"/>
                  <w:vAlign w:val="center"/>
                </w:tcPr>
                <w:p w14:paraId="239057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0.016L</w:t>
                  </w:r>
                </w:p>
              </w:tc>
              <w:tc>
                <w:tcPr>
                  <w:tcW w:w="1200" w:type="dxa"/>
                  <w:vAlign w:val="center"/>
                </w:tcPr>
                <w:p w14:paraId="669953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1.00</w:t>
                  </w:r>
                </w:p>
              </w:tc>
              <w:tc>
                <w:tcPr>
                  <w:tcW w:w="823" w:type="dxa"/>
                  <w:vAlign w:val="center"/>
                </w:tcPr>
                <w:p w14:paraId="5CC9B4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677B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20AE3A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9</w:t>
                  </w:r>
                </w:p>
              </w:tc>
              <w:tc>
                <w:tcPr>
                  <w:tcW w:w="2442" w:type="dxa"/>
                  <w:vAlign w:val="center"/>
                </w:tcPr>
                <w:p w14:paraId="299D98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eastAsia="zh-CN"/>
                    </w:rPr>
                  </w:pPr>
                  <w:r>
                    <w:rPr>
                      <w:rFonts w:hint="eastAsia"/>
                      <w:color w:val="auto"/>
                      <w:highlight w:val="none"/>
                    </w:rPr>
                    <w:t>硝酸盐</w:t>
                  </w:r>
                  <w:r>
                    <w:rPr>
                      <w:rFonts w:hint="eastAsia"/>
                      <w:color w:val="auto"/>
                      <w:highlight w:val="none"/>
                      <w:lang w:eastAsia="zh-CN"/>
                    </w:rPr>
                    <w:t>（</w:t>
                  </w:r>
                  <w:r>
                    <w:rPr>
                      <w:rFonts w:hint="eastAsia"/>
                      <w:color w:val="auto"/>
                      <w:highlight w:val="none"/>
                    </w:rPr>
                    <w:t>以N计</w:t>
                  </w:r>
                  <w:r>
                    <w:rPr>
                      <w:rFonts w:hint="eastAsia"/>
                      <w:color w:val="auto"/>
                      <w:highlight w:val="none"/>
                      <w:lang w:eastAsia="zh-CN"/>
                    </w:rPr>
                    <w:t>）</w:t>
                  </w:r>
                </w:p>
              </w:tc>
              <w:tc>
                <w:tcPr>
                  <w:tcW w:w="1575" w:type="dxa"/>
                  <w:vAlign w:val="center"/>
                </w:tcPr>
                <w:p w14:paraId="5DAFB3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0.129</w:t>
                  </w:r>
                </w:p>
              </w:tc>
              <w:tc>
                <w:tcPr>
                  <w:tcW w:w="1300" w:type="dxa"/>
                  <w:vAlign w:val="center"/>
                </w:tcPr>
                <w:p w14:paraId="2DAE95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0.156</w:t>
                  </w:r>
                </w:p>
              </w:tc>
              <w:tc>
                <w:tcPr>
                  <w:tcW w:w="1200" w:type="dxa"/>
                  <w:vAlign w:val="center"/>
                </w:tcPr>
                <w:p w14:paraId="28CC2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20.0</w:t>
                  </w:r>
                </w:p>
              </w:tc>
              <w:tc>
                <w:tcPr>
                  <w:tcW w:w="823" w:type="dxa"/>
                  <w:vAlign w:val="center"/>
                </w:tcPr>
                <w:p w14:paraId="5A216C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2C5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218E6E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2442" w:type="dxa"/>
                  <w:vAlign w:val="center"/>
                </w:tcPr>
                <w:p w14:paraId="3A5C24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氟化物</w:t>
                  </w:r>
                </w:p>
              </w:tc>
              <w:tc>
                <w:tcPr>
                  <w:tcW w:w="1575" w:type="dxa"/>
                  <w:vAlign w:val="center"/>
                </w:tcPr>
                <w:p w14:paraId="7235AF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0.940</w:t>
                  </w:r>
                </w:p>
              </w:tc>
              <w:tc>
                <w:tcPr>
                  <w:tcW w:w="1300" w:type="dxa"/>
                  <w:vAlign w:val="center"/>
                </w:tcPr>
                <w:p w14:paraId="2B7ED0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0.944</w:t>
                  </w:r>
                </w:p>
              </w:tc>
              <w:tc>
                <w:tcPr>
                  <w:tcW w:w="1200" w:type="dxa"/>
                  <w:vAlign w:val="center"/>
                </w:tcPr>
                <w:p w14:paraId="6D1ED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w:t>
                  </w:r>
                </w:p>
              </w:tc>
              <w:tc>
                <w:tcPr>
                  <w:tcW w:w="823" w:type="dxa"/>
                  <w:vAlign w:val="center"/>
                </w:tcPr>
                <w:p w14:paraId="595AED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34F6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12CB4D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11</w:t>
                  </w:r>
                </w:p>
              </w:tc>
              <w:tc>
                <w:tcPr>
                  <w:tcW w:w="2442" w:type="dxa"/>
                  <w:vAlign w:val="center"/>
                </w:tcPr>
                <w:p w14:paraId="0B87F3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硫酸盐</w:t>
                  </w:r>
                </w:p>
              </w:tc>
              <w:tc>
                <w:tcPr>
                  <w:tcW w:w="1575" w:type="dxa"/>
                  <w:vAlign w:val="center"/>
                </w:tcPr>
                <w:p w14:paraId="7B1DC5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198</w:t>
                  </w:r>
                </w:p>
              </w:tc>
              <w:tc>
                <w:tcPr>
                  <w:tcW w:w="1300" w:type="dxa"/>
                  <w:vAlign w:val="center"/>
                </w:tcPr>
                <w:p w14:paraId="1A205D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244</w:t>
                  </w:r>
                </w:p>
              </w:tc>
              <w:tc>
                <w:tcPr>
                  <w:tcW w:w="1200" w:type="dxa"/>
                  <w:vAlign w:val="center"/>
                </w:tcPr>
                <w:p w14:paraId="203AF8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250</w:t>
                  </w:r>
                </w:p>
              </w:tc>
              <w:tc>
                <w:tcPr>
                  <w:tcW w:w="823" w:type="dxa"/>
                  <w:vAlign w:val="center"/>
                </w:tcPr>
                <w:p w14:paraId="20A711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04C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6D5270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12</w:t>
                  </w:r>
                </w:p>
              </w:tc>
              <w:tc>
                <w:tcPr>
                  <w:tcW w:w="2442" w:type="dxa"/>
                  <w:vAlign w:val="center"/>
                </w:tcPr>
                <w:p w14:paraId="72E5A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铁</w:t>
                  </w:r>
                </w:p>
              </w:tc>
              <w:tc>
                <w:tcPr>
                  <w:tcW w:w="1575" w:type="dxa"/>
                  <w:vAlign w:val="center"/>
                </w:tcPr>
                <w:p w14:paraId="396B5F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0.03L</w:t>
                  </w:r>
                </w:p>
              </w:tc>
              <w:tc>
                <w:tcPr>
                  <w:tcW w:w="1300" w:type="dxa"/>
                  <w:vAlign w:val="center"/>
                </w:tcPr>
                <w:p w14:paraId="33E1DF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0.03L</w:t>
                  </w:r>
                </w:p>
              </w:tc>
              <w:tc>
                <w:tcPr>
                  <w:tcW w:w="1200" w:type="dxa"/>
                  <w:vAlign w:val="center"/>
                </w:tcPr>
                <w:p w14:paraId="495FAE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0.3</w:t>
                  </w:r>
                </w:p>
              </w:tc>
              <w:tc>
                <w:tcPr>
                  <w:tcW w:w="823" w:type="dxa"/>
                  <w:vAlign w:val="center"/>
                </w:tcPr>
                <w:p w14:paraId="48FBD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F0A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15709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13</w:t>
                  </w:r>
                </w:p>
              </w:tc>
              <w:tc>
                <w:tcPr>
                  <w:tcW w:w="2442" w:type="dxa"/>
                  <w:vAlign w:val="center"/>
                </w:tcPr>
                <w:p w14:paraId="793C34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锰</w:t>
                  </w:r>
                </w:p>
              </w:tc>
              <w:tc>
                <w:tcPr>
                  <w:tcW w:w="1575" w:type="dxa"/>
                  <w:vAlign w:val="center"/>
                </w:tcPr>
                <w:p w14:paraId="5C9D35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0.01L</w:t>
                  </w:r>
                </w:p>
              </w:tc>
              <w:tc>
                <w:tcPr>
                  <w:tcW w:w="1300" w:type="dxa"/>
                  <w:vAlign w:val="center"/>
                </w:tcPr>
                <w:p w14:paraId="38EC54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0.01L</w:t>
                  </w:r>
                </w:p>
              </w:tc>
              <w:tc>
                <w:tcPr>
                  <w:tcW w:w="1200" w:type="dxa"/>
                  <w:vAlign w:val="center"/>
                </w:tcPr>
                <w:p w14:paraId="5B955A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0.10</w:t>
                  </w:r>
                </w:p>
              </w:tc>
              <w:tc>
                <w:tcPr>
                  <w:tcW w:w="823" w:type="dxa"/>
                  <w:vAlign w:val="center"/>
                </w:tcPr>
                <w:p w14:paraId="6EA517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41AC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384D2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14</w:t>
                  </w:r>
                </w:p>
              </w:tc>
              <w:tc>
                <w:tcPr>
                  <w:tcW w:w="2442" w:type="dxa"/>
                  <w:vAlign w:val="center"/>
                </w:tcPr>
                <w:p w14:paraId="520DEC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lang w:val="en-US" w:eastAsia="zh-CN"/>
                    </w:rPr>
                    <w:t>镉</w:t>
                  </w:r>
                </w:p>
              </w:tc>
              <w:tc>
                <w:tcPr>
                  <w:tcW w:w="1575" w:type="dxa"/>
                  <w:vAlign w:val="center"/>
                </w:tcPr>
                <w:p w14:paraId="052FDE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1×10</w:t>
                  </w:r>
                  <w:r>
                    <w:rPr>
                      <w:rFonts w:hint="eastAsia"/>
                      <w:color w:val="auto"/>
                      <w:highlight w:val="none"/>
                      <w:vertAlign w:val="superscript"/>
                      <w:lang w:val="en-US" w:eastAsia="zh-CN"/>
                    </w:rPr>
                    <w:t>-4</w:t>
                  </w:r>
                  <w:r>
                    <w:rPr>
                      <w:rFonts w:hint="eastAsia"/>
                      <w:color w:val="auto"/>
                      <w:highlight w:val="none"/>
                      <w:lang w:val="en-US" w:eastAsia="zh-CN"/>
                    </w:rPr>
                    <w:t>L</w:t>
                  </w:r>
                </w:p>
              </w:tc>
              <w:tc>
                <w:tcPr>
                  <w:tcW w:w="1300" w:type="dxa"/>
                  <w:vAlign w:val="center"/>
                </w:tcPr>
                <w:p w14:paraId="781434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1×10</w:t>
                  </w:r>
                  <w:r>
                    <w:rPr>
                      <w:rFonts w:hint="eastAsia"/>
                      <w:color w:val="auto"/>
                      <w:highlight w:val="none"/>
                      <w:vertAlign w:val="superscript"/>
                      <w:lang w:val="en-US" w:eastAsia="zh-CN"/>
                    </w:rPr>
                    <w:t>-4</w:t>
                  </w:r>
                  <w:r>
                    <w:rPr>
                      <w:rFonts w:hint="eastAsia"/>
                      <w:color w:val="auto"/>
                      <w:highlight w:val="none"/>
                      <w:lang w:val="en-US" w:eastAsia="zh-CN"/>
                    </w:rPr>
                    <w:t>L</w:t>
                  </w:r>
                </w:p>
              </w:tc>
              <w:tc>
                <w:tcPr>
                  <w:tcW w:w="1200" w:type="dxa"/>
                  <w:vAlign w:val="center"/>
                </w:tcPr>
                <w:p w14:paraId="0C1793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0.005</w:t>
                  </w:r>
                </w:p>
              </w:tc>
              <w:tc>
                <w:tcPr>
                  <w:tcW w:w="823" w:type="dxa"/>
                  <w:vAlign w:val="center"/>
                </w:tcPr>
                <w:p w14:paraId="38B1F9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47DD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64678C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15</w:t>
                  </w:r>
                </w:p>
              </w:tc>
              <w:tc>
                <w:tcPr>
                  <w:tcW w:w="2442" w:type="dxa"/>
                  <w:vAlign w:val="center"/>
                </w:tcPr>
                <w:p w14:paraId="06AE8E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铅</w:t>
                  </w:r>
                </w:p>
              </w:tc>
              <w:tc>
                <w:tcPr>
                  <w:tcW w:w="1575" w:type="dxa"/>
                  <w:vAlign w:val="center"/>
                </w:tcPr>
                <w:p w14:paraId="13B714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0.001L</w:t>
                  </w:r>
                </w:p>
              </w:tc>
              <w:tc>
                <w:tcPr>
                  <w:tcW w:w="1300" w:type="dxa"/>
                  <w:vAlign w:val="center"/>
                </w:tcPr>
                <w:p w14:paraId="4FC6A0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0.001L</w:t>
                  </w:r>
                </w:p>
              </w:tc>
              <w:tc>
                <w:tcPr>
                  <w:tcW w:w="1200" w:type="dxa"/>
                  <w:vAlign w:val="center"/>
                </w:tcPr>
                <w:p w14:paraId="0B46F8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w:t>
                  </w:r>
                </w:p>
              </w:tc>
              <w:tc>
                <w:tcPr>
                  <w:tcW w:w="823" w:type="dxa"/>
                  <w:vAlign w:val="center"/>
                </w:tcPr>
                <w:p w14:paraId="60664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3212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0C9CF4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16</w:t>
                  </w:r>
                </w:p>
              </w:tc>
              <w:tc>
                <w:tcPr>
                  <w:tcW w:w="2442" w:type="dxa"/>
                  <w:vAlign w:val="center"/>
                </w:tcPr>
                <w:p w14:paraId="6A8C2A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氰化物</w:t>
                  </w:r>
                </w:p>
              </w:tc>
              <w:tc>
                <w:tcPr>
                  <w:tcW w:w="1575" w:type="dxa"/>
                  <w:vAlign w:val="center"/>
                </w:tcPr>
                <w:p w14:paraId="214D75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0.002L</w:t>
                  </w:r>
                </w:p>
              </w:tc>
              <w:tc>
                <w:tcPr>
                  <w:tcW w:w="1300" w:type="dxa"/>
                  <w:vAlign w:val="center"/>
                </w:tcPr>
                <w:p w14:paraId="6DCF75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0.002L</w:t>
                  </w:r>
                </w:p>
              </w:tc>
              <w:tc>
                <w:tcPr>
                  <w:tcW w:w="1200" w:type="dxa"/>
                  <w:vAlign w:val="center"/>
                </w:tcPr>
                <w:p w14:paraId="2B94B1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0.05</w:t>
                  </w:r>
                </w:p>
              </w:tc>
              <w:tc>
                <w:tcPr>
                  <w:tcW w:w="823" w:type="dxa"/>
                  <w:vAlign w:val="center"/>
                </w:tcPr>
                <w:p w14:paraId="7701A6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370C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26480E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17</w:t>
                  </w:r>
                </w:p>
              </w:tc>
              <w:tc>
                <w:tcPr>
                  <w:tcW w:w="2442" w:type="dxa"/>
                  <w:vAlign w:val="center"/>
                </w:tcPr>
                <w:p w14:paraId="3A6C6F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溶解性总固体</w:t>
                  </w:r>
                </w:p>
              </w:tc>
              <w:tc>
                <w:tcPr>
                  <w:tcW w:w="1575" w:type="dxa"/>
                  <w:vAlign w:val="center"/>
                </w:tcPr>
                <w:p w14:paraId="5D7DCB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842</w:t>
                  </w:r>
                </w:p>
              </w:tc>
              <w:tc>
                <w:tcPr>
                  <w:tcW w:w="1300" w:type="dxa"/>
                  <w:vAlign w:val="center"/>
                </w:tcPr>
                <w:p w14:paraId="031FC4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956</w:t>
                  </w:r>
                </w:p>
              </w:tc>
              <w:tc>
                <w:tcPr>
                  <w:tcW w:w="1200" w:type="dxa"/>
                  <w:vAlign w:val="center"/>
                </w:tcPr>
                <w:p w14:paraId="53C441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1000</w:t>
                  </w:r>
                </w:p>
              </w:tc>
              <w:tc>
                <w:tcPr>
                  <w:tcW w:w="823" w:type="dxa"/>
                  <w:vAlign w:val="center"/>
                </w:tcPr>
                <w:p w14:paraId="2DDE70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CE5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4CB238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18</w:t>
                  </w:r>
                </w:p>
              </w:tc>
              <w:tc>
                <w:tcPr>
                  <w:tcW w:w="2442" w:type="dxa"/>
                  <w:vAlign w:val="center"/>
                </w:tcPr>
                <w:p w14:paraId="4D8CEB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color w:val="auto"/>
                      <w:highlight w:val="none"/>
                    </w:rPr>
                    <w:t>六价铬</w:t>
                  </w:r>
                </w:p>
              </w:tc>
              <w:tc>
                <w:tcPr>
                  <w:tcW w:w="1575" w:type="dxa"/>
                  <w:vAlign w:val="center"/>
                </w:tcPr>
                <w:p w14:paraId="10C421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0.004L</w:t>
                  </w:r>
                </w:p>
              </w:tc>
              <w:tc>
                <w:tcPr>
                  <w:tcW w:w="1300" w:type="dxa"/>
                  <w:vAlign w:val="center"/>
                </w:tcPr>
                <w:p w14:paraId="49BA0E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0.004L</w:t>
                  </w:r>
                </w:p>
              </w:tc>
              <w:tc>
                <w:tcPr>
                  <w:tcW w:w="1200" w:type="dxa"/>
                  <w:vAlign w:val="center"/>
                </w:tcPr>
                <w:p w14:paraId="423AF5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0.05</w:t>
                  </w:r>
                </w:p>
              </w:tc>
              <w:tc>
                <w:tcPr>
                  <w:tcW w:w="823" w:type="dxa"/>
                  <w:vAlign w:val="center"/>
                </w:tcPr>
                <w:p w14:paraId="2E449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22AD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E717B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19</w:t>
                  </w:r>
                </w:p>
              </w:tc>
              <w:tc>
                <w:tcPr>
                  <w:tcW w:w="2442" w:type="dxa"/>
                  <w:vAlign w:val="center"/>
                </w:tcPr>
                <w:p w14:paraId="05257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汞</w:t>
                  </w:r>
                </w:p>
              </w:tc>
              <w:tc>
                <w:tcPr>
                  <w:tcW w:w="1575" w:type="dxa"/>
                  <w:vAlign w:val="center"/>
                </w:tcPr>
                <w:p w14:paraId="106C02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6.2×10</w:t>
                  </w:r>
                  <w:r>
                    <w:rPr>
                      <w:rFonts w:hint="eastAsia"/>
                      <w:color w:val="auto"/>
                      <w:highlight w:val="none"/>
                      <w:vertAlign w:val="superscript"/>
                      <w:lang w:val="en-US" w:eastAsia="zh-CN"/>
                    </w:rPr>
                    <w:t>-4</w:t>
                  </w:r>
                </w:p>
              </w:tc>
              <w:tc>
                <w:tcPr>
                  <w:tcW w:w="1300" w:type="dxa"/>
                  <w:vAlign w:val="center"/>
                </w:tcPr>
                <w:p w14:paraId="48DBAA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6.2×10</w:t>
                  </w:r>
                  <w:r>
                    <w:rPr>
                      <w:rFonts w:hint="eastAsia"/>
                      <w:color w:val="auto"/>
                      <w:highlight w:val="none"/>
                      <w:vertAlign w:val="superscript"/>
                      <w:lang w:val="en-US" w:eastAsia="zh-CN"/>
                    </w:rPr>
                    <w:t>-4</w:t>
                  </w:r>
                </w:p>
              </w:tc>
              <w:tc>
                <w:tcPr>
                  <w:tcW w:w="1200" w:type="dxa"/>
                  <w:vAlign w:val="center"/>
                </w:tcPr>
                <w:p w14:paraId="56324A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0.001</w:t>
                  </w:r>
                </w:p>
              </w:tc>
              <w:tc>
                <w:tcPr>
                  <w:tcW w:w="823" w:type="dxa"/>
                  <w:vAlign w:val="center"/>
                </w:tcPr>
                <w:p w14:paraId="4DF79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03B4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5A0C93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20</w:t>
                  </w:r>
                </w:p>
              </w:tc>
              <w:tc>
                <w:tcPr>
                  <w:tcW w:w="2442" w:type="dxa"/>
                  <w:vAlign w:val="center"/>
                </w:tcPr>
                <w:p w14:paraId="74FB4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rPr>
                    <w:t>砷</w:t>
                  </w:r>
                </w:p>
              </w:tc>
              <w:tc>
                <w:tcPr>
                  <w:tcW w:w="1575" w:type="dxa"/>
                  <w:vAlign w:val="center"/>
                </w:tcPr>
                <w:p w14:paraId="203F74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3.0×10</w:t>
                  </w:r>
                  <w:r>
                    <w:rPr>
                      <w:rFonts w:hint="eastAsia"/>
                      <w:color w:val="auto"/>
                      <w:highlight w:val="none"/>
                      <w:vertAlign w:val="superscript"/>
                      <w:lang w:val="en-US" w:eastAsia="zh-CN"/>
                    </w:rPr>
                    <w:t>-4</w:t>
                  </w:r>
                  <w:r>
                    <w:rPr>
                      <w:rFonts w:hint="eastAsia"/>
                      <w:color w:val="auto"/>
                      <w:highlight w:val="none"/>
                      <w:vertAlign w:val="baseline"/>
                      <w:lang w:val="en-US" w:eastAsia="zh-CN"/>
                    </w:rPr>
                    <w:t>L</w:t>
                  </w:r>
                </w:p>
              </w:tc>
              <w:tc>
                <w:tcPr>
                  <w:tcW w:w="1300" w:type="dxa"/>
                  <w:vAlign w:val="center"/>
                </w:tcPr>
                <w:p w14:paraId="6C18CE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3.0×10</w:t>
                  </w:r>
                  <w:r>
                    <w:rPr>
                      <w:rFonts w:hint="eastAsia"/>
                      <w:color w:val="auto"/>
                      <w:highlight w:val="none"/>
                      <w:vertAlign w:val="superscript"/>
                      <w:lang w:val="en-US" w:eastAsia="zh-CN"/>
                    </w:rPr>
                    <w:t>-4</w:t>
                  </w:r>
                  <w:r>
                    <w:rPr>
                      <w:rFonts w:hint="eastAsia"/>
                      <w:color w:val="auto"/>
                      <w:highlight w:val="none"/>
                      <w:vertAlign w:val="baseline"/>
                      <w:lang w:val="en-US" w:eastAsia="zh-CN"/>
                    </w:rPr>
                    <w:t>L</w:t>
                  </w:r>
                </w:p>
              </w:tc>
              <w:tc>
                <w:tcPr>
                  <w:tcW w:w="1200" w:type="dxa"/>
                  <w:vAlign w:val="center"/>
                </w:tcPr>
                <w:p w14:paraId="029A6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0.01</w:t>
                  </w:r>
                </w:p>
              </w:tc>
              <w:tc>
                <w:tcPr>
                  <w:tcW w:w="823" w:type="dxa"/>
                  <w:vAlign w:val="center"/>
                </w:tcPr>
                <w:p w14:paraId="1F1ABE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r w14:paraId="19C7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Align w:val="center"/>
                </w:tcPr>
                <w:p w14:paraId="7B8880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21</w:t>
                  </w:r>
                </w:p>
              </w:tc>
              <w:tc>
                <w:tcPr>
                  <w:tcW w:w="2442" w:type="dxa"/>
                  <w:vAlign w:val="center"/>
                </w:tcPr>
                <w:p w14:paraId="7C2502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auto"/>
                      <w:highlight w:val="none"/>
                      <w:lang w:val="en-US" w:eastAsia="zh-CN"/>
                    </w:rPr>
                  </w:pPr>
                  <w:r>
                    <w:rPr>
                      <w:rFonts w:hint="eastAsia"/>
                      <w:color w:val="auto"/>
                      <w:highlight w:val="none"/>
                    </w:rPr>
                    <w:t>细菌总数</w:t>
                  </w:r>
                  <w:r>
                    <w:rPr>
                      <w:rFonts w:hint="eastAsia"/>
                      <w:color w:val="auto"/>
                      <w:highlight w:val="none"/>
                      <w:lang w:eastAsia="zh-CN"/>
                    </w:rPr>
                    <w:t>（</w:t>
                  </w:r>
                  <w:r>
                    <w:rPr>
                      <w:rFonts w:hint="eastAsia"/>
                      <w:color w:val="auto"/>
                      <w:highlight w:val="none"/>
                    </w:rPr>
                    <w:t>CFU/mL</w:t>
                  </w:r>
                  <w:r>
                    <w:rPr>
                      <w:rFonts w:hint="eastAsia"/>
                      <w:color w:val="auto"/>
                      <w:highlight w:val="none"/>
                      <w:lang w:eastAsia="zh-CN"/>
                    </w:rPr>
                    <w:t>）</w:t>
                  </w:r>
                </w:p>
              </w:tc>
              <w:tc>
                <w:tcPr>
                  <w:tcW w:w="1575" w:type="dxa"/>
                  <w:vAlign w:val="center"/>
                </w:tcPr>
                <w:p w14:paraId="298BB3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w:t>
                  </w:r>
                </w:p>
              </w:tc>
              <w:tc>
                <w:tcPr>
                  <w:tcW w:w="1300" w:type="dxa"/>
                  <w:vAlign w:val="center"/>
                </w:tcPr>
                <w:p w14:paraId="225BF2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0</w:t>
                  </w:r>
                </w:p>
              </w:tc>
              <w:tc>
                <w:tcPr>
                  <w:tcW w:w="1200" w:type="dxa"/>
                  <w:vAlign w:val="center"/>
                </w:tcPr>
                <w:p w14:paraId="736697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100</w:t>
                  </w:r>
                </w:p>
              </w:tc>
              <w:tc>
                <w:tcPr>
                  <w:tcW w:w="823" w:type="dxa"/>
                  <w:vAlign w:val="center"/>
                </w:tcPr>
                <w:p w14:paraId="130C63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达标</w:t>
                  </w:r>
                </w:p>
              </w:tc>
            </w:tr>
          </w:tbl>
          <w:p w14:paraId="6E10D9EC">
            <w:pPr>
              <w:bidi w:val="0"/>
              <w:ind w:left="0" w:leftChars="0" w:firstLine="0" w:firstLineChars="0"/>
              <w:rPr>
                <w:rFonts w:hint="eastAsia"/>
                <w:b/>
                <w:bCs/>
                <w:color w:val="auto"/>
                <w:highlight w:val="none"/>
                <w:lang w:val="en-US" w:eastAsia="zh-CN"/>
              </w:rPr>
            </w:pPr>
            <w:r>
              <w:rPr>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3827780</wp:posOffset>
                      </wp:positionH>
                      <wp:positionV relativeFrom="paragraph">
                        <wp:posOffset>1398270</wp:posOffset>
                      </wp:positionV>
                      <wp:extent cx="793750" cy="322580"/>
                      <wp:effectExtent l="4445" t="4445" r="20955" b="15875"/>
                      <wp:wrapNone/>
                      <wp:docPr id="73" name="文本框 73"/>
                      <wp:cNvGraphicFramePr/>
                      <a:graphic xmlns:a="http://schemas.openxmlformats.org/drawingml/2006/main">
                        <a:graphicData uri="http://schemas.microsoft.com/office/word/2010/wordprocessingShape">
                          <wps:wsp>
                            <wps:cNvSpPr txBox="1"/>
                            <wps:spPr>
                              <a:xfrm>
                                <a:off x="0" y="0"/>
                                <a:ext cx="793750" cy="322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2992422">
                                  <w:pPr>
                                    <w:ind w:left="0" w:leftChars="0" w:firstLine="0" w:firstLineChars="0"/>
                                    <w:rPr>
                                      <w:rFonts w:hint="default" w:eastAsia="宋体"/>
                                      <w:lang w:val="en-US" w:eastAsia="zh-CN"/>
                                    </w:rPr>
                                  </w:pPr>
                                  <w:r>
                                    <w:rPr>
                                      <w:rFonts w:hint="eastAsia"/>
                                      <w:lang w:val="en-US" w:eastAsia="zh-CN"/>
                                    </w:rPr>
                                    <w:t>监测井2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4pt;margin-top:110.1pt;height:25.4pt;width:62.5pt;z-index:251664384;mso-width-relative:page;mso-height-relative:page;" fillcolor="#FFFFFF [3201]" filled="t" stroked="t" coordsize="21600,21600" o:gfxdata="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VLAjDVAAAA&#10;CwEAAA8AAAAAAAAAAQAgAAAAIgAAAGRycy9kb3ducmV2LnhtbFBLAQIUABQAAAAIAIdO4kAAd5wG&#10;WQIAALgEAAAOAAAAAAAAAAEAIAAAACQBAABkcnMvZTJvRG9jLnhtbFBLBQYAAAAABgAGAFkBAADv&#10;BQAAAAA=&#10;">
                      <v:fill on="t" focussize="0,0"/>
                      <v:stroke weight="0.5pt" color="#000000 [3204]" joinstyle="round"/>
                      <v:imagedata o:title=""/>
                      <o:lock v:ext="edit" aspectratio="f"/>
                      <v:textbox>
                        <w:txbxContent>
                          <w:p w14:paraId="12992422">
                            <w:pPr>
                              <w:ind w:left="0" w:leftChars="0" w:firstLine="0" w:firstLineChars="0"/>
                              <w:rPr>
                                <w:rFonts w:hint="default" w:eastAsia="宋体"/>
                                <w:lang w:val="en-US" w:eastAsia="zh-CN"/>
                              </w:rPr>
                            </w:pPr>
                            <w:r>
                              <w:rPr>
                                <w:rFonts w:hint="eastAsia"/>
                                <w:lang w:val="en-US" w:eastAsia="zh-CN"/>
                              </w:rPr>
                              <w:t>监测井2</w:t>
                            </w:r>
                          </w:p>
                        </w:txbxContent>
                      </v:textbox>
                    </v:shape>
                  </w:pict>
                </mc:Fallback>
              </mc:AlternateContent>
            </w:r>
            <w:r>
              <w:rPr>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2800985</wp:posOffset>
                      </wp:positionH>
                      <wp:positionV relativeFrom="paragraph">
                        <wp:posOffset>1809115</wp:posOffset>
                      </wp:positionV>
                      <wp:extent cx="793750" cy="322580"/>
                      <wp:effectExtent l="4445" t="4445" r="20955" b="15875"/>
                      <wp:wrapNone/>
                      <wp:docPr id="72" name="文本框 72"/>
                      <wp:cNvGraphicFramePr/>
                      <a:graphic xmlns:a="http://schemas.openxmlformats.org/drawingml/2006/main">
                        <a:graphicData uri="http://schemas.microsoft.com/office/word/2010/wordprocessingShape">
                          <wps:wsp>
                            <wps:cNvSpPr txBox="1"/>
                            <wps:spPr>
                              <a:xfrm>
                                <a:off x="0" y="0"/>
                                <a:ext cx="793750" cy="322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EE7B742">
                                  <w:pPr>
                                    <w:ind w:left="0" w:leftChars="0" w:firstLine="0" w:firstLineChars="0"/>
                                    <w:rPr>
                                      <w:rFonts w:hint="default" w:eastAsia="宋体"/>
                                      <w:lang w:val="en-US" w:eastAsia="zh-CN"/>
                                    </w:rPr>
                                  </w:pPr>
                                  <w:r>
                                    <w:rPr>
                                      <w:rFonts w:hint="eastAsia"/>
                                      <w:lang w:val="en-US" w:eastAsia="zh-CN"/>
                                    </w:rPr>
                                    <w:t>监测井1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55pt;margin-top:142.45pt;height:25.4pt;width:62.5pt;z-index:251663360;mso-width-relative:page;mso-height-relative:page;" fillcolor="#FFFFFF [3201]" filled="t" stroked="t" coordsize="21600,21600" o:gfxdata="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CSAVU&#10;2AAAAAsBAAAPAAAAAAAAAAEAIAAAACIAAABkcnMvZG93bnJldi54bWxQSwECFAAUAAAACACHTuJA&#10;RBihsVoCAAC4BAAADgAAAAAAAAABACAAAAAnAQAAZHJzL2Uyb0RvYy54bWxQSwUGAAAAAAYABgBZ&#10;AQAA8wUAAAAA&#10;">
                      <v:fill on="t" focussize="0,0"/>
                      <v:stroke weight="0.5pt" color="#000000 [3204]" joinstyle="round"/>
                      <v:imagedata o:title=""/>
                      <o:lock v:ext="edit" aspectratio="f"/>
                      <v:textbox>
                        <w:txbxContent>
                          <w:p w14:paraId="7EE7B742">
                            <w:pPr>
                              <w:ind w:left="0" w:leftChars="0" w:firstLine="0" w:firstLineChars="0"/>
                              <w:rPr>
                                <w:rFonts w:hint="default" w:eastAsia="宋体"/>
                                <w:lang w:val="en-US" w:eastAsia="zh-CN"/>
                              </w:rPr>
                            </w:pPr>
                            <w:r>
                              <w:rPr>
                                <w:rFonts w:hint="eastAsia"/>
                                <w:lang w:val="en-US" w:eastAsia="zh-CN"/>
                              </w:rPr>
                              <w:t>监测井1</w:t>
                            </w:r>
                          </w:p>
                        </w:txbxContent>
                      </v:textbox>
                    </v:shape>
                  </w:pict>
                </mc:Fallback>
              </mc:AlternateContent>
            </w: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708660</wp:posOffset>
                      </wp:positionH>
                      <wp:positionV relativeFrom="paragraph">
                        <wp:posOffset>1197610</wp:posOffset>
                      </wp:positionV>
                      <wp:extent cx="958215" cy="322580"/>
                      <wp:effectExtent l="4445" t="4445" r="8890" b="15875"/>
                      <wp:wrapNone/>
                      <wp:docPr id="71" name="文本框 71"/>
                      <wp:cNvGraphicFramePr/>
                      <a:graphic xmlns:a="http://schemas.openxmlformats.org/drawingml/2006/main">
                        <a:graphicData uri="http://schemas.microsoft.com/office/word/2010/wordprocessingShape">
                          <wps:wsp>
                            <wps:cNvSpPr txBox="1"/>
                            <wps:spPr>
                              <a:xfrm>
                                <a:off x="2289175" y="2710815"/>
                                <a:ext cx="958215" cy="322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BE242B">
                                  <w:pPr>
                                    <w:ind w:left="0" w:leftChars="0" w:firstLine="0" w:firstLineChars="0"/>
                                    <w:rPr>
                                      <w:rFonts w:hint="default" w:eastAsia="宋体"/>
                                      <w:lang w:val="en-US" w:eastAsia="zh-CN"/>
                                    </w:rPr>
                                  </w:pPr>
                                  <w:r>
                                    <w:rPr>
                                      <w:rFonts w:hint="eastAsia"/>
                                      <w:lang w:val="en-US" w:eastAsia="zh-CN"/>
                                    </w:rPr>
                                    <w:t>本项目位置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8pt;margin-top:94.3pt;height:25.4pt;width:75.45pt;z-index:251661312;mso-width-relative:page;mso-height-relative:page;" fillcolor="#FFFFFF [3201]" filled="t" stroked="t" coordsize="21600,21600" o:gfxdata="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upq1NYAAAALAQAADwAAAAAAAAABACAAAAAiAAAAZHJzL2Rvd25yZXYueG1sUEsBAhQA&#10;FAAAAAgAh07iQP00h99mAgAAxAQAAA4AAAAAAAAAAQAgAAAAJQEAAGRycy9lMm9Eb2MueG1sUEsF&#10;BgAAAAAGAAYAWQEAAP0FAAAAAA==&#10;">
                      <v:fill on="t" focussize="0,0"/>
                      <v:stroke weight="0.5pt" color="#000000 [3204]" joinstyle="round"/>
                      <v:imagedata o:title=""/>
                      <o:lock v:ext="edit" aspectratio="f"/>
                      <v:textbox>
                        <w:txbxContent>
                          <w:p w14:paraId="4DBE242B">
                            <w:pPr>
                              <w:ind w:left="0" w:leftChars="0" w:firstLine="0" w:firstLineChars="0"/>
                              <w:rPr>
                                <w:rFonts w:hint="default" w:eastAsia="宋体"/>
                                <w:lang w:val="en-US" w:eastAsia="zh-CN"/>
                              </w:rPr>
                            </w:pPr>
                            <w:r>
                              <w:rPr>
                                <w:rFonts w:hint="eastAsia"/>
                                <w:lang w:val="en-US" w:eastAsia="zh-CN"/>
                              </w:rPr>
                              <w:t>本项目位置</w:t>
                            </w:r>
                          </w:p>
                        </w:txbxContent>
                      </v:textbox>
                    </v:shape>
                  </w:pict>
                </mc:Fallback>
              </mc:AlternateContent>
            </w:r>
            <w:r>
              <w:rPr>
                <w:color w:val="auto"/>
                <w:highlight w:val="none"/>
              </w:rPr>
              <w:drawing>
                <wp:inline distT="0" distB="0" distL="114300" distR="114300">
                  <wp:extent cx="5057775" cy="3102610"/>
                  <wp:effectExtent l="0" t="0" r="9525" b="2540"/>
                  <wp:docPr id="7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2"/>
                          <pic:cNvPicPr>
                            <a:picLocks noChangeAspect="1"/>
                          </pic:cNvPicPr>
                        </pic:nvPicPr>
                        <pic:blipFill>
                          <a:blip r:embed="rId23"/>
                          <a:stretch>
                            <a:fillRect/>
                          </a:stretch>
                        </pic:blipFill>
                        <pic:spPr>
                          <a:xfrm>
                            <a:off x="0" y="0"/>
                            <a:ext cx="5057775" cy="3102610"/>
                          </a:xfrm>
                          <a:prstGeom prst="rect">
                            <a:avLst/>
                          </a:prstGeom>
                          <a:noFill/>
                          <a:ln>
                            <a:noFill/>
                          </a:ln>
                        </pic:spPr>
                      </pic:pic>
                    </a:graphicData>
                  </a:graphic>
                </wp:inline>
              </w:drawing>
            </w:r>
          </w:p>
          <w:p w14:paraId="160AD860">
            <w:pPr>
              <w:bidi w:val="0"/>
              <w:ind w:left="0" w:leftChars="0" w:firstLine="0" w:firstLineChars="0"/>
              <w:jc w:val="center"/>
              <w:rPr>
                <w:rFonts w:hint="default"/>
                <w:b/>
                <w:bCs/>
                <w:color w:val="auto"/>
                <w:highlight w:val="none"/>
                <w:lang w:val="en-US" w:eastAsia="zh-CN"/>
              </w:rPr>
            </w:pPr>
            <w:r>
              <w:rPr>
                <w:rFonts w:hint="eastAsia"/>
                <w:b/>
                <w:bCs/>
                <w:color w:val="auto"/>
                <w:highlight w:val="none"/>
                <w:lang w:val="en-US" w:eastAsia="zh-CN"/>
              </w:rPr>
              <w:t>图3-1引用地下水监测点位与本项目关系图</w:t>
            </w:r>
          </w:p>
          <w:p w14:paraId="3F0DE2B0">
            <w:pPr>
              <w:bidi w:val="0"/>
              <w:rPr>
                <w:rFonts w:hint="default" w:eastAsia="宋体"/>
                <w:b/>
                <w:bCs/>
                <w:color w:val="auto"/>
                <w:highlight w:val="none"/>
                <w:lang w:val="en-US" w:eastAsia="zh-CN"/>
              </w:rPr>
            </w:pPr>
            <w:r>
              <w:rPr>
                <w:rFonts w:hint="eastAsia"/>
                <w:b/>
                <w:bCs/>
                <w:color w:val="auto"/>
                <w:highlight w:val="none"/>
                <w:lang w:val="en-US" w:eastAsia="zh-CN"/>
              </w:rPr>
              <w:t>4.土壤环境质量现状</w:t>
            </w:r>
          </w:p>
          <w:p w14:paraId="62C95667">
            <w:pPr>
              <w:bidi w:val="0"/>
              <w:rPr>
                <w:color w:val="auto"/>
                <w:highlight w:val="none"/>
              </w:rPr>
            </w:pPr>
            <w:r>
              <w:rPr>
                <w:color w:val="auto"/>
                <w:highlight w:val="none"/>
              </w:rPr>
              <w:t>依照《建设项目环境影响报告表编制技术指南（污染影响类）》（试行），地下水环境原则上不开展环境质量现状调查。建设项目存在地下水</w:t>
            </w:r>
            <w:r>
              <w:rPr>
                <w:rFonts w:hint="eastAsia"/>
                <w:color w:val="auto"/>
                <w:highlight w:val="none"/>
                <w:lang w:eastAsia="zh-CN"/>
              </w:rPr>
              <w:t>、</w:t>
            </w:r>
            <w:r>
              <w:rPr>
                <w:rFonts w:hint="eastAsia"/>
                <w:color w:val="auto"/>
                <w:highlight w:val="none"/>
                <w:lang w:val="en-US" w:eastAsia="zh-CN"/>
              </w:rPr>
              <w:t>土壤</w:t>
            </w:r>
            <w:r>
              <w:rPr>
                <w:color w:val="auto"/>
                <w:highlight w:val="none"/>
              </w:rPr>
              <w:t>污染途径的，应结合污染源、保护目标分布情况开展现状调查以留作背景值。</w:t>
            </w:r>
          </w:p>
          <w:p w14:paraId="7BA07ADB">
            <w:pPr>
              <w:bidi w:val="0"/>
              <w:rPr>
                <w:rFonts w:hint="default" w:ascii="Times New Roman" w:hAnsi="Times New Roman" w:cs="Times New Roman"/>
                <w:color w:val="auto"/>
                <w:kern w:val="0"/>
                <w:szCs w:val="24"/>
                <w:highlight w:val="none"/>
              </w:rPr>
            </w:pPr>
            <w:r>
              <w:rPr>
                <w:color w:val="auto"/>
                <w:highlight w:val="none"/>
              </w:rPr>
              <w:t>经调查，本项目厂界外500m范围内无地下水集中式饮用水水源和热水、矿泉水、温泉等特殊地下水资源，因此本项目无地下水环境保护目标。</w:t>
            </w:r>
            <w:r>
              <w:rPr>
                <w:rFonts w:hint="eastAsia"/>
                <w:color w:val="auto"/>
                <w:highlight w:val="none"/>
                <w:lang w:val="en-US" w:eastAsia="zh-CN"/>
              </w:rPr>
              <w:t>加碱除尘设备及锅炉循环水系统为一般防渗区，防渗措施采用等效黏土防渗层Mb≥1.5m，K≤1×10</w:t>
            </w:r>
            <w:r>
              <w:rPr>
                <w:rFonts w:hint="eastAsia"/>
                <w:color w:val="auto"/>
                <w:highlight w:val="none"/>
                <w:vertAlign w:val="superscript"/>
                <w:lang w:val="en-US" w:eastAsia="zh-CN"/>
              </w:rPr>
              <w:t>-7</w:t>
            </w:r>
            <w:r>
              <w:rPr>
                <w:rFonts w:hint="eastAsia"/>
                <w:color w:val="auto"/>
                <w:highlight w:val="none"/>
                <w:lang w:val="en-US" w:eastAsia="zh-CN"/>
              </w:rPr>
              <w:t>cm/s，</w:t>
            </w:r>
            <w:r>
              <w:rPr>
                <w:color w:val="auto"/>
                <w:highlight w:val="none"/>
              </w:rPr>
              <w:t>项目经采取严格的防渗措施</w:t>
            </w:r>
            <w:r>
              <w:rPr>
                <w:rFonts w:hint="eastAsia"/>
                <w:color w:val="auto"/>
                <w:highlight w:val="none"/>
                <w:lang w:val="en-US" w:eastAsia="zh-CN"/>
              </w:rPr>
              <w:t>后</w:t>
            </w:r>
            <w:r>
              <w:rPr>
                <w:color w:val="auto"/>
                <w:highlight w:val="none"/>
              </w:rPr>
              <w:t>，对区域</w:t>
            </w:r>
            <w:r>
              <w:rPr>
                <w:rFonts w:hint="eastAsia"/>
                <w:color w:val="auto"/>
                <w:highlight w:val="none"/>
                <w:lang w:val="en-US" w:eastAsia="zh-CN"/>
              </w:rPr>
              <w:t>土壤</w:t>
            </w:r>
            <w:r>
              <w:rPr>
                <w:color w:val="auto"/>
                <w:highlight w:val="none"/>
              </w:rPr>
              <w:t>环境造成影响</w:t>
            </w:r>
            <w:r>
              <w:rPr>
                <w:rFonts w:hint="eastAsia"/>
                <w:color w:val="auto"/>
                <w:highlight w:val="none"/>
                <w:lang w:val="en-US" w:eastAsia="zh-CN"/>
              </w:rPr>
              <w:t>较小</w:t>
            </w:r>
            <w:r>
              <w:rPr>
                <w:color w:val="auto"/>
                <w:highlight w:val="none"/>
              </w:rPr>
              <w:t>。</w:t>
            </w:r>
            <w:r>
              <w:rPr>
                <w:rFonts w:hint="eastAsia"/>
                <w:color w:val="auto"/>
                <w:highlight w:val="none"/>
                <w:lang w:eastAsia="zh-CN"/>
              </w:rPr>
              <w:t>项目</w:t>
            </w:r>
            <w:r>
              <w:rPr>
                <w:color w:val="auto"/>
                <w:highlight w:val="none"/>
              </w:rPr>
              <w:t>采取严格的防渗措施，</w:t>
            </w:r>
            <w:r>
              <w:rPr>
                <w:rFonts w:hint="eastAsia"/>
                <w:color w:val="auto"/>
                <w:highlight w:val="none"/>
                <w:lang w:val="en-US" w:eastAsia="zh-CN"/>
              </w:rPr>
              <w:t>本项目对周围</w:t>
            </w:r>
            <w:r>
              <w:rPr>
                <w:color w:val="auto"/>
                <w:highlight w:val="none"/>
              </w:rPr>
              <w:t>土壤环境影响</w:t>
            </w:r>
            <w:r>
              <w:rPr>
                <w:rFonts w:hint="eastAsia"/>
                <w:color w:val="auto"/>
                <w:highlight w:val="none"/>
                <w:lang w:val="en-US" w:eastAsia="zh-CN"/>
              </w:rPr>
              <w:t>较小</w:t>
            </w:r>
            <w:r>
              <w:rPr>
                <w:color w:val="auto"/>
                <w:highlight w:val="none"/>
              </w:rPr>
              <w:t>。综合考虑，本次评价不开展</w:t>
            </w:r>
            <w:r>
              <w:rPr>
                <w:rFonts w:hint="eastAsia"/>
                <w:color w:val="auto"/>
                <w:highlight w:val="none"/>
                <w:lang w:val="en-US" w:eastAsia="zh-CN"/>
              </w:rPr>
              <w:t>土壤</w:t>
            </w:r>
            <w:r>
              <w:rPr>
                <w:color w:val="auto"/>
                <w:highlight w:val="none"/>
              </w:rPr>
              <w:t>环境质量现状监测。</w:t>
            </w:r>
          </w:p>
        </w:tc>
      </w:tr>
      <w:tr w14:paraId="615B0E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00" w:type="dxa"/>
            <w:noWrap w:val="0"/>
            <w:vAlign w:val="center"/>
          </w:tcPr>
          <w:p w14:paraId="2D9C4447">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环境保护目标</w:t>
            </w:r>
          </w:p>
        </w:tc>
        <w:tc>
          <w:tcPr>
            <w:tcW w:w="8190" w:type="dxa"/>
            <w:noWrap w:val="0"/>
            <w:vAlign w:val="center"/>
          </w:tcPr>
          <w:p w14:paraId="0CCD4540">
            <w:pPr>
              <w:bidi w:val="0"/>
              <w:rPr>
                <w:color w:val="auto"/>
                <w:highlight w:val="none"/>
              </w:rPr>
            </w:pPr>
            <w:r>
              <w:rPr>
                <w:color w:val="auto"/>
                <w:highlight w:val="none"/>
              </w:rPr>
              <w:t>本项目位于鄂尔多斯市准格尔旗薛家湾镇</w:t>
            </w:r>
            <w:r>
              <w:rPr>
                <w:rFonts w:hint="eastAsia"/>
                <w:color w:val="auto"/>
                <w:highlight w:val="none"/>
                <w:lang w:val="en-US" w:eastAsia="zh-CN"/>
              </w:rPr>
              <w:t>大饭铺村郝家圪塄社</w:t>
            </w:r>
            <w:r>
              <w:rPr>
                <w:color w:val="auto"/>
                <w:highlight w:val="none"/>
              </w:rPr>
              <w:t>，根据《建设项目环境影响报告表编制技术指南》（试行）中关于环境保护目标的规定，大气：明确厂界500米范围内的自然保护区、风景名胜区、居住区和文化区等保护目标的名称、与建设项目厂界（排放源）位置关系；地表水：废水间接排放的，无需调查水环境保护目标；声环境：明确厂界50米范围内声环境保护目标；地下水：明确厂界500米范围内的地下水集中式饮用水水源。环境保护目标具体情况见下表。</w:t>
            </w:r>
          </w:p>
          <w:p w14:paraId="427065FE">
            <w:pPr>
              <w:bidi w:val="0"/>
              <w:jc w:val="center"/>
              <w:rPr>
                <w:b/>
                <w:bCs/>
                <w:color w:val="auto"/>
                <w:highlight w:val="none"/>
              </w:rPr>
            </w:pPr>
            <w:r>
              <w:rPr>
                <w:b/>
                <w:bCs/>
                <w:color w:val="auto"/>
                <w:highlight w:val="none"/>
              </w:rPr>
              <w:t>表3-</w:t>
            </w:r>
            <w:r>
              <w:rPr>
                <w:rFonts w:hint="eastAsia"/>
                <w:b/>
                <w:bCs/>
                <w:color w:val="auto"/>
                <w:highlight w:val="none"/>
                <w:lang w:val="en-US" w:eastAsia="zh-CN"/>
              </w:rPr>
              <w:t>3</w:t>
            </w:r>
            <w:r>
              <w:rPr>
                <w:b/>
                <w:bCs/>
                <w:color w:val="auto"/>
                <w:highlight w:val="none"/>
              </w:rPr>
              <w:t>环境保护目标</w:t>
            </w:r>
          </w:p>
          <w:tbl>
            <w:tblPr>
              <w:tblStyle w:val="25"/>
              <w:tblW w:w="498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7"/>
              <w:gridCol w:w="812"/>
              <w:gridCol w:w="715"/>
              <w:gridCol w:w="783"/>
              <w:gridCol w:w="982"/>
              <w:gridCol w:w="1345"/>
              <w:gridCol w:w="2480"/>
            </w:tblGrid>
            <w:tr w14:paraId="1C56B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9" w:hRule="atLeast"/>
                <w:jc w:val="center"/>
              </w:trPr>
              <w:tc>
                <w:tcPr>
                  <w:tcW w:w="514" w:type="pct"/>
                  <w:noWrap w:val="0"/>
                  <w:vAlign w:val="center"/>
                </w:tcPr>
                <w:p w14:paraId="596408F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环境要素</w:t>
                  </w:r>
                </w:p>
              </w:tc>
              <w:tc>
                <w:tcPr>
                  <w:tcW w:w="511" w:type="pct"/>
                  <w:noWrap w:val="0"/>
                  <w:vAlign w:val="center"/>
                </w:tcPr>
                <w:p w14:paraId="122E69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保护目标</w:t>
                  </w:r>
                </w:p>
              </w:tc>
              <w:tc>
                <w:tcPr>
                  <w:tcW w:w="450" w:type="pct"/>
                  <w:noWrap w:val="0"/>
                  <w:vAlign w:val="center"/>
                </w:tcPr>
                <w:p w14:paraId="400B68E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坐标</w:t>
                  </w:r>
                </w:p>
              </w:tc>
              <w:tc>
                <w:tcPr>
                  <w:tcW w:w="493" w:type="pct"/>
                  <w:noWrap w:val="0"/>
                  <w:vAlign w:val="center"/>
                </w:tcPr>
                <w:p w14:paraId="732AE2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保护对象</w:t>
                  </w:r>
                </w:p>
              </w:tc>
              <w:tc>
                <w:tcPr>
                  <w:tcW w:w="618" w:type="pct"/>
                  <w:noWrap w:val="0"/>
                  <w:vAlign w:val="center"/>
                </w:tcPr>
                <w:p w14:paraId="5DA92E1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相对厂址方位</w:t>
                  </w:r>
                </w:p>
              </w:tc>
              <w:tc>
                <w:tcPr>
                  <w:tcW w:w="848" w:type="pct"/>
                  <w:noWrap w:val="0"/>
                  <w:vAlign w:val="center"/>
                </w:tcPr>
                <w:p w14:paraId="3D67966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相对厂界距离/m</w:t>
                  </w:r>
                </w:p>
              </w:tc>
              <w:tc>
                <w:tcPr>
                  <w:tcW w:w="1563" w:type="pct"/>
                  <w:noWrap w:val="0"/>
                  <w:vAlign w:val="center"/>
                </w:tcPr>
                <w:p w14:paraId="481C614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执行标准</w:t>
                  </w:r>
                </w:p>
              </w:tc>
            </w:tr>
            <w:tr w14:paraId="445BC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51" w:hRule="atLeast"/>
                <w:jc w:val="center"/>
              </w:trPr>
              <w:tc>
                <w:tcPr>
                  <w:tcW w:w="514" w:type="pct"/>
                  <w:noWrap w:val="0"/>
                  <w:vAlign w:val="center"/>
                </w:tcPr>
                <w:p w14:paraId="229CFB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大气环境</w:t>
                  </w:r>
                </w:p>
              </w:tc>
              <w:tc>
                <w:tcPr>
                  <w:tcW w:w="2922" w:type="pct"/>
                  <w:gridSpan w:val="5"/>
                  <w:noWrap w:val="0"/>
                  <w:vAlign w:val="center"/>
                </w:tcPr>
                <w:p w14:paraId="70C4CF5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厂界外50</w:t>
                  </w:r>
                  <w:r>
                    <w:rPr>
                      <w:rFonts w:hint="eastAsia"/>
                      <w:color w:val="auto"/>
                      <w:highlight w:val="none"/>
                    </w:rPr>
                    <w:t>0</w:t>
                  </w:r>
                  <w:r>
                    <w:rPr>
                      <w:color w:val="auto"/>
                      <w:highlight w:val="none"/>
                    </w:rPr>
                    <w:t>m范围内无</w:t>
                  </w:r>
                  <w:r>
                    <w:rPr>
                      <w:rFonts w:hint="eastAsia"/>
                      <w:color w:val="auto"/>
                      <w:highlight w:val="none"/>
                    </w:rPr>
                    <w:t>大气</w:t>
                  </w:r>
                  <w:r>
                    <w:rPr>
                      <w:color w:val="auto"/>
                      <w:highlight w:val="none"/>
                    </w:rPr>
                    <w:t>环境保护目标</w:t>
                  </w:r>
                </w:p>
              </w:tc>
              <w:tc>
                <w:tcPr>
                  <w:tcW w:w="1563" w:type="pct"/>
                  <w:noWrap w:val="0"/>
                  <w:vAlign w:val="center"/>
                </w:tcPr>
                <w:p w14:paraId="0C6FE9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lang w:val="en-US" w:eastAsia="zh-CN"/>
                    </w:rPr>
                    <w:t>《环境空气质量标准》（GB3095-2026）过渡阶段浓度限值二级限值要求</w:t>
                  </w:r>
                </w:p>
              </w:tc>
            </w:tr>
            <w:tr w14:paraId="02ECF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514" w:type="pct"/>
                  <w:noWrap w:val="0"/>
                  <w:vAlign w:val="center"/>
                </w:tcPr>
                <w:p w14:paraId="020D3B2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声环境</w:t>
                  </w:r>
                </w:p>
              </w:tc>
              <w:tc>
                <w:tcPr>
                  <w:tcW w:w="2922" w:type="pct"/>
                  <w:gridSpan w:val="5"/>
                  <w:noWrap w:val="0"/>
                  <w:vAlign w:val="center"/>
                </w:tcPr>
                <w:p w14:paraId="2778D7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厂界外</w:t>
                  </w:r>
                  <w:r>
                    <w:rPr>
                      <w:rFonts w:hint="eastAsia"/>
                      <w:color w:val="auto"/>
                      <w:highlight w:val="none"/>
                      <w:lang w:eastAsia="zh-CN"/>
                    </w:rPr>
                    <w:t>50m</w:t>
                  </w:r>
                  <w:r>
                    <w:rPr>
                      <w:color w:val="auto"/>
                      <w:highlight w:val="none"/>
                    </w:rPr>
                    <w:t>范围内无</w:t>
                  </w:r>
                  <w:r>
                    <w:rPr>
                      <w:rFonts w:hint="eastAsia"/>
                      <w:color w:val="auto"/>
                      <w:highlight w:val="none"/>
                    </w:rPr>
                    <w:t>声</w:t>
                  </w:r>
                  <w:r>
                    <w:rPr>
                      <w:color w:val="auto"/>
                      <w:highlight w:val="none"/>
                    </w:rPr>
                    <w:t>环境保护目标</w:t>
                  </w:r>
                </w:p>
              </w:tc>
              <w:tc>
                <w:tcPr>
                  <w:tcW w:w="1563" w:type="pct"/>
                  <w:noWrap w:val="0"/>
                  <w:vAlign w:val="center"/>
                </w:tcPr>
                <w:p w14:paraId="5BCA37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《声环境质量标准》（GB3096-2008）2类声环境功能区标准</w:t>
                  </w:r>
                </w:p>
              </w:tc>
            </w:tr>
            <w:tr w14:paraId="63F14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514" w:type="pct"/>
                  <w:noWrap w:val="0"/>
                  <w:vAlign w:val="center"/>
                </w:tcPr>
                <w:p w14:paraId="2262A6A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地下水</w:t>
                  </w:r>
                </w:p>
              </w:tc>
              <w:tc>
                <w:tcPr>
                  <w:tcW w:w="2922" w:type="pct"/>
                  <w:gridSpan w:val="5"/>
                  <w:noWrap w:val="0"/>
                  <w:vAlign w:val="center"/>
                </w:tcPr>
                <w:p w14:paraId="5D91F2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本项目厂界外500m范围内无地下水集中式饮用水水源和热水、矿泉水、温泉等特殊地下水资源</w:t>
                  </w:r>
                </w:p>
              </w:tc>
              <w:tc>
                <w:tcPr>
                  <w:tcW w:w="1563" w:type="pct"/>
                  <w:noWrap w:val="0"/>
                  <w:vAlign w:val="center"/>
                </w:tcPr>
                <w:p w14:paraId="5A1C1E9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r>
                    <w:rPr>
                      <w:color w:val="auto"/>
                      <w:highlight w:val="none"/>
                    </w:rPr>
                    <w:t>《地下水质量标准》（GB/T14848-2017）中Ⅲ类标准</w:t>
                  </w:r>
                </w:p>
              </w:tc>
            </w:tr>
          </w:tbl>
          <w:p w14:paraId="5E23CBD5">
            <w:pPr>
              <w:adjustRightInd w:val="0"/>
              <w:snapToGrid w:val="0"/>
              <w:jc w:val="both"/>
              <w:rPr>
                <w:rFonts w:hint="default" w:ascii="Times New Roman" w:hAnsi="Times New Roman" w:cs="Times New Roman"/>
                <w:color w:val="auto"/>
                <w:kern w:val="0"/>
                <w:sz w:val="24"/>
                <w:szCs w:val="24"/>
                <w:highlight w:val="none"/>
              </w:rPr>
            </w:pPr>
          </w:p>
        </w:tc>
      </w:tr>
      <w:tr w14:paraId="3BAC87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tcMar>
              <w:left w:w="28" w:type="dxa"/>
              <w:right w:w="28" w:type="dxa"/>
            </w:tcMar>
            <w:vAlign w:val="center"/>
          </w:tcPr>
          <w:p w14:paraId="24581B0E">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污染物排放控制标准</w:t>
            </w:r>
          </w:p>
        </w:tc>
        <w:tc>
          <w:tcPr>
            <w:tcW w:w="8190" w:type="dxa"/>
            <w:noWrap w:val="0"/>
            <w:vAlign w:val="center"/>
          </w:tcPr>
          <w:p w14:paraId="1D2164D3">
            <w:pPr>
              <w:ind w:firstLine="482"/>
              <w:rPr>
                <w:b/>
                <w:bCs/>
                <w:color w:val="auto"/>
                <w:highlight w:val="none"/>
              </w:rPr>
            </w:pPr>
            <w:r>
              <w:rPr>
                <w:b/>
                <w:bCs/>
                <w:color w:val="auto"/>
                <w:highlight w:val="none"/>
              </w:rPr>
              <w:t>一、废气排放标准</w:t>
            </w:r>
          </w:p>
          <w:p w14:paraId="484BBDB7">
            <w:pPr>
              <w:ind w:firstLine="482"/>
              <w:rPr>
                <w:b/>
                <w:bCs/>
                <w:color w:val="auto"/>
                <w:highlight w:val="none"/>
              </w:rPr>
            </w:pPr>
            <w:r>
              <w:rPr>
                <w:rFonts w:hint="eastAsia"/>
                <w:b/>
                <w:bCs/>
                <w:color w:val="auto"/>
                <w:highlight w:val="none"/>
                <w:lang w:eastAsia="zh-CN"/>
              </w:rPr>
              <w:t>1.</w:t>
            </w:r>
            <w:r>
              <w:rPr>
                <w:b/>
                <w:bCs/>
                <w:color w:val="auto"/>
                <w:highlight w:val="none"/>
              </w:rPr>
              <w:t>施工期</w:t>
            </w:r>
          </w:p>
          <w:p w14:paraId="7EC4C8EA">
            <w:pPr>
              <w:ind w:firstLine="480"/>
              <w:rPr>
                <w:color w:val="auto"/>
                <w:highlight w:val="none"/>
              </w:rPr>
            </w:pPr>
            <w:r>
              <w:rPr>
                <w:color w:val="auto"/>
                <w:highlight w:val="none"/>
              </w:rPr>
              <w:t>本项目施工期大气污染物排放执行《大气污染物综合排放标准》（GB16297-1996）表2新污染源大气污染物排放限值中无组织排放监控浓度限值。具体标准限值见下表3-</w:t>
            </w:r>
            <w:r>
              <w:rPr>
                <w:rFonts w:hint="eastAsia"/>
                <w:color w:val="auto"/>
                <w:highlight w:val="none"/>
                <w:lang w:val="en-US" w:eastAsia="zh-CN"/>
              </w:rPr>
              <w:t>4</w:t>
            </w:r>
            <w:r>
              <w:rPr>
                <w:color w:val="auto"/>
                <w:highlight w:val="none"/>
              </w:rPr>
              <w:t>。</w:t>
            </w:r>
          </w:p>
          <w:p w14:paraId="2211BA8C">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4</w:t>
            </w:r>
            <w:r>
              <w:rPr>
                <w:b/>
                <w:bCs/>
                <w:color w:val="auto"/>
                <w:highlight w:val="none"/>
              </w:rPr>
              <w:t>《大气污染物综合排放标准》（GB16297-1996）</w:t>
            </w:r>
          </w:p>
          <w:tbl>
            <w:tblPr>
              <w:tblStyle w:val="26"/>
              <w:tblW w:w="803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3316"/>
              <w:gridCol w:w="3318"/>
            </w:tblGrid>
            <w:tr w14:paraId="6D15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1396" w:type="dxa"/>
                  <w:vMerge w:val="restart"/>
                  <w:tcBorders>
                    <w:tl2br w:val="nil"/>
                    <w:tr2bl w:val="nil"/>
                  </w:tcBorders>
                  <w:noWrap w:val="0"/>
                  <w:vAlign w:val="center"/>
                </w:tcPr>
                <w:p w14:paraId="439E7D0A">
                  <w:pPr>
                    <w:spacing w:line="240" w:lineRule="auto"/>
                    <w:ind w:firstLine="0" w:firstLineChars="0"/>
                    <w:jc w:val="center"/>
                    <w:rPr>
                      <w:color w:val="auto"/>
                      <w:highlight w:val="none"/>
                    </w:rPr>
                  </w:pPr>
                  <w:r>
                    <w:rPr>
                      <w:color w:val="auto"/>
                      <w:highlight w:val="none"/>
                    </w:rPr>
                    <w:t>污染物</w:t>
                  </w:r>
                </w:p>
              </w:tc>
              <w:tc>
                <w:tcPr>
                  <w:tcW w:w="6634" w:type="dxa"/>
                  <w:gridSpan w:val="2"/>
                  <w:tcBorders>
                    <w:tl2br w:val="nil"/>
                    <w:tr2bl w:val="nil"/>
                  </w:tcBorders>
                  <w:noWrap w:val="0"/>
                  <w:vAlign w:val="center"/>
                </w:tcPr>
                <w:p w14:paraId="60D2FA37">
                  <w:pPr>
                    <w:spacing w:line="240" w:lineRule="auto"/>
                    <w:ind w:firstLine="0" w:firstLineChars="0"/>
                    <w:jc w:val="center"/>
                    <w:rPr>
                      <w:color w:val="auto"/>
                      <w:highlight w:val="none"/>
                    </w:rPr>
                  </w:pPr>
                  <w:r>
                    <w:rPr>
                      <w:color w:val="auto"/>
                      <w:highlight w:val="none"/>
                    </w:rPr>
                    <w:t>无组织排放监控浓度限值</w:t>
                  </w:r>
                </w:p>
              </w:tc>
            </w:tr>
            <w:tr w14:paraId="1D8D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6" w:type="dxa"/>
                  <w:vMerge w:val="continue"/>
                  <w:tcBorders>
                    <w:tl2br w:val="nil"/>
                    <w:tr2bl w:val="nil"/>
                  </w:tcBorders>
                  <w:noWrap w:val="0"/>
                  <w:vAlign w:val="center"/>
                </w:tcPr>
                <w:p w14:paraId="0F27A10D">
                  <w:pPr>
                    <w:spacing w:line="240" w:lineRule="auto"/>
                    <w:ind w:firstLine="0" w:firstLineChars="0"/>
                    <w:jc w:val="center"/>
                    <w:rPr>
                      <w:color w:val="auto"/>
                      <w:highlight w:val="none"/>
                    </w:rPr>
                  </w:pPr>
                </w:p>
              </w:tc>
              <w:tc>
                <w:tcPr>
                  <w:tcW w:w="3316" w:type="dxa"/>
                  <w:tcBorders>
                    <w:tl2br w:val="nil"/>
                    <w:tr2bl w:val="nil"/>
                  </w:tcBorders>
                  <w:noWrap w:val="0"/>
                  <w:vAlign w:val="center"/>
                </w:tcPr>
                <w:p w14:paraId="213D5168">
                  <w:pPr>
                    <w:spacing w:line="240" w:lineRule="auto"/>
                    <w:ind w:firstLine="0" w:firstLineChars="0"/>
                    <w:jc w:val="center"/>
                    <w:rPr>
                      <w:color w:val="auto"/>
                      <w:highlight w:val="none"/>
                    </w:rPr>
                  </w:pPr>
                  <w:r>
                    <w:rPr>
                      <w:color w:val="auto"/>
                      <w:highlight w:val="none"/>
                    </w:rPr>
                    <w:t>监控点</w:t>
                  </w:r>
                </w:p>
              </w:tc>
              <w:tc>
                <w:tcPr>
                  <w:tcW w:w="3318" w:type="dxa"/>
                  <w:tcBorders>
                    <w:tl2br w:val="nil"/>
                    <w:tr2bl w:val="nil"/>
                  </w:tcBorders>
                  <w:noWrap w:val="0"/>
                  <w:vAlign w:val="center"/>
                </w:tcPr>
                <w:p w14:paraId="079FE983">
                  <w:pPr>
                    <w:spacing w:line="240" w:lineRule="auto"/>
                    <w:ind w:firstLine="0" w:firstLineChars="0"/>
                    <w:jc w:val="center"/>
                    <w:rPr>
                      <w:color w:val="auto"/>
                      <w:highlight w:val="none"/>
                    </w:rPr>
                  </w:pPr>
                  <w:r>
                    <w:rPr>
                      <w:color w:val="auto"/>
                      <w:highlight w:val="none"/>
                    </w:rPr>
                    <w:t>浓度mg/m³</w:t>
                  </w:r>
                </w:p>
              </w:tc>
            </w:tr>
            <w:tr w14:paraId="4855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6" w:type="dxa"/>
                  <w:tcBorders>
                    <w:tl2br w:val="nil"/>
                    <w:tr2bl w:val="nil"/>
                  </w:tcBorders>
                  <w:noWrap w:val="0"/>
                  <w:vAlign w:val="center"/>
                </w:tcPr>
                <w:p w14:paraId="5B4B20BF">
                  <w:pPr>
                    <w:spacing w:line="240" w:lineRule="auto"/>
                    <w:ind w:firstLine="0" w:firstLineChars="0"/>
                    <w:jc w:val="center"/>
                    <w:rPr>
                      <w:color w:val="auto"/>
                      <w:highlight w:val="none"/>
                    </w:rPr>
                  </w:pPr>
                  <w:r>
                    <w:rPr>
                      <w:color w:val="auto"/>
                      <w:highlight w:val="none"/>
                    </w:rPr>
                    <w:t>颗粒物</w:t>
                  </w:r>
                </w:p>
              </w:tc>
              <w:tc>
                <w:tcPr>
                  <w:tcW w:w="3316" w:type="dxa"/>
                  <w:tcBorders>
                    <w:tl2br w:val="nil"/>
                    <w:tr2bl w:val="nil"/>
                  </w:tcBorders>
                  <w:noWrap w:val="0"/>
                  <w:vAlign w:val="center"/>
                </w:tcPr>
                <w:p w14:paraId="74345623">
                  <w:pPr>
                    <w:spacing w:line="240" w:lineRule="auto"/>
                    <w:ind w:firstLine="0" w:firstLineChars="0"/>
                    <w:jc w:val="center"/>
                    <w:rPr>
                      <w:color w:val="auto"/>
                      <w:highlight w:val="none"/>
                    </w:rPr>
                  </w:pPr>
                  <w:r>
                    <w:rPr>
                      <w:color w:val="auto"/>
                      <w:highlight w:val="none"/>
                    </w:rPr>
                    <w:t>周界外浓度最高点</w:t>
                  </w:r>
                </w:p>
              </w:tc>
              <w:tc>
                <w:tcPr>
                  <w:tcW w:w="3318" w:type="dxa"/>
                  <w:tcBorders>
                    <w:tl2br w:val="nil"/>
                    <w:tr2bl w:val="nil"/>
                  </w:tcBorders>
                  <w:noWrap w:val="0"/>
                  <w:vAlign w:val="center"/>
                </w:tcPr>
                <w:p w14:paraId="756C7C99">
                  <w:pPr>
                    <w:spacing w:line="240" w:lineRule="auto"/>
                    <w:ind w:firstLine="0" w:firstLineChars="0"/>
                    <w:jc w:val="center"/>
                    <w:rPr>
                      <w:color w:val="auto"/>
                      <w:highlight w:val="none"/>
                    </w:rPr>
                  </w:pPr>
                  <w:r>
                    <w:rPr>
                      <w:color w:val="auto"/>
                      <w:highlight w:val="none"/>
                    </w:rPr>
                    <w:t>1.0</w:t>
                  </w:r>
                </w:p>
              </w:tc>
            </w:tr>
          </w:tbl>
          <w:p w14:paraId="4CBB13AF">
            <w:pPr>
              <w:ind w:firstLine="482"/>
              <w:rPr>
                <w:b/>
                <w:bCs/>
                <w:color w:val="auto"/>
                <w:highlight w:val="none"/>
              </w:rPr>
            </w:pPr>
            <w:r>
              <w:rPr>
                <w:rFonts w:hint="eastAsia"/>
                <w:b/>
                <w:bCs/>
                <w:color w:val="auto"/>
                <w:highlight w:val="none"/>
                <w:lang w:eastAsia="zh-CN"/>
              </w:rPr>
              <w:t>2.</w:t>
            </w:r>
            <w:r>
              <w:rPr>
                <w:b/>
                <w:bCs/>
                <w:color w:val="auto"/>
                <w:highlight w:val="none"/>
              </w:rPr>
              <w:t>运营期</w:t>
            </w:r>
          </w:p>
          <w:p w14:paraId="52296B24">
            <w:pPr>
              <w:ind w:firstLine="480"/>
              <w:rPr>
                <w:rFonts w:hint="eastAsia" w:eastAsia="宋体"/>
                <w:color w:val="auto"/>
                <w:highlight w:val="none"/>
                <w:lang w:val="en-US" w:eastAsia="zh-CN"/>
              </w:rPr>
            </w:pPr>
            <w:r>
              <w:rPr>
                <w:rFonts w:hint="eastAsia"/>
                <w:color w:val="auto"/>
                <w:highlight w:val="none"/>
                <w:lang w:eastAsia="zh-CN"/>
              </w:rPr>
              <w:t>燃煤</w:t>
            </w:r>
            <w:r>
              <w:rPr>
                <w:rFonts w:hint="eastAsia"/>
                <w:color w:val="auto"/>
                <w:highlight w:val="none"/>
                <w:lang w:val="en-US" w:eastAsia="zh-CN"/>
              </w:rPr>
              <w:t>蒸汽</w:t>
            </w:r>
            <w:r>
              <w:rPr>
                <w:color w:val="auto"/>
                <w:highlight w:val="none"/>
              </w:rPr>
              <w:t>锅炉燃烧废气中污染物颗粒物、二氧化硫、氮氧化物、</w:t>
            </w:r>
            <w:r>
              <w:rPr>
                <w:rFonts w:hint="eastAsia"/>
                <w:color w:val="auto"/>
                <w:highlight w:val="none"/>
                <w:lang w:val="en-US" w:eastAsia="zh-CN"/>
              </w:rPr>
              <w:t>汞及其化合物、</w:t>
            </w:r>
            <w:r>
              <w:rPr>
                <w:color w:val="auto"/>
                <w:highlight w:val="none"/>
              </w:rPr>
              <w:t>烟气黑度</w:t>
            </w:r>
            <w:r>
              <w:rPr>
                <w:rFonts w:hint="eastAsia"/>
                <w:color w:val="auto"/>
                <w:highlight w:val="none"/>
                <w:lang w:eastAsia="zh-CN"/>
              </w:rPr>
              <w:t>，</w:t>
            </w:r>
            <w:r>
              <w:rPr>
                <w:color w:val="auto"/>
                <w:highlight w:val="none"/>
              </w:rPr>
              <w:t>执行</w:t>
            </w:r>
            <w:r>
              <w:rPr>
                <w:rFonts w:hint="eastAsia"/>
                <w:color w:val="auto"/>
                <w:highlight w:val="none"/>
                <w:lang w:val="en-US" w:eastAsia="zh-CN"/>
              </w:rPr>
              <w:t>重点地区锅炉执行</w:t>
            </w:r>
            <w:r>
              <w:rPr>
                <w:color w:val="auto"/>
                <w:highlight w:val="none"/>
              </w:rPr>
              <w:t>《锅炉大气污染物排放标准》（GB13271-2014）中表</w:t>
            </w:r>
            <w:r>
              <w:rPr>
                <w:rFonts w:hint="eastAsia"/>
                <w:color w:val="auto"/>
                <w:highlight w:val="none"/>
                <w:lang w:val="en-US" w:eastAsia="zh-CN"/>
              </w:rPr>
              <w:t>3</w:t>
            </w:r>
            <w:r>
              <w:rPr>
                <w:color w:val="auto"/>
                <w:highlight w:val="none"/>
              </w:rPr>
              <w:t>大气污染物</w:t>
            </w:r>
            <w:r>
              <w:rPr>
                <w:rFonts w:hint="eastAsia"/>
                <w:color w:val="auto"/>
                <w:highlight w:val="none"/>
                <w:lang w:val="en-US" w:eastAsia="zh-CN"/>
              </w:rPr>
              <w:t>特别</w:t>
            </w:r>
            <w:r>
              <w:rPr>
                <w:color w:val="auto"/>
                <w:highlight w:val="none"/>
              </w:rPr>
              <w:t>排放限值要求，具体标准限值见下表3-</w:t>
            </w:r>
            <w:r>
              <w:rPr>
                <w:rFonts w:hint="eastAsia"/>
                <w:color w:val="auto"/>
                <w:highlight w:val="none"/>
                <w:lang w:val="en-US" w:eastAsia="zh-CN"/>
              </w:rPr>
              <w:t>5。</w:t>
            </w:r>
          </w:p>
          <w:p w14:paraId="40C398CA">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5</w:t>
            </w:r>
            <w:r>
              <w:rPr>
                <w:b/>
                <w:bCs/>
                <w:color w:val="auto"/>
                <w:highlight w:val="none"/>
              </w:rPr>
              <w:t>《锅炉大气污染物排放标准》（GB13271-2014）</w:t>
            </w:r>
          </w:p>
          <w:tbl>
            <w:tblPr>
              <w:tblStyle w:val="26"/>
              <w:tblW w:w="7839"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9"/>
              <w:gridCol w:w="3920"/>
            </w:tblGrid>
            <w:tr w14:paraId="459CD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919" w:type="dxa"/>
                  <w:tcBorders>
                    <w:tl2br w:val="nil"/>
                    <w:tr2bl w:val="nil"/>
                  </w:tcBorders>
                  <w:noWrap w:val="0"/>
                  <w:vAlign w:val="center"/>
                </w:tcPr>
                <w:p w14:paraId="3AC36745">
                  <w:pPr>
                    <w:spacing w:line="240" w:lineRule="auto"/>
                    <w:ind w:firstLine="0" w:firstLineChars="0"/>
                    <w:jc w:val="center"/>
                    <w:rPr>
                      <w:color w:val="auto"/>
                      <w:highlight w:val="none"/>
                    </w:rPr>
                  </w:pPr>
                  <w:r>
                    <w:rPr>
                      <w:color w:val="auto"/>
                      <w:highlight w:val="none"/>
                    </w:rPr>
                    <w:t>污染物</w:t>
                  </w:r>
                </w:p>
              </w:tc>
              <w:tc>
                <w:tcPr>
                  <w:tcW w:w="3920" w:type="dxa"/>
                  <w:tcBorders>
                    <w:tl2br w:val="nil"/>
                    <w:tr2bl w:val="nil"/>
                  </w:tcBorders>
                  <w:noWrap w:val="0"/>
                  <w:vAlign w:val="center"/>
                </w:tcPr>
                <w:p w14:paraId="28671E73">
                  <w:pPr>
                    <w:spacing w:line="240" w:lineRule="auto"/>
                    <w:ind w:firstLine="0" w:firstLineChars="0"/>
                    <w:jc w:val="center"/>
                    <w:rPr>
                      <w:rFonts w:hint="eastAsia" w:eastAsia="宋体"/>
                      <w:color w:val="auto"/>
                      <w:highlight w:val="none"/>
                      <w:lang w:eastAsia="zh-CN"/>
                    </w:rPr>
                  </w:pPr>
                  <w:r>
                    <w:rPr>
                      <w:color w:val="auto"/>
                      <w:highlight w:val="none"/>
                    </w:rPr>
                    <w:t>浓度限值</w:t>
                  </w:r>
                  <w:r>
                    <w:rPr>
                      <w:rFonts w:hint="eastAsia"/>
                      <w:color w:val="auto"/>
                      <w:highlight w:val="none"/>
                      <w:lang w:eastAsia="zh-CN"/>
                    </w:rPr>
                    <w:t>（</w:t>
                  </w:r>
                  <w:r>
                    <w:rPr>
                      <w:rFonts w:hint="eastAsia"/>
                      <w:color w:val="auto"/>
                      <w:highlight w:val="none"/>
                      <w:lang w:val="en-US" w:eastAsia="zh-CN"/>
                    </w:rPr>
                    <w:t>燃煤锅炉</w:t>
                  </w:r>
                  <w:r>
                    <w:rPr>
                      <w:rFonts w:hint="eastAsia"/>
                      <w:color w:val="auto"/>
                      <w:highlight w:val="none"/>
                      <w:lang w:eastAsia="zh-CN"/>
                    </w:rPr>
                    <w:t>）</w:t>
                  </w:r>
                </w:p>
              </w:tc>
            </w:tr>
            <w:tr w14:paraId="0D80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919" w:type="dxa"/>
                  <w:tcBorders>
                    <w:tl2br w:val="nil"/>
                    <w:tr2bl w:val="nil"/>
                  </w:tcBorders>
                  <w:noWrap w:val="0"/>
                  <w:vAlign w:val="center"/>
                </w:tcPr>
                <w:p w14:paraId="0832B385">
                  <w:pPr>
                    <w:spacing w:line="240" w:lineRule="auto"/>
                    <w:ind w:firstLine="0" w:firstLineChars="0"/>
                    <w:jc w:val="center"/>
                    <w:rPr>
                      <w:color w:val="auto"/>
                      <w:highlight w:val="none"/>
                    </w:rPr>
                  </w:pPr>
                  <w:r>
                    <w:rPr>
                      <w:color w:val="auto"/>
                      <w:highlight w:val="none"/>
                    </w:rPr>
                    <w:t>颗粒物</w:t>
                  </w:r>
                </w:p>
              </w:tc>
              <w:tc>
                <w:tcPr>
                  <w:tcW w:w="3920" w:type="dxa"/>
                  <w:tcBorders>
                    <w:tl2br w:val="nil"/>
                    <w:tr2bl w:val="nil"/>
                  </w:tcBorders>
                  <w:noWrap w:val="0"/>
                  <w:vAlign w:val="center"/>
                </w:tcPr>
                <w:p w14:paraId="57EB8A12">
                  <w:pPr>
                    <w:spacing w:line="240" w:lineRule="auto"/>
                    <w:ind w:firstLine="0" w:firstLineChars="0"/>
                    <w:jc w:val="center"/>
                    <w:rPr>
                      <w:color w:val="auto"/>
                      <w:highlight w:val="none"/>
                    </w:rPr>
                  </w:pPr>
                  <w:r>
                    <w:rPr>
                      <w:rFonts w:hint="eastAsia"/>
                      <w:color w:val="auto"/>
                      <w:highlight w:val="none"/>
                      <w:lang w:val="en-US" w:eastAsia="zh-CN"/>
                    </w:rPr>
                    <w:t>3</w:t>
                  </w:r>
                  <w:r>
                    <w:rPr>
                      <w:color w:val="auto"/>
                      <w:highlight w:val="none"/>
                    </w:rPr>
                    <w:t>0mg/m³</w:t>
                  </w:r>
                </w:p>
              </w:tc>
            </w:tr>
            <w:tr w14:paraId="654C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3919" w:type="dxa"/>
                  <w:tcBorders>
                    <w:tl2br w:val="nil"/>
                    <w:tr2bl w:val="nil"/>
                  </w:tcBorders>
                  <w:noWrap w:val="0"/>
                  <w:vAlign w:val="center"/>
                </w:tcPr>
                <w:p w14:paraId="6FAC2E80">
                  <w:pPr>
                    <w:spacing w:line="240" w:lineRule="auto"/>
                    <w:ind w:firstLine="0" w:firstLineChars="0"/>
                    <w:jc w:val="center"/>
                    <w:rPr>
                      <w:color w:val="auto"/>
                      <w:highlight w:val="none"/>
                    </w:rPr>
                  </w:pPr>
                  <w:r>
                    <w:rPr>
                      <w:color w:val="auto"/>
                      <w:highlight w:val="none"/>
                    </w:rPr>
                    <w:t>二氧化硫</w:t>
                  </w:r>
                </w:p>
              </w:tc>
              <w:tc>
                <w:tcPr>
                  <w:tcW w:w="3920" w:type="dxa"/>
                  <w:tcBorders>
                    <w:tl2br w:val="nil"/>
                    <w:tr2bl w:val="nil"/>
                  </w:tcBorders>
                  <w:noWrap w:val="0"/>
                  <w:vAlign w:val="center"/>
                </w:tcPr>
                <w:p w14:paraId="7C4A9750">
                  <w:pPr>
                    <w:spacing w:line="240" w:lineRule="auto"/>
                    <w:ind w:firstLine="0" w:firstLineChars="0"/>
                    <w:jc w:val="center"/>
                    <w:rPr>
                      <w:color w:val="auto"/>
                      <w:highlight w:val="none"/>
                    </w:rPr>
                  </w:pPr>
                  <w:r>
                    <w:rPr>
                      <w:rFonts w:hint="eastAsia"/>
                      <w:color w:val="auto"/>
                      <w:highlight w:val="none"/>
                      <w:lang w:val="en-US" w:eastAsia="zh-CN"/>
                    </w:rPr>
                    <w:t>200</w:t>
                  </w:r>
                  <w:r>
                    <w:rPr>
                      <w:color w:val="auto"/>
                      <w:highlight w:val="none"/>
                    </w:rPr>
                    <w:t>mg/m³</w:t>
                  </w:r>
                </w:p>
              </w:tc>
            </w:tr>
            <w:tr w14:paraId="08A7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19" w:type="dxa"/>
                  <w:tcBorders>
                    <w:tl2br w:val="nil"/>
                    <w:tr2bl w:val="nil"/>
                  </w:tcBorders>
                  <w:noWrap w:val="0"/>
                  <w:vAlign w:val="center"/>
                </w:tcPr>
                <w:p w14:paraId="34719A89">
                  <w:pPr>
                    <w:spacing w:line="240" w:lineRule="auto"/>
                    <w:ind w:firstLine="0" w:firstLineChars="0"/>
                    <w:jc w:val="center"/>
                    <w:rPr>
                      <w:color w:val="auto"/>
                      <w:highlight w:val="none"/>
                    </w:rPr>
                  </w:pPr>
                  <w:r>
                    <w:rPr>
                      <w:color w:val="auto"/>
                      <w:highlight w:val="none"/>
                    </w:rPr>
                    <w:t>氮氧化物</w:t>
                  </w:r>
                </w:p>
              </w:tc>
              <w:tc>
                <w:tcPr>
                  <w:tcW w:w="3920" w:type="dxa"/>
                  <w:tcBorders>
                    <w:tl2br w:val="nil"/>
                    <w:tr2bl w:val="nil"/>
                  </w:tcBorders>
                  <w:noWrap w:val="0"/>
                  <w:vAlign w:val="center"/>
                </w:tcPr>
                <w:p w14:paraId="33119DC5">
                  <w:pPr>
                    <w:spacing w:line="240" w:lineRule="auto"/>
                    <w:ind w:firstLine="0" w:firstLineChars="0"/>
                    <w:jc w:val="center"/>
                    <w:rPr>
                      <w:rFonts w:hint="eastAsia" w:eastAsia="宋体"/>
                      <w:color w:val="auto"/>
                      <w:highlight w:val="none"/>
                      <w:lang w:eastAsia="zh-CN"/>
                    </w:rPr>
                  </w:pPr>
                  <w:r>
                    <w:rPr>
                      <w:rFonts w:hint="eastAsia"/>
                      <w:color w:val="auto"/>
                      <w:highlight w:val="none"/>
                      <w:lang w:val="en-US" w:eastAsia="zh-CN"/>
                    </w:rPr>
                    <w:t>200m</w:t>
                  </w:r>
                  <w:r>
                    <w:rPr>
                      <w:color w:val="auto"/>
                      <w:highlight w:val="none"/>
                    </w:rPr>
                    <w:t>g/m³</w:t>
                  </w:r>
                </w:p>
              </w:tc>
            </w:tr>
            <w:tr w14:paraId="4C4A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19" w:type="dxa"/>
                  <w:tcBorders>
                    <w:tl2br w:val="nil"/>
                    <w:tr2bl w:val="nil"/>
                  </w:tcBorders>
                  <w:noWrap w:val="0"/>
                  <w:vAlign w:val="center"/>
                </w:tcPr>
                <w:p w14:paraId="3FD2E1AC">
                  <w:pPr>
                    <w:spacing w:line="240" w:lineRule="auto"/>
                    <w:ind w:firstLine="0" w:firstLineChars="0"/>
                    <w:jc w:val="center"/>
                    <w:rPr>
                      <w:rFonts w:hint="default" w:eastAsia="宋体"/>
                      <w:color w:val="auto"/>
                      <w:highlight w:val="none"/>
                      <w:lang w:val="en-US" w:eastAsia="zh-CN"/>
                    </w:rPr>
                  </w:pPr>
                  <w:r>
                    <w:rPr>
                      <w:rFonts w:hint="eastAsia"/>
                      <w:color w:val="auto"/>
                      <w:highlight w:val="none"/>
                      <w:lang w:val="en-US" w:eastAsia="zh-CN"/>
                    </w:rPr>
                    <w:t>汞及其化合物</w:t>
                  </w:r>
                </w:p>
              </w:tc>
              <w:tc>
                <w:tcPr>
                  <w:tcW w:w="3920" w:type="dxa"/>
                  <w:tcBorders>
                    <w:tl2br w:val="nil"/>
                    <w:tr2bl w:val="nil"/>
                  </w:tcBorders>
                  <w:noWrap w:val="0"/>
                  <w:vAlign w:val="center"/>
                </w:tcPr>
                <w:p w14:paraId="4834B7D9">
                  <w:pPr>
                    <w:spacing w:line="240" w:lineRule="auto"/>
                    <w:ind w:firstLine="0" w:firstLineChars="0"/>
                    <w:jc w:val="center"/>
                    <w:rPr>
                      <w:rFonts w:hint="default"/>
                      <w:color w:val="auto"/>
                      <w:highlight w:val="none"/>
                      <w:lang w:val="en-US" w:eastAsia="zh-CN"/>
                    </w:rPr>
                  </w:pPr>
                  <w:r>
                    <w:rPr>
                      <w:rFonts w:hint="eastAsia"/>
                      <w:color w:val="auto"/>
                      <w:highlight w:val="none"/>
                      <w:lang w:val="en-US" w:eastAsia="zh-CN"/>
                    </w:rPr>
                    <w:t>0.05mg/m³</w:t>
                  </w:r>
                </w:p>
              </w:tc>
            </w:tr>
            <w:tr w14:paraId="6377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3919" w:type="dxa"/>
                  <w:tcBorders>
                    <w:tl2br w:val="nil"/>
                    <w:tr2bl w:val="nil"/>
                  </w:tcBorders>
                  <w:noWrap w:val="0"/>
                  <w:vAlign w:val="center"/>
                </w:tcPr>
                <w:p w14:paraId="46F9E701">
                  <w:pPr>
                    <w:spacing w:line="240" w:lineRule="auto"/>
                    <w:ind w:firstLine="0" w:firstLineChars="0"/>
                    <w:jc w:val="center"/>
                    <w:rPr>
                      <w:color w:val="auto"/>
                      <w:highlight w:val="none"/>
                    </w:rPr>
                  </w:pPr>
                  <w:r>
                    <w:rPr>
                      <w:color w:val="auto"/>
                      <w:highlight w:val="none"/>
                    </w:rPr>
                    <w:t>烟气黑度（林格曼黑度，级）</w:t>
                  </w:r>
                </w:p>
              </w:tc>
              <w:tc>
                <w:tcPr>
                  <w:tcW w:w="3920" w:type="dxa"/>
                  <w:tcBorders>
                    <w:tl2br w:val="nil"/>
                    <w:tr2bl w:val="nil"/>
                  </w:tcBorders>
                  <w:noWrap w:val="0"/>
                  <w:vAlign w:val="center"/>
                </w:tcPr>
                <w:p w14:paraId="726A83A2">
                  <w:pPr>
                    <w:spacing w:line="240" w:lineRule="auto"/>
                    <w:ind w:firstLine="0" w:firstLineChars="0"/>
                    <w:jc w:val="center"/>
                    <w:rPr>
                      <w:color w:val="auto"/>
                      <w:highlight w:val="none"/>
                    </w:rPr>
                  </w:pPr>
                  <w:r>
                    <w:rPr>
                      <w:rFonts w:hint="eastAsia"/>
                      <w:color w:val="auto"/>
                      <w:highlight w:val="none"/>
                      <w:lang w:eastAsia="zh-CN"/>
                    </w:rPr>
                    <w:t>≤</w:t>
                  </w:r>
                  <w:r>
                    <w:rPr>
                      <w:color w:val="auto"/>
                      <w:highlight w:val="none"/>
                    </w:rPr>
                    <w:t>1</w:t>
                  </w:r>
                </w:p>
              </w:tc>
            </w:tr>
          </w:tbl>
          <w:p w14:paraId="43653EFC">
            <w:pPr>
              <w:ind w:firstLine="482"/>
              <w:rPr>
                <w:color w:val="auto"/>
                <w:highlight w:val="none"/>
              </w:rPr>
            </w:pPr>
            <w:r>
              <w:rPr>
                <w:rFonts w:hint="eastAsia"/>
                <w:b/>
                <w:bCs/>
                <w:color w:val="auto"/>
                <w:highlight w:val="none"/>
                <w:lang w:val="en-US" w:eastAsia="zh-CN"/>
              </w:rPr>
              <w:t>二</w:t>
            </w:r>
            <w:r>
              <w:rPr>
                <w:b/>
                <w:bCs/>
                <w:color w:val="auto"/>
                <w:highlight w:val="none"/>
              </w:rPr>
              <w:t>、噪声排放标准</w:t>
            </w:r>
          </w:p>
          <w:p w14:paraId="5DD51D38">
            <w:pPr>
              <w:ind w:firstLine="482"/>
              <w:rPr>
                <w:b/>
                <w:bCs/>
                <w:color w:val="auto"/>
                <w:highlight w:val="none"/>
              </w:rPr>
            </w:pPr>
            <w:r>
              <w:rPr>
                <w:rFonts w:hint="eastAsia"/>
                <w:b/>
                <w:bCs/>
                <w:color w:val="auto"/>
                <w:highlight w:val="none"/>
                <w:lang w:eastAsia="zh-CN"/>
              </w:rPr>
              <w:t>1.</w:t>
            </w:r>
            <w:r>
              <w:rPr>
                <w:b/>
                <w:bCs/>
                <w:color w:val="auto"/>
                <w:highlight w:val="none"/>
              </w:rPr>
              <w:t>施工期</w:t>
            </w:r>
          </w:p>
          <w:p w14:paraId="36012C25">
            <w:pPr>
              <w:ind w:firstLine="480"/>
              <w:rPr>
                <w:color w:val="auto"/>
                <w:highlight w:val="none"/>
              </w:rPr>
            </w:pPr>
            <w:r>
              <w:rPr>
                <w:color w:val="auto"/>
                <w:highlight w:val="none"/>
              </w:rPr>
              <w:t>施工期噪声执行《</w:t>
            </w:r>
            <w:r>
              <w:rPr>
                <w:rFonts w:hint="eastAsia"/>
                <w:color w:val="auto"/>
                <w:highlight w:val="none"/>
                <w:lang w:eastAsia="zh-CN"/>
              </w:rPr>
              <w:t>建筑施工噪声排放标准</w:t>
            </w:r>
            <w:r>
              <w:rPr>
                <w:color w:val="auto"/>
                <w:highlight w:val="none"/>
              </w:rPr>
              <w:t>》</w:t>
            </w:r>
            <w:r>
              <w:rPr>
                <w:rFonts w:hint="eastAsia"/>
                <w:color w:val="auto"/>
                <w:highlight w:val="none"/>
                <w:lang w:eastAsia="zh-CN"/>
              </w:rPr>
              <w:t>（</w:t>
            </w:r>
            <w:r>
              <w:rPr>
                <w:color w:val="auto"/>
                <w:highlight w:val="none"/>
              </w:rPr>
              <w:t>GB12523-20</w:t>
            </w:r>
            <w:r>
              <w:rPr>
                <w:rFonts w:hint="eastAsia"/>
                <w:color w:val="auto"/>
                <w:highlight w:val="none"/>
                <w:lang w:val="en-US" w:eastAsia="zh-CN"/>
              </w:rPr>
              <w:t>25</w:t>
            </w:r>
            <w:r>
              <w:rPr>
                <w:rFonts w:hint="eastAsia"/>
                <w:color w:val="auto"/>
                <w:highlight w:val="none"/>
                <w:lang w:eastAsia="zh-CN"/>
              </w:rPr>
              <w:t>）</w:t>
            </w:r>
            <w:r>
              <w:rPr>
                <w:color w:val="auto"/>
                <w:highlight w:val="none"/>
              </w:rPr>
              <w:t>，具体标准值见下表。</w:t>
            </w:r>
          </w:p>
          <w:p w14:paraId="3E1E91B8">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6</w:t>
            </w:r>
            <w:r>
              <w:rPr>
                <w:b/>
                <w:bCs/>
                <w:color w:val="auto"/>
                <w:highlight w:val="none"/>
              </w:rPr>
              <w:t>《</w:t>
            </w:r>
            <w:r>
              <w:rPr>
                <w:rFonts w:hint="eastAsia"/>
                <w:b/>
                <w:bCs/>
                <w:color w:val="auto"/>
                <w:highlight w:val="none"/>
                <w:lang w:eastAsia="zh-CN"/>
              </w:rPr>
              <w:t>建筑施工噪声排放标准</w:t>
            </w:r>
            <w:r>
              <w:rPr>
                <w:b/>
                <w:bCs/>
                <w:color w:val="auto"/>
                <w:highlight w:val="none"/>
              </w:rPr>
              <w:t>》（GB12523-20</w:t>
            </w:r>
            <w:r>
              <w:rPr>
                <w:rFonts w:hint="eastAsia"/>
                <w:b/>
                <w:bCs/>
                <w:color w:val="auto"/>
                <w:highlight w:val="none"/>
                <w:lang w:val="en-US" w:eastAsia="zh-CN"/>
              </w:rPr>
              <w:t>25</w:t>
            </w:r>
            <w:r>
              <w:rPr>
                <w:b/>
                <w:bCs/>
                <w:color w:val="auto"/>
                <w:highlight w:val="none"/>
              </w:rPr>
              <w:t>）</w:t>
            </w: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7"/>
              <w:gridCol w:w="3965"/>
            </w:tblGrid>
            <w:tr w14:paraId="36C9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509" w:type="pct"/>
                  <w:tcBorders>
                    <w:tl2br w:val="nil"/>
                    <w:tr2bl w:val="nil"/>
                  </w:tcBorders>
                  <w:noWrap w:val="0"/>
                  <w:vAlign w:val="center"/>
                </w:tcPr>
                <w:p w14:paraId="55AA69C0">
                  <w:pPr>
                    <w:spacing w:line="240" w:lineRule="auto"/>
                    <w:ind w:firstLine="0" w:firstLineChars="0"/>
                    <w:jc w:val="center"/>
                    <w:rPr>
                      <w:color w:val="auto"/>
                      <w:highlight w:val="none"/>
                    </w:rPr>
                  </w:pPr>
                  <w:r>
                    <w:rPr>
                      <w:color w:val="auto"/>
                      <w:highlight w:val="none"/>
                    </w:rPr>
                    <w:t>昼间</w:t>
                  </w:r>
                </w:p>
              </w:tc>
              <w:tc>
                <w:tcPr>
                  <w:tcW w:w="2490" w:type="pct"/>
                  <w:tcBorders>
                    <w:tl2br w:val="nil"/>
                    <w:tr2bl w:val="nil"/>
                  </w:tcBorders>
                  <w:noWrap w:val="0"/>
                  <w:vAlign w:val="center"/>
                </w:tcPr>
                <w:p w14:paraId="54D1EC91">
                  <w:pPr>
                    <w:spacing w:line="240" w:lineRule="auto"/>
                    <w:ind w:firstLine="0" w:firstLineChars="0"/>
                    <w:jc w:val="center"/>
                    <w:rPr>
                      <w:color w:val="auto"/>
                      <w:highlight w:val="none"/>
                    </w:rPr>
                  </w:pPr>
                  <w:r>
                    <w:rPr>
                      <w:color w:val="auto"/>
                      <w:highlight w:val="none"/>
                    </w:rPr>
                    <w:t>夜间</w:t>
                  </w:r>
                </w:p>
              </w:tc>
            </w:tr>
            <w:tr w14:paraId="006B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2509" w:type="pct"/>
                  <w:tcBorders>
                    <w:tl2br w:val="nil"/>
                    <w:tr2bl w:val="nil"/>
                  </w:tcBorders>
                  <w:noWrap w:val="0"/>
                  <w:vAlign w:val="center"/>
                </w:tcPr>
                <w:p w14:paraId="5BE4BBF3">
                  <w:pPr>
                    <w:spacing w:line="240" w:lineRule="auto"/>
                    <w:ind w:firstLine="0" w:firstLineChars="0"/>
                    <w:jc w:val="center"/>
                    <w:rPr>
                      <w:color w:val="auto"/>
                      <w:highlight w:val="none"/>
                    </w:rPr>
                  </w:pPr>
                  <w:r>
                    <w:rPr>
                      <w:color w:val="auto"/>
                      <w:highlight w:val="none"/>
                    </w:rPr>
                    <w:t>70dB（A）</w:t>
                  </w:r>
                </w:p>
              </w:tc>
              <w:tc>
                <w:tcPr>
                  <w:tcW w:w="2490" w:type="pct"/>
                  <w:tcBorders>
                    <w:tl2br w:val="nil"/>
                    <w:tr2bl w:val="nil"/>
                  </w:tcBorders>
                  <w:noWrap w:val="0"/>
                  <w:vAlign w:val="center"/>
                </w:tcPr>
                <w:p w14:paraId="575FAA4A">
                  <w:pPr>
                    <w:spacing w:line="240" w:lineRule="auto"/>
                    <w:ind w:firstLine="0" w:firstLineChars="0"/>
                    <w:jc w:val="center"/>
                    <w:rPr>
                      <w:color w:val="auto"/>
                      <w:highlight w:val="none"/>
                    </w:rPr>
                  </w:pPr>
                  <w:r>
                    <w:rPr>
                      <w:color w:val="auto"/>
                      <w:highlight w:val="none"/>
                    </w:rPr>
                    <w:t>55dB（A）</w:t>
                  </w:r>
                </w:p>
              </w:tc>
            </w:tr>
          </w:tbl>
          <w:p w14:paraId="79536F43">
            <w:pPr>
              <w:ind w:firstLine="482"/>
              <w:rPr>
                <w:b/>
                <w:bCs/>
                <w:color w:val="auto"/>
                <w:highlight w:val="none"/>
              </w:rPr>
            </w:pPr>
            <w:r>
              <w:rPr>
                <w:rFonts w:hint="eastAsia"/>
                <w:b/>
                <w:bCs/>
                <w:color w:val="auto"/>
                <w:highlight w:val="none"/>
                <w:lang w:eastAsia="zh-CN"/>
              </w:rPr>
              <w:t>2.</w:t>
            </w:r>
            <w:r>
              <w:rPr>
                <w:b/>
                <w:bCs/>
                <w:color w:val="auto"/>
                <w:highlight w:val="none"/>
              </w:rPr>
              <w:t>运营期</w:t>
            </w:r>
          </w:p>
          <w:p w14:paraId="5134707E">
            <w:pPr>
              <w:ind w:firstLine="480"/>
              <w:rPr>
                <w:color w:val="auto"/>
                <w:highlight w:val="none"/>
              </w:rPr>
            </w:pPr>
            <w:r>
              <w:rPr>
                <w:color w:val="auto"/>
                <w:highlight w:val="none"/>
              </w:rPr>
              <w:t>本项目位于</w:t>
            </w:r>
            <w:r>
              <w:rPr>
                <w:rFonts w:hint="default"/>
                <w:color w:val="auto"/>
                <w:highlight w:val="none"/>
                <w:lang w:val="en-US" w:eastAsia="zh-CN"/>
              </w:rPr>
              <w:t>内蒙古自治区鄂尔多斯市准格尔旗纳日松镇，内蒙古伊泰煤炭股份有限公司凯达选煤厂内建设</w:t>
            </w:r>
            <w:r>
              <w:rPr>
                <w:color w:val="auto"/>
                <w:highlight w:val="none"/>
              </w:rPr>
              <w:t>，根据声功能区划，本项目所在区域为</w:t>
            </w:r>
            <w:r>
              <w:rPr>
                <w:rFonts w:hint="eastAsia"/>
                <w:color w:val="auto"/>
                <w:highlight w:val="none"/>
                <w:lang w:val="en-US" w:eastAsia="zh-CN"/>
              </w:rPr>
              <w:t>2</w:t>
            </w:r>
            <w:r>
              <w:rPr>
                <w:color w:val="auto"/>
                <w:highlight w:val="none"/>
              </w:rPr>
              <w:t>类声功能区，本项目运营期厂界噪声执行《工业企业厂界环境噪声排放标准》（GB12348-2008）中</w:t>
            </w:r>
            <w:r>
              <w:rPr>
                <w:rFonts w:hint="eastAsia"/>
                <w:color w:val="auto"/>
                <w:highlight w:val="none"/>
                <w:lang w:val="en-US" w:eastAsia="zh-CN"/>
              </w:rPr>
              <w:t>2</w:t>
            </w:r>
            <w:r>
              <w:rPr>
                <w:color w:val="auto"/>
                <w:highlight w:val="none"/>
              </w:rPr>
              <w:t>类标准限值。</w:t>
            </w:r>
          </w:p>
          <w:p w14:paraId="3ECF4B0D">
            <w:pPr>
              <w:ind w:firstLine="0" w:firstLineChars="0"/>
              <w:jc w:val="center"/>
              <w:rPr>
                <w:b/>
                <w:bCs/>
                <w:color w:val="auto"/>
                <w:highlight w:val="none"/>
              </w:rPr>
            </w:pPr>
            <w:r>
              <w:rPr>
                <w:b/>
                <w:bCs/>
                <w:color w:val="auto"/>
                <w:highlight w:val="none"/>
              </w:rPr>
              <w:t>表3-</w:t>
            </w:r>
            <w:r>
              <w:rPr>
                <w:rFonts w:hint="eastAsia"/>
                <w:b/>
                <w:bCs/>
                <w:color w:val="auto"/>
                <w:highlight w:val="none"/>
                <w:lang w:val="en-US" w:eastAsia="zh-CN"/>
              </w:rPr>
              <w:t>7</w:t>
            </w:r>
            <w:r>
              <w:rPr>
                <w:b/>
                <w:bCs/>
                <w:color w:val="auto"/>
                <w:highlight w:val="none"/>
              </w:rPr>
              <w:t>《工业企业厂界环境噪声排放标准》（GB12348-2008）中</w:t>
            </w:r>
            <w:r>
              <w:rPr>
                <w:rFonts w:hint="eastAsia"/>
                <w:b/>
                <w:bCs/>
                <w:color w:val="auto"/>
                <w:highlight w:val="none"/>
                <w:lang w:val="en-US" w:eastAsia="zh-CN"/>
              </w:rPr>
              <w:t>2</w:t>
            </w:r>
            <w:r>
              <w:rPr>
                <w:b/>
                <w:bCs/>
                <w:color w:val="auto"/>
                <w:highlight w:val="none"/>
              </w:rPr>
              <w:t>类限值</w:t>
            </w:r>
          </w:p>
          <w:tbl>
            <w:tblPr>
              <w:tblStyle w:val="26"/>
              <w:tblW w:w="7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9"/>
              <w:gridCol w:w="3860"/>
            </w:tblGrid>
            <w:tr w14:paraId="6009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859" w:type="dxa"/>
                  <w:tcBorders>
                    <w:tl2br w:val="nil"/>
                    <w:tr2bl w:val="nil"/>
                  </w:tcBorders>
                  <w:noWrap w:val="0"/>
                  <w:vAlign w:val="center"/>
                </w:tcPr>
                <w:p w14:paraId="7BA05A8C">
                  <w:pPr>
                    <w:spacing w:line="240" w:lineRule="auto"/>
                    <w:ind w:firstLine="0" w:firstLineChars="0"/>
                    <w:jc w:val="center"/>
                    <w:rPr>
                      <w:color w:val="auto"/>
                      <w:highlight w:val="none"/>
                    </w:rPr>
                  </w:pPr>
                  <w:r>
                    <w:rPr>
                      <w:color w:val="auto"/>
                      <w:highlight w:val="none"/>
                    </w:rPr>
                    <w:t>昼间</w:t>
                  </w:r>
                </w:p>
              </w:tc>
              <w:tc>
                <w:tcPr>
                  <w:tcW w:w="3860" w:type="dxa"/>
                  <w:tcBorders>
                    <w:tl2br w:val="nil"/>
                    <w:tr2bl w:val="nil"/>
                  </w:tcBorders>
                  <w:noWrap w:val="0"/>
                  <w:vAlign w:val="center"/>
                </w:tcPr>
                <w:p w14:paraId="3D2A11EB">
                  <w:pPr>
                    <w:spacing w:line="240" w:lineRule="auto"/>
                    <w:ind w:firstLine="0" w:firstLineChars="0"/>
                    <w:jc w:val="center"/>
                    <w:rPr>
                      <w:color w:val="auto"/>
                      <w:highlight w:val="none"/>
                    </w:rPr>
                  </w:pPr>
                  <w:r>
                    <w:rPr>
                      <w:color w:val="auto"/>
                      <w:highlight w:val="none"/>
                    </w:rPr>
                    <w:t>夜间</w:t>
                  </w:r>
                </w:p>
              </w:tc>
            </w:tr>
            <w:tr w14:paraId="0E67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59" w:type="dxa"/>
                  <w:tcBorders>
                    <w:tl2br w:val="nil"/>
                    <w:tr2bl w:val="nil"/>
                  </w:tcBorders>
                  <w:noWrap w:val="0"/>
                  <w:vAlign w:val="center"/>
                </w:tcPr>
                <w:p w14:paraId="683D29E8">
                  <w:pPr>
                    <w:spacing w:line="240" w:lineRule="auto"/>
                    <w:ind w:firstLine="0" w:firstLineChars="0"/>
                    <w:jc w:val="center"/>
                    <w:rPr>
                      <w:color w:val="auto"/>
                      <w:highlight w:val="none"/>
                    </w:rPr>
                  </w:pPr>
                  <w:r>
                    <w:rPr>
                      <w:color w:val="auto"/>
                      <w:highlight w:val="none"/>
                    </w:rPr>
                    <w:t>6</w:t>
                  </w:r>
                  <w:r>
                    <w:rPr>
                      <w:rFonts w:hint="eastAsia"/>
                      <w:color w:val="auto"/>
                      <w:highlight w:val="none"/>
                      <w:lang w:val="en-US" w:eastAsia="zh-CN"/>
                    </w:rPr>
                    <w:t>0</w:t>
                  </w:r>
                  <w:r>
                    <w:rPr>
                      <w:color w:val="auto"/>
                      <w:highlight w:val="none"/>
                    </w:rPr>
                    <w:t>dB（A）</w:t>
                  </w:r>
                </w:p>
              </w:tc>
              <w:tc>
                <w:tcPr>
                  <w:tcW w:w="3860" w:type="dxa"/>
                  <w:tcBorders>
                    <w:tl2br w:val="nil"/>
                    <w:tr2bl w:val="nil"/>
                  </w:tcBorders>
                  <w:noWrap w:val="0"/>
                  <w:vAlign w:val="center"/>
                </w:tcPr>
                <w:p w14:paraId="2A697AB9">
                  <w:pPr>
                    <w:spacing w:line="240" w:lineRule="auto"/>
                    <w:ind w:firstLine="0" w:firstLineChars="0"/>
                    <w:jc w:val="center"/>
                    <w:rPr>
                      <w:color w:val="auto"/>
                      <w:highlight w:val="none"/>
                    </w:rPr>
                  </w:pPr>
                  <w:r>
                    <w:rPr>
                      <w:color w:val="auto"/>
                      <w:highlight w:val="none"/>
                    </w:rPr>
                    <w:t>5</w:t>
                  </w:r>
                  <w:r>
                    <w:rPr>
                      <w:rFonts w:hint="eastAsia"/>
                      <w:color w:val="auto"/>
                      <w:highlight w:val="none"/>
                      <w:lang w:val="en-US" w:eastAsia="zh-CN"/>
                    </w:rPr>
                    <w:t>0</w:t>
                  </w:r>
                  <w:r>
                    <w:rPr>
                      <w:color w:val="auto"/>
                      <w:highlight w:val="none"/>
                    </w:rPr>
                    <w:t>dB（A）</w:t>
                  </w:r>
                </w:p>
              </w:tc>
            </w:tr>
          </w:tbl>
          <w:p w14:paraId="13971E21">
            <w:pPr>
              <w:ind w:firstLine="482"/>
              <w:rPr>
                <w:b/>
                <w:bCs/>
                <w:color w:val="auto"/>
                <w:highlight w:val="none"/>
              </w:rPr>
            </w:pPr>
            <w:r>
              <w:rPr>
                <w:rFonts w:hint="eastAsia"/>
                <w:b/>
                <w:bCs/>
                <w:color w:val="auto"/>
                <w:highlight w:val="none"/>
                <w:lang w:val="en-US" w:eastAsia="zh-CN"/>
              </w:rPr>
              <w:t>三</w:t>
            </w:r>
            <w:r>
              <w:rPr>
                <w:b/>
                <w:bCs/>
                <w:color w:val="auto"/>
                <w:highlight w:val="none"/>
              </w:rPr>
              <w:t>、固体废物标准</w:t>
            </w:r>
          </w:p>
          <w:p w14:paraId="1FC934F9">
            <w:pPr>
              <w:adjustRightInd w:val="0"/>
              <w:snapToGrid w:val="0"/>
              <w:jc w:val="both"/>
              <w:rPr>
                <w:rFonts w:hint="default" w:ascii="Times New Roman" w:hAnsi="Times New Roman" w:cs="Times New Roman"/>
                <w:color w:val="auto"/>
                <w:kern w:val="0"/>
                <w:sz w:val="24"/>
                <w:szCs w:val="24"/>
                <w:highlight w:val="none"/>
              </w:rPr>
            </w:pPr>
            <w:r>
              <w:rPr>
                <w:color w:val="auto"/>
                <w:highlight w:val="none"/>
              </w:rPr>
              <w:t>一般工业固废参照《一般工业固体废物贮存和填埋污染控制标准》（GB18599-2020）</w:t>
            </w:r>
            <w:r>
              <w:rPr>
                <w:rFonts w:hint="eastAsia"/>
                <w:color w:val="auto"/>
                <w:highlight w:val="none"/>
                <w:lang w:eastAsia="zh-CN"/>
              </w:rPr>
              <w:t>，</w:t>
            </w:r>
            <w:r>
              <w:rPr>
                <w:rFonts w:hint="eastAsia"/>
                <w:color w:val="auto"/>
                <w:kern w:val="0"/>
                <w:sz w:val="24"/>
                <w:highlight w:val="none"/>
                <w:lang w:val="en-US" w:eastAsia="zh-CN"/>
              </w:rPr>
              <w:t>危险废物执行《危险废物贮存污染控制标准》（GB18597-2023）</w:t>
            </w:r>
            <w:r>
              <w:rPr>
                <w:rFonts w:hint="eastAsia"/>
                <w:color w:val="auto"/>
                <w:kern w:val="0"/>
                <w:sz w:val="24"/>
                <w:highlight w:val="none"/>
                <w:lang w:eastAsia="zh-CN"/>
              </w:rPr>
              <w:t>。</w:t>
            </w:r>
          </w:p>
        </w:tc>
      </w:tr>
      <w:tr w14:paraId="5BEA36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56766468">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总量控制指标</w:t>
            </w:r>
          </w:p>
        </w:tc>
        <w:tc>
          <w:tcPr>
            <w:tcW w:w="8190" w:type="dxa"/>
            <w:noWrap w:val="0"/>
            <w:vAlign w:val="center"/>
          </w:tcPr>
          <w:p w14:paraId="307A5C94">
            <w:pPr>
              <w:adjustRightInd w:val="0"/>
              <w:snapToGrid w:val="0"/>
              <w:jc w:val="both"/>
              <w:rPr>
                <w:rFonts w:hint="default" w:ascii="Times New Roman" w:hAnsi="Times New Roman"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w:t>
            </w:r>
            <w:r>
              <w:rPr>
                <w:rFonts w:hint="default" w:ascii="Times New Roman" w:hAnsi="Times New Roman" w:cs="Times New Roman"/>
                <w:b/>
                <w:bCs/>
                <w:color w:val="auto"/>
                <w:kern w:val="0"/>
                <w:sz w:val="24"/>
                <w:szCs w:val="24"/>
                <w:highlight w:val="none"/>
                <w:lang w:val="en-US" w:eastAsia="zh-CN"/>
              </w:rPr>
              <w:t>总量指标</w:t>
            </w:r>
          </w:p>
          <w:p w14:paraId="20B1F25D">
            <w:pPr>
              <w:bidi w:val="0"/>
              <w:rPr>
                <w:rFonts w:hint="default" w:ascii="Times New Roman" w:hAnsi="Times New Roman" w:cs="Times New Roman"/>
                <w:b/>
                <w:bCs/>
                <w:color w:val="auto"/>
                <w:kern w:val="0"/>
                <w:sz w:val="24"/>
                <w:szCs w:val="24"/>
                <w:highlight w:val="none"/>
                <w:lang w:val="en-US" w:eastAsia="zh-CN"/>
              </w:rPr>
            </w:pPr>
            <w:r>
              <w:rPr>
                <w:rFonts w:hint="eastAsia"/>
                <w:color w:val="auto"/>
                <w:highlight w:val="none"/>
                <w:lang w:val="en-US" w:eastAsia="zh-CN"/>
              </w:rPr>
              <w:t>（1）总指标量</w:t>
            </w:r>
          </w:p>
          <w:p w14:paraId="58E1BF0E">
            <w:pPr>
              <w:bidi w:val="0"/>
              <w:rPr>
                <w:rFonts w:hint="default" w:eastAsia="宋体"/>
                <w:color w:val="auto"/>
                <w:highlight w:val="none"/>
                <w:lang w:val="en-US" w:eastAsia="zh-CN"/>
              </w:rPr>
            </w:pPr>
            <w:r>
              <w:rPr>
                <w:rFonts w:hint="default"/>
                <w:color w:val="auto"/>
                <w:highlight w:val="none"/>
                <w:lang w:val="en-US"/>
              </w:rPr>
              <w:t>201</w:t>
            </w:r>
            <w:r>
              <w:rPr>
                <w:rFonts w:hint="eastAsia"/>
                <w:color w:val="auto"/>
                <w:highlight w:val="none"/>
                <w:lang w:val="en-US" w:eastAsia="zh-CN"/>
              </w:rPr>
              <w:t>1</w:t>
            </w:r>
            <w:r>
              <w:rPr>
                <w:rFonts w:hint="default"/>
                <w:color w:val="auto"/>
                <w:highlight w:val="none"/>
                <w:lang w:val="en-US"/>
              </w:rPr>
              <w:t>年</w:t>
            </w:r>
            <w:r>
              <w:rPr>
                <w:rFonts w:hint="eastAsia"/>
                <w:color w:val="auto"/>
                <w:highlight w:val="none"/>
                <w:lang w:val="en-US" w:eastAsia="zh-CN"/>
              </w:rPr>
              <w:t>7</w:t>
            </w:r>
            <w:r>
              <w:rPr>
                <w:rFonts w:hint="default"/>
                <w:color w:val="auto"/>
                <w:highlight w:val="none"/>
                <w:lang w:val="en-US"/>
              </w:rPr>
              <w:t>月</w:t>
            </w:r>
            <w:r>
              <w:rPr>
                <w:rFonts w:hint="eastAsia"/>
                <w:color w:val="auto"/>
                <w:highlight w:val="none"/>
                <w:lang w:val="en-US" w:eastAsia="zh-CN"/>
              </w:rPr>
              <w:t>13</w:t>
            </w:r>
            <w:r>
              <w:rPr>
                <w:rFonts w:hint="default"/>
                <w:color w:val="auto"/>
                <w:highlight w:val="none"/>
                <w:lang w:val="en-US"/>
              </w:rPr>
              <w:t>日，</w:t>
            </w:r>
            <w:r>
              <w:rPr>
                <w:rFonts w:hint="eastAsia"/>
                <w:color w:val="auto"/>
                <w:highlight w:val="none"/>
                <w:lang w:val="en-US" w:eastAsia="zh-CN"/>
              </w:rPr>
              <w:t>原鄂尔多斯市</w:t>
            </w:r>
            <w:r>
              <w:rPr>
                <w:rFonts w:hint="default"/>
                <w:color w:val="auto"/>
                <w:highlight w:val="none"/>
                <w:lang w:val="en-US"/>
              </w:rPr>
              <w:t>环境保护局出具了《关于</w:t>
            </w:r>
            <w:r>
              <w:rPr>
                <w:rFonts w:hint="eastAsia"/>
                <w:color w:val="auto"/>
                <w:highlight w:val="none"/>
                <w:lang w:val="en-US" w:eastAsia="zh-CN"/>
              </w:rPr>
              <w:t>内蒙古伊泰煤炭股份有限公司凯达选煤厂项目</w:t>
            </w:r>
            <w:r>
              <w:rPr>
                <w:rFonts w:hint="default"/>
                <w:color w:val="auto"/>
                <w:highlight w:val="none"/>
                <w:lang w:val="en-US"/>
              </w:rPr>
              <w:t>主要污染物排放总量指标的确认意见》（</w:t>
            </w:r>
            <w:r>
              <w:rPr>
                <w:rFonts w:hint="eastAsia"/>
                <w:color w:val="auto"/>
                <w:highlight w:val="none"/>
                <w:lang w:val="en-US" w:eastAsia="zh-CN"/>
              </w:rPr>
              <w:t>鄂</w:t>
            </w:r>
            <w:r>
              <w:rPr>
                <w:rFonts w:hint="default"/>
                <w:color w:val="auto"/>
                <w:highlight w:val="none"/>
                <w:lang w:val="en-US"/>
              </w:rPr>
              <w:t>环发〔201</w:t>
            </w:r>
            <w:r>
              <w:rPr>
                <w:rFonts w:hint="eastAsia"/>
                <w:color w:val="auto"/>
                <w:highlight w:val="none"/>
                <w:lang w:val="en-US" w:eastAsia="zh-CN"/>
              </w:rPr>
              <w:t>1</w:t>
            </w:r>
            <w:r>
              <w:rPr>
                <w:rFonts w:hint="default"/>
                <w:color w:val="auto"/>
                <w:highlight w:val="none"/>
                <w:lang w:val="en-US"/>
              </w:rPr>
              <w:t>〕</w:t>
            </w:r>
            <w:r>
              <w:rPr>
                <w:rFonts w:hint="eastAsia"/>
                <w:color w:val="auto"/>
                <w:highlight w:val="none"/>
                <w:lang w:val="en-US" w:eastAsia="zh-CN"/>
              </w:rPr>
              <w:t>165</w:t>
            </w:r>
            <w:r>
              <w:rPr>
                <w:rFonts w:hint="default"/>
                <w:color w:val="auto"/>
                <w:highlight w:val="none"/>
                <w:lang w:val="en-US"/>
              </w:rPr>
              <w:t>号），</w:t>
            </w:r>
            <w:r>
              <w:rPr>
                <w:rFonts w:hint="eastAsia"/>
                <w:color w:val="auto"/>
                <w:highlight w:val="none"/>
                <w:lang w:val="en-US" w:eastAsia="zh-CN"/>
              </w:rPr>
              <w:t>选煤厂</w:t>
            </w:r>
            <w:r>
              <w:rPr>
                <w:rFonts w:hint="default"/>
                <w:color w:val="auto"/>
                <w:highlight w:val="none"/>
                <w:lang w:val="en-US"/>
              </w:rPr>
              <w:t>SO</w:t>
            </w:r>
            <w:r>
              <w:rPr>
                <w:rFonts w:hint="default"/>
                <w:color w:val="auto"/>
                <w:highlight w:val="none"/>
                <w:vertAlign w:val="subscript"/>
                <w:lang w:val="en-US"/>
              </w:rPr>
              <w:t>2</w:t>
            </w:r>
            <w:r>
              <w:rPr>
                <w:rFonts w:hint="default"/>
                <w:color w:val="auto"/>
                <w:highlight w:val="none"/>
                <w:lang w:val="en-US"/>
              </w:rPr>
              <w:t>总量指标为</w:t>
            </w:r>
            <w:r>
              <w:rPr>
                <w:rFonts w:hint="eastAsia"/>
                <w:color w:val="auto"/>
                <w:highlight w:val="none"/>
                <w:lang w:val="en-US" w:eastAsia="zh-CN"/>
              </w:rPr>
              <w:t>44.13吨</w:t>
            </w:r>
            <w:r>
              <w:rPr>
                <w:rFonts w:hint="default"/>
                <w:color w:val="auto"/>
                <w:highlight w:val="none"/>
                <w:lang w:val="en-US"/>
              </w:rPr>
              <w:t>、</w:t>
            </w:r>
            <w:r>
              <w:rPr>
                <w:rFonts w:hint="eastAsia"/>
                <w:color w:val="auto"/>
                <w:highlight w:val="none"/>
                <w:lang w:val="en-US" w:eastAsia="zh-CN"/>
              </w:rPr>
              <w:t>NOx</w:t>
            </w:r>
            <w:r>
              <w:rPr>
                <w:rFonts w:hint="default"/>
                <w:color w:val="auto"/>
                <w:highlight w:val="none"/>
                <w:lang w:val="en-US"/>
              </w:rPr>
              <w:t>总量指标为</w:t>
            </w:r>
            <w:r>
              <w:rPr>
                <w:rFonts w:hint="eastAsia"/>
                <w:color w:val="auto"/>
                <w:highlight w:val="none"/>
                <w:lang w:val="en-US" w:eastAsia="zh-CN"/>
              </w:rPr>
              <w:t>57.92吨</w:t>
            </w:r>
            <w:r>
              <w:rPr>
                <w:rFonts w:hint="default"/>
                <w:color w:val="auto"/>
                <w:highlight w:val="none"/>
                <w:lang w:val="en-US"/>
              </w:rPr>
              <w:t>。</w:t>
            </w:r>
          </w:p>
          <w:p w14:paraId="3EB16BAC">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）本次拟建项目排放量</w:t>
            </w:r>
          </w:p>
          <w:p w14:paraId="6E7F7CA1">
            <w:pPr>
              <w:bidi w:val="0"/>
              <w:rPr>
                <w:rFonts w:hint="default"/>
                <w:color w:val="auto"/>
                <w:highlight w:val="none"/>
                <w:lang w:val="en-US" w:eastAsia="zh-CN"/>
              </w:rPr>
            </w:pPr>
            <w:r>
              <w:rPr>
                <w:rFonts w:hint="default"/>
                <w:color w:val="auto"/>
                <w:highlight w:val="none"/>
                <w:lang w:val="en-US" w:eastAsia="zh-CN"/>
              </w:rPr>
              <w:t>经计算本次拟建项目SO</w:t>
            </w:r>
            <w:r>
              <w:rPr>
                <w:rFonts w:hint="default"/>
                <w:color w:val="auto"/>
                <w:highlight w:val="none"/>
                <w:vertAlign w:val="subscript"/>
                <w:lang w:val="en-US" w:eastAsia="zh-CN"/>
              </w:rPr>
              <w:t>2</w:t>
            </w:r>
            <w:r>
              <w:rPr>
                <w:rFonts w:hint="default"/>
                <w:color w:val="auto"/>
                <w:highlight w:val="none"/>
                <w:lang w:val="en-US" w:eastAsia="zh-CN"/>
              </w:rPr>
              <w:t>排放量为</w:t>
            </w:r>
            <w:r>
              <w:rPr>
                <w:rFonts w:hint="eastAsia"/>
                <w:color w:val="auto"/>
                <w:highlight w:val="none"/>
                <w:lang w:val="en-US" w:eastAsia="zh-CN"/>
              </w:rPr>
              <w:t>8.59</w:t>
            </w:r>
            <w:r>
              <w:rPr>
                <w:rFonts w:hint="default"/>
                <w:color w:val="auto"/>
                <w:highlight w:val="none"/>
                <w:lang w:val="en-US" w:eastAsia="zh-CN"/>
              </w:rPr>
              <w:t>t/a、</w:t>
            </w:r>
            <w:r>
              <w:rPr>
                <w:rFonts w:hint="eastAsia"/>
                <w:color w:val="auto"/>
                <w:highlight w:val="none"/>
                <w:lang w:val="en-US" w:eastAsia="zh-CN"/>
              </w:rPr>
              <w:t>NOx</w:t>
            </w:r>
            <w:r>
              <w:rPr>
                <w:rFonts w:hint="default"/>
                <w:color w:val="auto"/>
                <w:highlight w:val="none"/>
                <w:lang w:val="en-US" w:eastAsia="zh-CN"/>
              </w:rPr>
              <w:t>排放量为</w:t>
            </w:r>
            <w:r>
              <w:rPr>
                <w:rFonts w:hint="eastAsia"/>
                <w:color w:val="auto"/>
                <w:highlight w:val="none"/>
                <w:lang w:val="en-US" w:eastAsia="zh-CN"/>
              </w:rPr>
              <w:t>28.30t/a</w:t>
            </w:r>
            <w:r>
              <w:rPr>
                <w:rFonts w:hint="default"/>
                <w:color w:val="auto"/>
                <w:highlight w:val="none"/>
                <w:lang w:val="en-US" w:eastAsia="zh-CN"/>
              </w:rPr>
              <w:t>。</w:t>
            </w:r>
          </w:p>
          <w:p w14:paraId="5194A21F">
            <w:pPr>
              <w:adjustRightInd w:val="0"/>
              <w:snapToGrid w:val="0"/>
              <w:ind w:left="0" w:leftChars="0" w:firstLine="0" w:firstLineChars="0"/>
              <w:jc w:val="center"/>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表</w:t>
            </w:r>
            <w:r>
              <w:rPr>
                <w:rFonts w:hint="eastAsia" w:cs="Times New Roman"/>
                <w:b/>
                <w:bCs/>
                <w:color w:val="auto"/>
                <w:kern w:val="0"/>
                <w:sz w:val="24"/>
                <w:szCs w:val="24"/>
                <w:highlight w:val="none"/>
                <w:lang w:val="en-US" w:eastAsia="zh-CN"/>
              </w:rPr>
              <w:t>3-10</w:t>
            </w:r>
            <w:r>
              <w:rPr>
                <w:rFonts w:hint="default" w:ascii="Times New Roman" w:hAnsi="Times New Roman" w:cs="Times New Roman"/>
                <w:b/>
                <w:bCs/>
                <w:color w:val="auto"/>
                <w:kern w:val="0"/>
                <w:sz w:val="24"/>
                <w:szCs w:val="24"/>
                <w:highlight w:val="none"/>
                <w:lang w:val="en-US" w:eastAsia="zh-CN"/>
              </w:rPr>
              <w:t>排放控制指标分析</w:t>
            </w:r>
          </w:p>
          <w:tbl>
            <w:tblPr>
              <w:tblStyle w:val="26"/>
              <w:tblW w:w="7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236"/>
              <w:gridCol w:w="1500"/>
              <w:gridCol w:w="1712"/>
              <w:gridCol w:w="1081"/>
              <w:gridCol w:w="1635"/>
            </w:tblGrid>
            <w:tr w14:paraId="1F68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56" w:type="dxa"/>
                  <w:noWrap w:val="0"/>
                  <w:vAlign w:val="center"/>
                </w:tcPr>
                <w:p w14:paraId="6DF91F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因子</w:t>
                  </w:r>
                </w:p>
              </w:tc>
              <w:tc>
                <w:tcPr>
                  <w:tcW w:w="1236" w:type="dxa"/>
                  <w:noWrap w:val="0"/>
                  <w:vAlign w:val="center"/>
                </w:tcPr>
                <w:p w14:paraId="39CED6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现有</w:t>
                  </w:r>
                  <w:r>
                    <w:rPr>
                      <w:rFonts w:hint="eastAsia" w:cs="Times New Roman"/>
                      <w:color w:val="auto"/>
                      <w:kern w:val="0"/>
                      <w:sz w:val="24"/>
                      <w:szCs w:val="24"/>
                      <w:highlight w:val="none"/>
                      <w:lang w:val="en-US" w:eastAsia="zh-CN"/>
                    </w:rPr>
                    <w:t>项目</w:t>
                  </w:r>
                  <w:r>
                    <w:rPr>
                      <w:rFonts w:hint="default" w:ascii="Times New Roman" w:hAnsi="Times New Roman" w:cs="Times New Roman"/>
                      <w:color w:val="auto"/>
                      <w:kern w:val="0"/>
                      <w:sz w:val="24"/>
                      <w:szCs w:val="24"/>
                      <w:highlight w:val="none"/>
                      <w:lang w:val="en-US" w:eastAsia="zh-CN"/>
                    </w:rPr>
                    <w:t>排放量</w:t>
                  </w:r>
                </w:p>
              </w:tc>
              <w:tc>
                <w:tcPr>
                  <w:tcW w:w="1500" w:type="dxa"/>
                  <w:noWrap w:val="0"/>
                  <w:vAlign w:val="center"/>
                </w:tcPr>
                <w:p w14:paraId="5D2DD4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本次拟建项目排放量</w:t>
                  </w:r>
                </w:p>
              </w:tc>
              <w:tc>
                <w:tcPr>
                  <w:tcW w:w="1712" w:type="dxa"/>
                  <w:noWrap w:val="0"/>
                  <w:vAlign w:val="center"/>
                </w:tcPr>
                <w:p w14:paraId="6DF3DA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本项目建成后全厂排放量</w:t>
                  </w:r>
                </w:p>
              </w:tc>
              <w:tc>
                <w:tcPr>
                  <w:tcW w:w="1081" w:type="dxa"/>
                  <w:noWrap w:val="0"/>
                  <w:vAlign w:val="center"/>
                </w:tcPr>
                <w:p w14:paraId="6848E2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锅炉批复总量</w:t>
                  </w:r>
                </w:p>
              </w:tc>
              <w:tc>
                <w:tcPr>
                  <w:tcW w:w="1635" w:type="dxa"/>
                  <w:noWrap w:val="0"/>
                  <w:vAlign w:val="center"/>
                </w:tcPr>
                <w:p w14:paraId="64EB1A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是否超过总量控制指标</w:t>
                  </w:r>
                </w:p>
              </w:tc>
            </w:tr>
            <w:tr w14:paraId="73C8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56" w:type="dxa"/>
                  <w:noWrap w:val="0"/>
                  <w:vAlign w:val="center"/>
                </w:tcPr>
                <w:p w14:paraId="0A804B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rPr>
                    <w:t>SO</w:t>
                  </w:r>
                  <w:r>
                    <w:rPr>
                      <w:rFonts w:hint="default" w:ascii="Times New Roman" w:hAnsi="Times New Roman" w:cs="Times New Roman"/>
                      <w:color w:val="auto"/>
                      <w:kern w:val="0"/>
                      <w:sz w:val="24"/>
                      <w:szCs w:val="24"/>
                      <w:highlight w:val="none"/>
                      <w:vertAlign w:val="subscript"/>
                    </w:rPr>
                    <w:t>2</w:t>
                  </w:r>
                </w:p>
              </w:tc>
              <w:tc>
                <w:tcPr>
                  <w:tcW w:w="1236" w:type="dxa"/>
                  <w:noWrap w:val="0"/>
                  <w:vAlign w:val="center"/>
                </w:tcPr>
                <w:p w14:paraId="02E7F5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44.13</w:t>
                  </w:r>
                </w:p>
              </w:tc>
              <w:tc>
                <w:tcPr>
                  <w:tcW w:w="1500" w:type="dxa"/>
                  <w:noWrap w:val="0"/>
                  <w:vAlign w:val="center"/>
                </w:tcPr>
                <w:p w14:paraId="18BAC1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8.59</w:t>
                  </w:r>
                </w:p>
              </w:tc>
              <w:tc>
                <w:tcPr>
                  <w:tcW w:w="1712" w:type="dxa"/>
                  <w:noWrap w:val="0"/>
                  <w:vAlign w:val="center"/>
                </w:tcPr>
                <w:p w14:paraId="581A75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8.59</w:t>
                  </w:r>
                </w:p>
              </w:tc>
              <w:tc>
                <w:tcPr>
                  <w:tcW w:w="1081" w:type="dxa"/>
                  <w:noWrap w:val="0"/>
                  <w:vAlign w:val="center"/>
                </w:tcPr>
                <w:p w14:paraId="2B77E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44.13</w:t>
                  </w:r>
                </w:p>
              </w:tc>
              <w:tc>
                <w:tcPr>
                  <w:tcW w:w="1635" w:type="dxa"/>
                  <w:noWrap w:val="0"/>
                  <w:vAlign w:val="center"/>
                </w:tcPr>
                <w:p w14:paraId="19AE2C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否</w:t>
                  </w:r>
                </w:p>
              </w:tc>
            </w:tr>
            <w:tr w14:paraId="2FAE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56" w:type="dxa"/>
                  <w:noWrap w:val="0"/>
                  <w:vAlign w:val="center"/>
                </w:tcPr>
                <w:p w14:paraId="659AE40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eastAsia="zh-CN"/>
                    </w:rPr>
                    <w:t>NOx</w:t>
                  </w:r>
                </w:p>
              </w:tc>
              <w:tc>
                <w:tcPr>
                  <w:tcW w:w="1236" w:type="dxa"/>
                  <w:noWrap w:val="0"/>
                  <w:vAlign w:val="center"/>
                </w:tcPr>
                <w:p w14:paraId="7ECA63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57.92</w:t>
                  </w:r>
                </w:p>
              </w:tc>
              <w:tc>
                <w:tcPr>
                  <w:tcW w:w="1500" w:type="dxa"/>
                  <w:noWrap w:val="0"/>
                  <w:vAlign w:val="center"/>
                </w:tcPr>
                <w:p w14:paraId="416E70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28.30</w:t>
                  </w:r>
                </w:p>
              </w:tc>
              <w:tc>
                <w:tcPr>
                  <w:tcW w:w="1712" w:type="dxa"/>
                  <w:noWrap w:val="0"/>
                  <w:vAlign w:val="center"/>
                </w:tcPr>
                <w:p w14:paraId="6EB232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28.30</w:t>
                  </w:r>
                </w:p>
              </w:tc>
              <w:tc>
                <w:tcPr>
                  <w:tcW w:w="1081" w:type="dxa"/>
                  <w:noWrap w:val="0"/>
                  <w:vAlign w:val="center"/>
                </w:tcPr>
                <w:p w14:paraId="6471D6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57.92</w:t>
                  </w:r>
                </w:p>
              </w:tc>
              <w:tc>
                <w:tcPr>
                  <w:tcW w:w="1635" w:type="dxa"/>
                  <w:noWrap w:val="0"/>
                  <w:vAlign w:val="center"/>
                </w:tcPr>
                <w:p w14:paraId="39D43A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否</w:t>
                  </w:r>
                </w:p>
              </w:tc>
            </w:tr>
          </w:tbl>
          <w:p w14:paraId="22F99466">
            <w:pPr>
              <w:adjustRightInd w:val="0"/>
              <w:snapToGrid w:val="0"/>
              <w:jc w:val="both"/>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综上，本项目锅炉全年排放的</w:t>
            </w:r>
            <w:r>
              <w:rPr>
                <w:rFonts w:hint="default" w:ascii="Times New Roman" w:hAnsi="Times New Roman" w:cs="Times New Roman"/>
                <w:color w:val="auto"/>
                <w:kern w:val="0"/>
                <w:sz w:val="24"/>
                <w:szCs w:val="24"/>
                <w:highlight w:val="none"/>
              </w:rPr>
              <w:t>SO</w:t>
            </w:r>
            <w:r>
              <w:rPr>
                <w:rFonts w:hint="default" w:ascii="Times New Roman" w:hAnsi="Times New Roman" w:cs="Times New Roman"/>
                <w:color w:val="auto"/>
                <w:kern w:val="0"/>
                <w:sz w:val="24"/>
                <w:szCs w:val="24"/>
                <w:highlight w:val="none"/>
                <w:vertAlign w:val="subscript"/>
              </w:rPr>
              <w:t>2</w:t>
            </w:r>
            <w:r>
              <w:rPr>
                <w:rFonts w:hint="eastAsia" w:cs="Times New Roman"/>
                <w:color w:val="auto"/>
                <w:kern w:val="0"/>
                <w:sz w:val="24"/>
                <w:szCs w:val="24"/>
                <w:highlight w:val="none"/>
                <w:lang w:val="en-US" w:eastAsia="zh-CN"/>
              </w:rPr>
              <w:t>、</w:t>
            </w:r>
            <w:r>
              <w:rPr>
                <w:rFonts w:hint="eastAsia" w:cs="Times New Roman"/>
                <w:color w:val="auto"/>
                <w:kern w:val="0"/>
                <w:sz w:val="24"/>
                <w:szCs w:val="24"/>
                <w:highlight w:val="none"/>
                <w:lang w:eastAsia="zh-CN"/>
              </w:rPr>
              <w:t>NOx</w:t>
            </w:r>
            <w:r>
              <w:rPr>
                <w:rFonts w:hint="eastAsia" w:cs="Times New Roman"/>
                <w:color w:val="auto"/>
                <w:kern w:val="0"/>
                <w:sz w:val="24"/>
                <w:szCs w:val="24"/>
                <w:highlight w:val="none"/>
                <w:lang w:val="en-US" w:eastAsia="zh-CN"/>
              </w:rPr>
              <w:t>总量分别为8.59t/a、</w:t>
            </w:r>
            <w:r>
              <w:rPr>
                <w:rFonts w:hint="eastAsia" w:cs="Times New Roman"/>
                <w:color w:val="auto"/>
                <w:kern w:val="2"/>
                <w:sz w:val="24"/>
                <w:szCs w:val="24"/>
                <w:highlight w:val="none"/>
                <w:lang w:val="en-US" w:eastAsia="zh-CN"/>
              </w:rPr>
              <w:t>28.30</w:t>
            </w:r>
            <w:r>
              <w:rPr>
                <w:rFonts w:hint="eastAsia" w:cs="Times New Roman"/>
                <w:color w:val="auto"/>
                <w:kern w:val="0"/>
                <w:sz w:val="24"/>
                <w:szCs w:val="24"/>
                <w:highlight w:val="none"/>
                <w:lang w:val="en-US" w:eastAsia="zh-CN"/>
              </w:rPr>
              <w:t>t/a，未超出原鄂尔多斯市环境保护局批复总量，不需要新申请总量指标。</w:t>
            </w:r>
          </w:p>
        </w:tc>
      </w:tr>
    </w:tbl>
    <w:p w14:paraId="333A8930">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r>
        <w:rPr>
          <w:rFonts w:hint="default" w:ascii="Times New Roman" w:hAnsi="Times New Roman" w:eastAsia="黑体" w:cs="Times New Roman"/>
          <w:snapToGrid w:val="0"/>
          <w:color w:val="auto"/>
          <w:sz w:val="30"/>
          <w:szCs w:val="30"/>
          <w:highlight w:val="none"/>
        </w:rPr>
        <w:t>四、主要环境影响和保护措施</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7ADE90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noWrap w:val="0"/>
            <w:tcMar>
              <w:left w:w="28" w:type="dxa"/>
              <w:right w:w="28" w:type="dxa"/>
            </w:tcMar>
            <w:vAlign w:val="center"/>
          </w:tcPr>
          <w:p w14:paraId="202DE1EA">
            <w:pPr>
              <w:pStyle w:val="22"/>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Cs/>
                <w:color w:val="auto"/>
                <w:kern w:val="2"/>
                <w:sz w:val="24"/>
                <w:szCs w:val="24"/>
                <w:highlight w:val="none"/>
              </w:rPr>
            </w:pPr>
            <w:r>
              <w:rPr>
                <w:rFonts w:hint="default" w:ascii="Times New Roman" w:hAnsi="Times New Roman" w:cs="Times New Roman"/>
                <w:color w:val="auto"/>
                <w:kern w:val="2"/>
                <w:sz w:val="24"/>
                <w:szCs w:val="24"/>
                <w:highlight w:val="none"/>
              </w:rPr>
              <w:t>施工期环境保护措施</w:t>
            </w:r>
          </w:p>
        </w:tc>
        <w:tc>
          <w:tcPr>
            <w:tcW w:w="8162" w:type="dxa"/>
            <w:noWrap w:val="0"/>
            <w:vAlign w:val="center"/>
          </w:tcPr>
          <w:p w14:paraId="613D299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施工期主要</w:t>
            </w:r>
            <w:r>
              <w:rPr>
                <w:rFonts w:hint="default" w:ascii="Times New Roman" w:hAnsi="Times New Roman" w:cs="Times New Roman"/>
                <w:color w:val="auto"/>
                <w:highlight w:val="none"/>
                <w:lang w:val="en-US" w:eastAsia="zh-CN"/>
              </w:rPr>
              <w:t>建设工程为锅炉及废气处理措施等设备的安装</w:t>
            </w:r>
            <w:r>
              <w:rPr>
                <w:rFonts w:hint="default" w:ascii="Times New Roman" w:hAnsi="Times New Roman" w:cs="Times New Roman"/>
                <w:color w:val="auto"/>
                <w:highlight w:val="none"/>
              </w:rPr>
              <w:t>，工程量较小，</w:t>
            </w:r>
            <w:r>
              <w:rPr>
                <w:rFonts w:hint="default" w:ascii="Times New Roman" w:hAnsi="Times New Roman" w:cs="Times New Roman"/>
                <w:color w:val="auto"/>
                <w:highlight w:val="none"/>
                <w:lang w:val="en-US" w:eastAsia="zh-CN"/>
              </w:rPr>
              <w:t>施工过程中会产生废水、固废及设备噪声，</w:t>
            </w:r>
            <w:r>
              <w:rPr>
                <w:rFonts w:hint="default" w:ascii="Times New Roman" w:hAnsi="Times New Roman" w:cs="Times New Roman"/>
                <w:color w:val="auto"/>
                <w:highlight w:val="none"/>
              </w:rPr>
              <w:t>施工期主要污染防治措施如下：</w:t>
            </w:r>
          </w:p>
          <w:p w14:paraId="160F5D1D">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一</w:t>
            </w:r>
            <w:r>
              <w:rPr>
                <w:rFonts w:hint="default" w:ascii="Times New Roman" w:hAnsi="Times New Roman" w:cs="Times New Roman"/>
                <w:b/>
                <w:bCs/>
                <w:color w:val="auto"/>
                <w:highlight w:val="none"/>
              </w:rPr>
              <w:t>、施工期大气污染防治措施</w:t>
            </w:r>
          </w:p>
          <w:p w14:paraId="57FD362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（1）施工期粉尘防治措施分析</w:t>
            </w:r>
          </w:p>
          <w:p w14:paraId="4DBB469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①施工场地四周设置围挡，围挡高度2m，当起风时，可使影响距离缩短；</w:t>
            </w:r>
          </w:p>
          <w:p w14:paraId="14CD5C5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②限制车速，施工场地出口设水池，车辆驶出施工场地时经过水清洗后可清除车轮上所沾泥土，减少行驶产生的扬尘；</w:t>
            </w:r>
          </w:p>
          <w:p w14:paraId="116321C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加强运输管理，如散货车不得超高超载、使用有盖的运输车辆，以免车辆颠簸物料洒出，防止扬尘污染；</w:t>
            </w:r>
          </w:p>
          <w:p w14:paraId="0DD16F3E">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二</w:t>
            </w:r>
            <w:r>
              <w:rPr>
                <w:rFonts w:hint="default" w:ascii="Times New Roman" w:hAnsi="Times New Roman" w:cs="Times New Roman"/>
                <w:b/>
                <w:bCs/>
                <w:color w:val="auto"/>
                <w:highlight w:val="none"/>
              </w:rPr>
              <w:t>、施工期水污染防治措施</w:t>
            </w:r>
          </w:p>
          <w:p w14:paraId="4E45D50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项目施工期间产生的废水主要是施工人员产生的生活污水和少量施工废水。</w:t>
            </w:r>
          </w:p>
          <w:p w14:paraId="2ED6373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（1）施工废水</w:t>
            </w:r>
          </w:p>
          <w:p w14:paraId="42DB353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施工生产废水主要包括施工机械冲洗废水和施工阶段产生的泥浆废水。施工机械冲洗废水排放量小，冲洗废水主要是水泥碎粒、沙土构成的悬浮物污染；泥浆废水是一种含有微细颗粒的悬浮</w:t>
            </w:r>
            <w:r>
              <w:rPr>
                <w:rFonts w:hint="default" w:ascii="Times New Roman" w:hAnsi="Times New Roman" w:cs="Times New Roman"/>
                <w:color w:val="auto"/>
                <w:highlight w:val="none"/>
                <w:lang w:eastAsia="zh-CN"/>
              </w:rPr>
              <w:t>浑浊</w:t>
            </w:r>
            <w:r>
              <w:rPr>
                <w:rFonts w:hint="default" w:ascii="Times New Roman" w:hAnsi="Times New Roman" w:cs="Times New Roman"/>
                <w:color w:val="auto"/>
                <w:highlight w:val="none"/>
              </w:rPr>
              <w:t>液体，经沉淀后全部回用。</w:t>
            </w:r>
          </w:p>
          <w:p w14:paraId="264943D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（2）生活污水</w:t>
            </w:r>
          </w:p>
          <w:p w14:paraId="09BC17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生活污水主要来自施工人员产生的粪便污水、清洗污水等，其中以粪便污水中的污染物数量最高。施工人员约5人，建设时间约1个月，生活用水按60L/人•d计算，则生活用水量约为0.3</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/d，施工期总用水量约为9</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；生活污水产生量按用水量的80%计算，每天的废水量为0.24</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/d，则施工期生活污水产生量约为7.2</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，排至现有30</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化粪池预处理后，定期由准格尔旗万洁保洁有限公司清运处置。</w:t>
            </w:r>
          </w:p>
          <w:p w14:paraId="0FB96EA9">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三</w:t>
            </w:r>
            <w:r>
              <w:rPr>
                <w:rFonts w:hint="default" w:ascii="Times New Roman" w:hAnsi="Times New Roman" w:cs="Times New Roman"/>
                <w:b/>
                <w:bCs/>
                <w:color w:val="auto"/>
                <w:highlight w:val="none"/>
              </w:rPr>
              <w:t>、施工期噪声污染防治措施</w:t>
            </w:r>
          </w:p>
          <w:p w14:paraId="449110A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主要的噪声源有机械设备噪声、施工作业噪声和交通噪声。机械设备噪声主要由挖土机械、混凝土搅拌机等多种机械设备发出的；施工作业噪声主要指一些零星的敲打声、装卸车辆的撞击声、拆卸模板的撞击声等；交通噪声主要是在施工材料运输过程中产生的。机械设备的运作都是间歇性的，施工过程中产生的噪声具有间歇性和短暂性的特点，随着实施期的结束而消失。此外，交通噪声还具有流动性的特点。本次评价要求按照以下措施减少噪声对周边环境的影响：</w:t>
            </w:r>
          </w:p>
          <w:p w14:paraId="343F7630">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（1）合理布置施工场地；</w:t>
            </w:r>
          </w:p>
          <w:p w14:paraId="6DE6B21A">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（2）选用机械噪声较低的设备，减少高噪声设备的使用；</w:t>
            </w:r>
          </w:p>
          <w:p w14:paraId="728108AD">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（3）严格操作规程，加强施工机械管理，规范建筑物料、土石方清运车辆进出工地高速行驶、鸣笛等，降低人为噪声影响；</w:t>
            </w:r>
          </w:p>
          <w:p w14:paraId="1B571DBF">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（4）采取有效的隔音、减振、消声措施，降低噪声级。对位置相对固定的施工机械，如切割机、电锯等，将其设置在专门的工棚内，同时选用低噪声设备，并采取一定的</w:t>
            </w:r>
            <w:r>
              <w:rPr>
                <w:rFonts w:hint="eastAsia" w:cs="Times New Roman"/>
                <w:color w:val="auto"/>
                <w:highlight w:val="none"/>
                <w:lang w:val="sv-SE" w:eastAsia="zh-CN"/>
              </w:rPr>
              <w:t>吸声</w:t>
            </w:r>
            <w:r>
              <w:rPr>
                <w:rFonts w:hint="default" w:ascii="Times New Roman" w:hAnsi="Times New Roman" w:cs="Times New Roman"/>
                <w:color w:val="auto"/>
                <w:highlight w:val="none"/>
                <w:lang w:val="sv-SE"/>
              </w:rPr>
              <w:t>、隔声、降噪措施，控制施工机械噪声符合《</w:t>
            </w:r>
            <w:r>
              <w:rPr>
                <w:rFonts w:hint="default" w:ascii="Times New Roman" w:hAnsi="Times New Roman" w:cs="Times New Roman"/>
                <w:color w:val="auto"/>
                <w:highlight w:val="none"/>
                <w:lang w:val="sv-SE" w:eastAsia="zh-CN"/>
              </w:rPr>
              <w:t>建筑施工噪声排放标准</w:t>
            </w:r>
            <w:r>
              <w:rPr>
                <w:rFonts w:hint="default" w:ascii="Times New Roman" w:hAnsi="Times New Roman" w:cs="Times New Roman"/>
                <w:color w:val="auto"/>
                <w:highlight w:val="none"/>
                <w:lang w:val="sv-SE"/>
              </w:rPr>
              <w:t>》（GB12523-20</w:t>
            </w:r>
            <w:r>
              <w:rPr>
                <w:rFonts w:hint="default" w:ascii="Times New Roman" w:hAnsi="Times New Roman" w:cs="Times New Roman"/>
                <w:color w:val="auto"/>
                <w:highlight w:val="none"/>
                <w:lang w:val="en-US" w:eastAsia="zh-CN"/>
              </w:rPr>
              <w:t>25</w:t>
            </w:r>
            <w:r>
              <w:rPr>
                <w:rFonts w:hint="default" w:ascii="Times New Roman" w:hAnsi="Times New Roman" w:cs="Times New Roman"/>
                <w:color w:val="auto"/>
                <w:highlight w:val="none"/>
                <w:lang w:val="sv-SE"/>
              </w:rPr>
              <w:t>），做到施工场界噪声达标排放；</w:t>
            </w:r>
          </w:p>
          <w:p w14:paraId="46DD1C63">
            <w:pPr>
              <w:bidi w:val="0"/>
              <w:rPr>
                <w:rFonts w:hint="default" w:ascii="Times New Roman" w:hAnsi="Times New Roman" w:cs="Times New Roman"/>
                <w:color w:val="auto"/>
                <w:highlight w:val="none"/>
                <w:lang w:val="sv-SE"/>
              </w:rPr>
            </w:pPr>
            <w:r>
              <w:rPr>
                <w:rFonts w:hint="default" w:ascii="Times New Roman" w:hAnsi="Times New Roman" w:cs="Times New Roman"/>
                <w:color w:val="auto"/>
                <w:highlight w:val="none"/>
                <w:lang w:val="sv-SE"/>
              </w:rPr>
              <w:t>（5）</w:t>
            </w:r>
            <w:r>
              <w:rPr>
                <w:rFonts w:hint="default" w:ascii="Times New Roman" w:hAnsi="Times New Roman" w:cs="Times New Roman"/>
                <w:color w:val="auto"/>
                <w:highlight w:val="none"/>
              </w:rPr>
              <w:t>合理安排施工时间，制订施工计划时，禁止在中午（12:00~14:00）和夜间施工，应尽可能避免大量高噪声设备同时施工</w:t>
            </w:r>
            <w:r>
              <w:rPr>
                <w:rFonts w:hint="default" w:ascii="Times New Roman" w:hAnsi="Times New Roman" w:cs="Times New Roman"/>
                <w:color w:val="auto"/>
                <w:highlight w:val="none"/>
                <w:lang w:val="sv-SE"/>
              </w:rPr>
              <w:t>。</w:t>
            </w:r>
          </w:p>
          <w:p w14:paraId="2163D150">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四</w:t>
            </w:r>
            <w:r>
              <w:rPr>
                <w:rFonts w:hint="default" w:ascii="Times New Roman" w:hAnsi="Times New Roman" w:cs="Times New Roman"/>
                <w:b/>
                <w:bCs/>
                <w:color w:val="auto"/>
                <w:highlight w:val="none"/>
              </w:rPr>
              <w:t>、固体废物环境影响分析</w:t>
            </w:r>
          </w:p>
          <w:p w14:paraId="370DED51">
            <w:pPr>
              <w:bidi w:val="0"/>
              <w:rPr>
                <w:rFonts w:hint="default" w:ascii="Times New Roman" w:hAnsi="Times New Roman" w:eastAsia="宋体" w:cs="Times New Roman"/>
                <w:bCs/>
                <w:color w:val="auto"/>
                <w:spacing w:val="-10"/>
                <w:szCs w:val="24"/>
                <w:highlight w:val="none"/>
                <w:lang w:val="en-US" w:eastAsia="zh-CN"/>
              </w:rPr>
            </w:pPr>
            <w:r>
              <w:rPr>
                <w:rFonts w:hint="default" w:ascii="Times New Roman" w:hAnsi="Times New Roman" w:cs="Times New Roman"/>
                <w:color w:val="auto"/>
                <w:highlight w:val="none"/>
              </w:rPr>
              <w:t>施工期的固体废弃物主</w:t>
            </w:r>
            <w:r>
              <w:rPr>
                <w:rFonts w:hint="default" w:ascii="Times New Roman" w:hAnsi="Times New Roman" w:cs="Times New Roman"/>
                <w:color w:val="auto"/>
                <w:highlight w:val="none"/>
                <w:lang w:eastAsia="zh-CN"/>
              </w:rPr>
              <w:t>要是</w:t>
            </w:r>
            <w:r>
              <w:rPr>
                <w:rFonts w:hint="default" w:ascii="Times New Roman" w:hAnsi="Times New Roman" w:cs="Times New Roman"/>
                <w:color w:val="auto"/>
                <w:highlight w:val="none"/>
                <w:lang w:val="en-US" w:eastAsia="zh-CN"/>
              </w:rPr>
              <w:t>包装材料</w:t>
            </w:r>
            <w:r>
              <w:rPr>
                <w:rFonts w:hint="default" w:ascii="Times New Roman" w:hAnsi="Times New Roman" w:cs="Times New Roman"/>
                <w:color w:val="auto"/>
                <w:highlight w:val="none"/>
              </w:rPr>
              <w:t>和</w:t>
            </w:r>
            <w:r>
              <w:rPr>
                <w:rFonts w:hint="default" w:ascii="Times New Roman" w:hAnsi="Times New Roman" w:cs="Times New Roman"/>
                <w:color w:val="auto"/>
                <w:highlight w:val="none"/>
                <w:lang w:val="en-US" w:eastAsia="zh-CN"/>
              </w:rPr>
              <w:t>施工人员产生的</w:t>
            </w:r>
            <w:r>
              <w:rPr>
                <w:rFonts w:hint="default" w:ascii="Times New Roman" w:hAnsi="Times New Roman" w:cs="Times New Roman"/>
                <w:color w:val="auto"/>
                <w:highlight w:val="none"/>
              </w:rPr>
              <w:t>生活垃圾</w:t>
            </w:r>
            <w:r>
              <w:rPr>
                <w:rFonts w:hint="default" w:ascii="Times New Roman" w:hAnsi="Times New Roman" w:cs="Times New Roman"/>
                <w:color w:val="auto"/>
                <w:highlight w:val="none"/>
                <w:lang w:val="en-US" w:eastAsia="zh-CN"/>
              </w:rPr>
              <w:t>。施工过程中产生的废气包装材料统一收集后，由废品回收站回收处置。施工人员产生的施工人员生活垃圾由厂区内的垃圾桶统一收集后，由当地环卫部门统一清运处理。</w:t>
            </w:r>
          </w:p>
        </w:tc>
      </w:tr>
      <w:tr w14:paraId="3E36CE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noWrap w:val="0"/>
            <w:tcMar>
              <w:left w:w="28" w:type="dxa"/>
              <w:right w:w="28" w:type="dxa"/>
            </w:tcMar>
            <w:vAlign w:val="center"/>
          </w:tcPr>
          <w:p w14:paraId="2402073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运营期环境影响和保护措施</w:t>
            </w:r>
          </w:p>
        </w:tc>
        <w:tc>
          <w:tcPr>
            <w:tcW w:w="8162" w:type="dxa"/>
            <w:noWrap w:val="0"/>
            <w:vAlign w:val="center"/>
          </w:tcPr>
          <w:p w14:paraId="4E2CC72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一、大气环境影响和保护措施</w:t>
            </w:r>
          </w:p>
          <w:p w14:paraId="40A5899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本项目主要大气污染源为燃煤锅炉烟气、燃料煤卸煤及贮存粉尘。</w:t>
            </w:r>
          </w:p>
          <w:p w14:paraId="20721BAD">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1.废气源强核算</w:t>
            </w:r>
          </w:p>
          <w:p w14:paraId="5A7E9EC4">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（1）燃煤量</w:t>
            </w:r>
          </w:p>
          <w:p w14:paraId="4ABCD7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根据企业提供的煤质化验单（收到基低位发热量为4961.76Kcal/kg，20.76MJ/kg）锅炉参数（蒸吨：40t/h；功率28000kW；热效率82.84%），单位换算系数：1kW·h=3600000J。年运行182天，日运行24h，年运行4368h，</w:t>
            </w:r>
          </w:p>
          <w:p w14:paraId="094B00C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按照下式计算燃煤量；</w:t>
            </w:r>
          </w:p>
          <w:p w14:paraId="1001E11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燃煤量=锅炉功率</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煤燃烧热/锅炉效率</w:t>
            </w:r>
          </w:p>
          <w:p w14:paraId="547D751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燃煤量=28000（kW）/20.76（MJ/kg）/0.8284</w:t>
            </w:r>
          </w:p>
          <w:p w14:paraId="6DD7DA6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=100800000000（J/h）/20760000（J/kg）/0.8284</w:t>
            </w:r>
          </w:p>
          <w:p w14:paraId="0C44F25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=5861.29kg/h=5.86t/h</w:t>
            </w:r>
          </w:p>
          <w:p w14:paraId="17C15F3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40t/h蒸汽锅炉年运行4368h，则年燃煤量为25596.48t/a。</w:t>
            </w:r>
          </w:p>
          <w:p w14:paraId="1A5F36C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（2）锅炉烟气</w:t>
            </w:r>
          </w:p>
          <w:p w14:paraId="03AD12E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本项目建设1台40t/h燃煤蒸汽锅炉，锅炉烟气采用SNCR＋SCR联合法脱硝+布袋除尘器处理+双碱法脱硫后，通过1根50m高烟囱排放。</w:t>
            </w:r>
          </w:p>
          <w:p w14:paraId="257D528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本项目年运行时间4368h（182d/a，日运行24h），本项目燃料煤采用</w:t>
            </w:r>
            <w:r>
              <w:rPr>
                <w:rFonts w:hint="default" w:ascii="Times New Roman" w:hAnsi="Times New Roman" w:cs="Times New Roman"/>
                <w:color w:val="auto"/>
                <w:sz w:val="24"/>
                <w:szCs w:val="24"/>
                <w:highlight w:val="none"/>
                <w:lang w:val="en-US" w:eastAsia="zh-CN"/>
              </w:rPr>
              <w:t>内蒙古伊泰煤炭股份有限公司凯达选煤厂的末煤</w:t>
            </w:r>
            <w:r>
              <w:rPr>
                <w:rFonts w:hint="default" w:ascii="Times New Roman" w:hAnsi="Times New Roman" w:cs="Times New Roman"/>
                <w:color w:val="auto"/>
                <w:highlight w:val="none"/>
                <w:lang w:val="en-US" w:eastAsia="zh-CN"/>
              </w:rPr>
              <w:t>，其低位发热量为20.76MJ/kg，项目全年煤炭用量为25596.48t/a。</w:t>
            </w:r>
          </w:p>
          <w:p w14:paraId="70EEDD3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根据《污染源源强核算技术指南锅炉》（HJ991-2018），正常工况时，废气有组织源强优先采用物料衡算法核算，其次采用类比法、产污系数法核算，本项目采用物料衡算法进行核算。</w:t>
            </w:r>
          </w:p>
          <w:p w14:paraId="0890A3F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①基准烟气量：</w:t>
            </w:r>
          </w:p>
          <w:p w14:paraId="3123366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根据《污染源源强核算技术指南锅炉》（HJ991-2018）C.5要求，干烟气排放量的经验公式计算参照《排污许可证申请与核发技术指南锅炉》（HJ953-2018）进行核算。本项目Qnet,ar=20.76MJ/kg＞12.54MJ/kg，Vdaf=36.20%＞15%</w:t>
            </w:r>
          </w:p>
          <w:p w14:paraId="6138C54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则基准排气量取值表公式计算：Vgy=0.411Qnet+0.918=0.411×20.76+0.918=9.45036Nm³/kg</w:t>
            </w:r>
          </w:p>
          <w:p w14:paraId="266F27E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年耗煤为25596.48t/a，则1台40t/h的燃煤蒸汽锅炉烟气产生量为241895950.73m³/a。</w:t>
            </w:r>
          </w:p>
          <w:p w14:paraId="5FDAF5A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②颗粒物</w:t>
            </w:r>
          </w:p>
          <w:p w14:paraId="290598C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根据《污染源源强核算技术指南锅炉》（HJ991-2018）中物料衡算法进行计算，本项目采用布袋除尘器进行除尘，除尘效率99%，计算公式如下：</w:t>
            </w:r>
          </w:p>
          <w:p w14:paraId="56345F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3162300" cy="932180"/>
                  <wp:effectExtent l="0" t="0" r="0" b="127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4"/>
                          <a:stretch>
                            <a:fillRect/>
                          </a:stretch>
                        </pic:blipFill>
                        <pic:spPr>
                          <a:xfrm>
                            <a:off x="0" y="0"/>
                            <a:ext cx="3162300" cy="932180"/>
                          </a:xfrm>
                          <a:prstGeom prst="rect">
                            <a:avLst/>
                          </a:prstGeom>
                          <a:noFill/>
                          <a:ln>
                            <a:noFill/>
                          </a:ln>
                        </pic:spPr>
                      </pic:pic>
                    </a:graphicData>
                  </a:graphic>
                </wp:inline>
              </w:drawing>
            </w:r>
          </w:p>
          <w:p w14:paraId="48307DE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式中：EA——核算时段内颗粒物（烟尘）排放量，t；</w:t>
            </w:r>
          </w:p>
          <w:p w14:paraId="119B8A2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R——核算时段内锅炉燃料耗量，t；耗煤量25596.48t/a；</w:t>
            </w:r>
          </w:p>
          <w:p w14:paraId="48B257A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Aar——收到基灰分的质量分数，%；根据煤质化验单，收到基灰分14.00%；</w:t>
            </w:r>
          </w:p>
          <w:p w14:paraId="2C2E815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fh——锅炉烟气带出的飞灰份额，%；根据《污染源源强核算技术指南锅炉》（HJ991-2018）附录B，链条炉排炉dfh一般取值10%～20%，燃料挥发分高、灰分低可取高值，一般的取值大小排序为煤矸石〈无烟煤、贫煤、烟煤〈褐煤。本项目燃煤锅炉燃料采用烟煤，dfh取15%。</w:t>
            </w:r>
          </w:p>
          <w:p w14:paraId="57B23BC8">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highlight w:val="none"/>
                <w:lang w:val="en-US" w:eastAsia="zh-CN"/>
              </w:rPr>
              <w:t>ηc——综合除尘效率，%；根据《污染源源强核算技术指南锅炉》（HJ991-2018）附录B，</w:t>
            </w:r>
            <w:r>
              <w:rPr>
                <w:rFonts w:hint="default" w:ascii="Times New Roman" w:hAnsi="Times New Roman" w:eastAsia="宋体" w:cs="Times New Roman"/>
                <w:color w:val="auto"/>
                <w:kern w:val="2"/>
                <w:highlight w:val="none"/>
                <w:lang w:val="en-US" w:eastAsia="zh-CN"/>
              </w:rPr>
              <w:t>布袋除尘器除尘效率为99%~99.99%，本项目布袋除尘器除尘效率取99%。</w:t>
            </w:r>
          </w:p>
          <w:p w14:paraId="1512318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Cfh——飞灰中的可燃物含量，%。参照《燃煤工业锅炉节能监测》（GB/T15317-2009）中表5确定，取12%。</w:t>
            </w:r>
          </w:p>
          <w:p w14:paraId="41A88C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根据以上公式计算，本项目颗粒物排放量为6.11t/a，排放浓度为25.26mg/m³。</w:t>
            </w:r>
          </w:p>
          <w:p w14:paraId="176807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排放量：</w:t>
            </w:r>
          </w:p>
          <w:p w14:paraId="4978E65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根据《污染源源强核算技术指南锅炉》（HJ991-2018）规定进行计算：</w:t>
            </w:r>
          </w:p>
          <w:p w14:paraId="407575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3324225" cy="648970"/>
                  <wp:effectExtent l="0" t="0" r="9525" b="1778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5"/>
                          <a:stretch>
                            <a:fillRect/>
                          </a:stretch>
                        </pic:blipFill>
                        <pic:spPr>
                          <a:xfrm>
                            <a:off x="0" y="0"/>
                            <a:ext cx="3324225" cy="648970"/>
                          </a:xfrm>
                          <a:prstGeom prst="rect">
                            <a:avLst/>
                          </a:prstGeom>
                          <a:noFill/>
                          <a:ln>
                            <a:noFill/>
                          </a:ln>
                        </pic:spPr>
                      </pic:pic>
                    </a:graphicData>
                  </a:graphic>
                </wp:inline>
              </w:drawing>
            </w:r>
          </w:p>
          <w:p w14:paraId="2356E7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w:t>
            </w:r>
          </w:p>
          <w:p w14:paraId="0D7AE4F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——核算时段内二氧化硫排放量，t；</w:t>
            </w:r>
          </w:p>
          <w:p w14:paraId="19CA7D5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R——核算时段内锅炉燃料耗量，t；耗煤量25596.48t/a；</w:t>
            </w:r>
          </w:p>
          <w:p w14:paraId="01C6728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Sar——收到基硫的质量分数，%；根据煤质化验单，收到基硫分0.21%；</w:t>
            </w:r>
          </w:p>
          <w:p w14:paraId="0C1A30F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4——锅炉机械不完全燃烧热损失，%；根据《污染源源强核算技术指南锅炉》（HJ991-2018）附录B链条炉排炉q4一般取值5%～15%，燃料挥发分高、灰分低可取低值，取值大小排序一般为褐煤〈烟煤〈贫煤〈无烟煤或煤矸石。本项目燃煤锅炉燃料采用烟煤，q4取</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w:t>
            </w:r>
          </w:p>
          <w:p w14:paraId="1A7AECE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ηs——脱硫效率，%；采用双碱法脱硫，根据《污染源源强核算技术指南锅炉》（HJ991-2018）中表B.7烟气脱硫常规技术的一般性能，双碱法脱硫效率在90-99%直接，本项目保守取值，90%。</w:t>
            </w:r>
          </w:p>
          <w:p w14:paraId="00C7E2E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K——燃料中的硫燃烧后氧化成二氧化硫的份额，量纲一的量。根据《污染源源强核算技术指南锅炉》（HJ991-2018）附录B，链条炉排炉（属于层燃炉）取85%。</w:t>
            </w:r>
          </w:p>
          <w:p w14:paraId="5FBAED5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根据以上公式计算，本项目SO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排放量</w:t>
            </w:r>
            <w:r>
              <w:rPr>
                <w:rFonts w:hint="eastAsia" w:cs="Times New Roman"/>
                <w:color w:val="auto"/>
                <w:highlight w:val="none"/>
                <w:lang w:val="en-US" w:eastAsia="zh-CN"/>
              </w:rPr>
              <w:t>8.59t/a</w:t>
            </w:r>
            <w:r>
              <w:rPr>
                <w:rFonts w:hint="default" w:ascii="Times New Roman" w:hAnsi="Times New Roman" w:cs="Times New Roman"/>
                <w:color w:val="auto"/>
                <w:highlight w:val="none"/>
                <w:lang w:val="en-US" w:eastAsia="zh-CN"/>
              </w:rPr>
              <w:t>，则SO</w:t>
            </w:r>
            <w:r>
              <w:rPr>
                <w:rFonts w:hint="default" w:ascii="Times New Roman" w:hAnsi="Times New Roman" w:cs="Times New Roman"/>
                <w:color w:val="auto"/>
                <w:highlight w:val="none"/>
                <w:vertAlign w:val="subscript"/>
                <w:lang w:val="en-US" w:eastAsia="zh-CN"/>
              </w:rPr>
              <w:t>2</w:t>
            </w:r>
            <w:r>
              <w:rPr>
                <w:rFonts w:hint="default" w:ascii="Times New Roman" w:hAnsi="Times New Roman" w:cs="Times New Roman"/>
                <w:color w:val="auto"/>
                <w:highlight w:val="none"/>
                <w:lang w:val="en-US" w:eastAsia="zh-CN"/>
              </w:rPr>
              <w:t>排放浓度为</w:t>
            </w:r>
            <w:r>
              <w:rPr>
                <w:rFonts w:hint="eastAsia" w:cs="Times New Roman"/>
                <w:color w:val="auto"/>
                <w:highlight w:val="none"/>
                <w:lang w:val="en-US" w:eastAsia="zh-CN"/>
              </w:rPr>
              <w:t>35.51mg/m³</w:t>
            </w:r>
            <w:r>
              <w:rPr>
                <w:rFonts w:hint="default" w:ascii="Times New Roman" w:hAnsi="Times New Roman" w:cs="Times New Roman"/>
                <w:color w:val="auto"/>
                <w:highlight w:val="none"/>
                <w:lang w:val="en-US" w:eastAsia="zh-CN"/>
              </w:rPr>
              <w:t>。</w:t>
            </w:r>
          </w:p>
          <w:p w14:paraId="5A3D952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④NOx排放量</w:t>
            </w:r>
          </w:p>
          <w:p w14:paraId="4898D3A1">
            <w:pPr>
              <w:pStyle w:val="66"/>
              <w:spacing w:line="360" w:lineRule="auto"/>
              <w:ind w:firstLine="480"/>
              <w:rPr>
                <w:rFonts w:hint="default" w:ascii="Times New Roman" w:hAnsi="Times New Roman" w:eastAsia="宋体" w:cs="Times New Roman"/>
                <w:color w:val="auto"/>
                <w:kern w:val="2"/>
                <w:highlight w:val="none"/>
                <w:lang w:eastAsia="zh-CN"/>
              </w:rPr>
            </w:pPr>
            <w:r>
              <w:rPr>
                <w:rFonts w:hint="default" w:ascii="Times New Roman" w:hAnsi="Times New Roman" w:eastAsia="宋体" w:cs="Times New Roman"/>
                <w:color w:val="auto"/>
                <w:kern w:val="2"/>
                <w:highlight w:val="none"/>
              </w:rPr>
              <w:t>根据《污染源源强核算技术指南锅炉》（HJ991-2018）规定进行计算</w:t>
            </w:r>
            <w:r>
              <w:rPr>
                <w:rFonts w:hint="default" w:ascii="Times New Roman" w:hAnsi="Times New Roman" w:eastAsia="宋体" w:cs="Times New Roman"/>
                <w:color w:val="auto"/>
                <w:kern w:val="2"/>
                <w:highlight w:val="none"/>
                <w:lang w:eastAsia="zh-CN"/>
              </w:rPr>
              <w:t>：</w:t>
            </w:r>
          </w:p>
          <w:p w14:paraId="3B5F8EC7">
            <w:pPr>
              <w:jc w:val="center"/>
              <w:rPr>
                <w:rFonts w:hint="default" w:ascii="Times New Roman" w:hAnsi="Times New Roman" w:cs="Times New Roman"/>
                <w:b w:val="0"/>
                <w:i w:val="0"/>
                <w:color w:val="auto"/>
                <w:kern w:val="2"/>
                <w:sz w:val="24"/>
                <w:szCs w:val="24"/>
                <w:highlight w:val="none"/>
                <w:lang w:val="en-US" w:eastAsia="zh-CN" w:bidi="ar-SA"/>
              </w:rPr>
            </w:pPr>
            <m:oMathPara>
              <m:oMath>
                <m:sSub>
                  <m:sSubPr>
                    <m:ctrlPr>
                      <w:rPr>
                        <w:rFonts w:hint="default" w:ascii="Cambria Math" w:hAnsi="Cambria Math" w:cs="Times New Roman"/>
                        <w:i w:val="0"/>
                        <w:color w:val="auto"/>
                        <w:kern w:val="2"/>
                        <w:sz w:val="24"/>
                        <w:szCs w:val="24"/>
                        <w:highlight w:val="none"/>
                        <w:lang w:val="en-US" w:eastAsia="zh-CN" w:bidi="ar-SA"/>
                      </w:rPr>
                    </m:ctrlPr>
                  </m:sSubPr>
                  <m:e>
                    <m:r>
                      <m:rPr>
                        <m:nor/>
                      </m:rPr>
                      <w:rPr>
                        <w:rFonts w:hint="default" w:ascii="Times New Roman" w:hAnsi="Times New Roman" w:cs="Times New Roman"/>
                        <w:i/>
                        <w:color w:val="auto"/>
                        <w:kern w:val="2"/>
                        <w:sz w:val="24"/>
                        <w:szCs w:val="24"/>
                        <w:highlight w:val="none"/>
                        <w:lang w:val="en-US" w:eastAsia="zh-CN" w:bidi="ar-SA"/>
                      </w:rPr>
                      <m:t>E</m:t>
                    </m:r>
                    <m:ctrlPr>
                      <w:rPr>
                        <w:rFonts w:hint="default" w:ascii="Cambria Math" w:hAnsi="Cambria Math" w:cs="Times New Roman"/>
                        <w:i w:val="0"/>
                        <w:color w:val="auto"/>
                        <w:kern w:val="2"/>
                        <w:sz w:val="24"/>
                        <w:szCs w:val="24"/>
                        <w:highlight w:val="none"/>
                        <w:lang w:val="en-US" w:eastAsia="zh-CN" w:bidi="ar-SA"/>
                      </w:rPr>
                    </m:ctrlPr>
                  </m:e>
                  <m:sub>
                    <m:sSub>
                      <m:sSubPr>
                        <m:ctrlPr>
                          <w:rPr>
                            <w:rFonts w:hint="default" w:ascii="Cambria Math" w:hAnsi="Cambria Math" w:cs="Times New Roman"/>
                            <w:i w:val="0"/>
                            <w:color w:val="auto"/>
                            <w:kern w:val="2"/>
                            <w:sz w:val="24"/>
                            <w:szCs w:val="24"/>
                            <w:highlight w:val="none"/>
                            <w:lang w:val="en-US" w:eastAsia="zh-CN" w:bidi="ar-SA"/>
                          </w:rPr>
                        </m:ctrlPr>
                      </m:sSubPr>
                      <m:e>
                        <m:r>
                          <m:rPr>
                            <m:nor/>
                            <m:sty m:val="p"/>
                          </m:rPr>
                          <w:rPr>
                            <w:rFonts w:hint="default" w:ascii="Times New Roman" w:hAnsi="Times New Roman" w:cs="Times New Roman"/>
                            <w:b w:val="0"/>
                            <w:i w:val="0"/>
                            <w:color w:val="auto"/>
                            <w:kern w:val="2"/>
                            <w:sz w:val="24"/>
                            <w:szCs w:val="24"/>
                            <w:highlight w:val="none"/>
                            <w:lang w:val="en-US" w:eastAsia="zh-CN" w:bidi="ar-SA"/>
                          </w:rPr>
                          <m:t>NO</m:t>
                        </m:r>
                        <m:ctrlPr>
                          <w:rPr>
                            <w:rFonts w:hint="default" w:ascii="Cambria Math" w:hAnsi="Cambria Math" w:cs="Times New Roman"/>
                            <w:i w:val="0"/>
                            <w:color w:val="auto"/>
                            <w:kern w:val="2"/>
                            <w:sz w:val="24"/>
                            <w:szCs w:val="24"/>
                            <w:highlight w:val="none"/>
                            <w:lang w:val="en-US" w:eastAsia="zh-CN" w:bidi="ar-SA"/>
                          </w:rPr>
                        </m:ctrlPr>
                      </m:e>
                      <m:sub>
                        <m:r>
                          <m:rPr>
                            <m:nor/>
                            <m:sty m:val="p"/>
                          </m:rPr>
                          <w:rPr>
                            <w:rFonts w:hint="default" w:ascii="Times New Roman" w:hAnsi="Times New Roman" w:cs="Times New Roman"/>
                            <w:b w:val="0"/>
                            <w:i w:val="0"/>
                            <w:color w:val="auto"/>
                            <w:kern w:val="2"/>
                            <w:sz w:val="24"/>
                            <w:szCs w:val="24"/>
                            <w:highlight w:val="none"/>
                            <w:lang w:val="en-US" w:eastAsia="zh-CN" w:bidi="ar-SA"/>
                          </w:rPr>
                          <m:t>X</m:t>
                        </m:r>
                        <m:ctrlPr>
                          <w:rPr>
                            <w:rFonts w:hint="default" w:ascii="Cambria Math" w:hAnsi="Cambria Math" w:cs="Times New Roman"/>
                            <w:i w:val="0"/>
                            <w:color w:val="auto"/>
                            <w:kern w:val="2"/>
                            <w:sz w:val="24"/>
                            <w:szCs w:val="24"/>
                            <w:highlight w:val="none"/>
                            <w:lang w:val="en-US" w:eastAsia="zh-CN" w:bidi="ar-SA"/>
                          </w:rPr>
                        </m:ctrlPr>
                      </m:sub>
                    </m:sSub>
                    <m:ctrlPr>
                      <w:rPr>
                        <w:rFonts w:hint="default" w:ascii="Cambria Math" w:hAnsi="Cambria Math" w:cs="Times New Roman"/>
                        <w:i w:val="0"/>
                        <w:color w:val="auto"/>
                        <w:kern w:val="2"/>
                        <w:sz w:val="24"/>
                        <w:szCs w:val="24"/>
                        <w:highlight w:val="none"/>
                        <w:lang w:val="en-US" w:eastAsia="zh-CN" w:bidi="ar-SA"/>
                      </w:rPr>
                    </m:ctrlPr>
                  </m:sub>
                </m:sSub>
                <m:r>
                  <m:rPr>
                    <m:nor/>
                    <m:sty m:val="p"/>
                  </m:rPr>
                  <w:rPr>
                    <w:rFonts w:hint="default" w:ascii="Times New Roman" w:hAnsi="Times New Roman" w:cs="Times New Roman"/>
                    <w:b w:val="0"/>
                    <w:i w:val="0"/>
                    <w:color w:val="auto"/>
                    <w:kern w:val="2"/>
                    <w:sz w:val="24"/>
                    <w:szCs w:val="24"/>
                    <w:highlight w:val="none"/>
                    <w:lang w:val="en-US" w:eastAsia="zh-CN" w:bidi="ar-SA"/>
                  </w:rPr>
                  <m:t>=</m:t>
                </m:r>
                <m:sSub>
                  <m:sSubPr>
                    <m:ctrlPr>
                      <w:rPr>
                        <w:rFonts w:hint="default" w:ascii="Cambria Math" w:hAnsi="Cambria Math" w:cs="Times New Roman"/>
                        <w:color w:val="auto"/>
                        <w:kern w:val="2"/>
                        <w:sz w:val="24"/>
                        <w:szCs w:val="24"/>
                        <w:highlight w:val="none"/>
                        <w:lang w:val="en-US" w:eastAsia="zh-CN" w:bidi="ar-SA"/>
                      </w:rPr>
                    </m:ctrlPr>
                  </m:sSubPr>
                  <m:e>
                    <m:r>
                      <m:rPr>
                        <m:nor/>
                      </m:rPr>
                      <w:rPr>
                        <w:rFonts w:hint="default" w:ascii="Times New Roman" w:hAnsi="Times New Roman" w:cs="Times New Roman"/>
                        <w:i/>
                        <w:color w:val="auto"/>
                        <w:kern w:val="2"/>
                        <w:sz w:val="24"/>
                        <w:szCs w:val="24"/>
                        <w:highlight w:val="none"/>
                        <w:lang w:val="en-US" w:bidi="ar-SA"/>
                      </w:rPr>
                      <m:t>ρ</m:t>
                    </m:r>
                    <m:ctrlPr>
                      <w:rPr>
                        <w:rFonts w:hint="default" w:ascii="Cambria Math" w:hAnsi="Cambria Math" w:cs="Times New Roman"/>
                        <w:color w:val="auto"/>
                        <w:kern w:val="2"/>
                        <w:sz w:val="24"/>
                        <w:szCs w:val="24"/>
                        <w:highlight w:val="none"/>
                        <w:lang w:val="en-US" w:eastAsia="zh-CN" w:bidi="ar-SA"/>
                      </w:rPr>
                    </m:ctrlPr>
                  </m:e>
                  <m:sub>
                    <m:sSub>
                      <m:sSubPr>
                        <m:ctrlPr>
                          <w:rPr>
                            <w:rFonts w:hint="default" w:ascii="Cambria Math" w:hAnsi="Cambria Math" w:cs="Times New Roman"/>
                            <w:color w:val="auto"/>
                            <w:kern w:val="2"/>
                            <w:sz w:val="24"/>
                            <w:szCs w:val="24"/>
                            <w:highlight w:val="none"/>
                            <w:lang w:val="en-US" w:eastAsia="zh-CN" w:bidi="ar-SA"/>
                          </w:rPr>
                        </m:ctrlPr>
                      </m:sSubPr>
                      <m:e>
                        <m:r>
                          <m:rPr>
                            <m:nor/>
                            <m:sty m:val="p"/>
                          </m:rPr>
                          <w:rPr>
                            <w:rFonts w:hint="default" w:ascii="Times New Roman" w:hAnsi="Times New Roman" w:cs="Times New Roman"/>
                            <w:b w:val="0"/>
                            <w:i w:val="0"/>
                            <w:color w:val="auto"/>
                            <w:kern w:val="2"/>
                            <w:sz w:val="24"/>
                            <w:szCs w:val="24"/>
                            <w:highlight w:val="none"/>
                            <w:lang w:val="en-US" w:eastAsia="zh-CN" w:bidi="ar-SA"/>
                          </w:rPr>
                          <m:t>NO</m:t>
                        </m:r>
                        <m:ctrlPr>
                          <w:rPr>
                            <w:rFonts w:hint="default" w:ascii="Cambria Math" w:hAnsi="Cambria Math" w:cs="Times New Roman"/>
                            <w:color w:val="auto"/>
                            <w:kern w:val="2"/>
                            <w:sz w:val="24"/>
                            <w:szCs w:val="24"/>
                            <w:highlight w:val="none"/>
                            <w:lang w:val="en-US" w:eastAsia="zh-CN" w:bidi="ar-SA"/>
                          </w:rPr>
                        </m:ctrlPr>
                      </m:e>
                      <m:sub>
                        <m:r>
                          <m:rPr>
                            <m:nor/>
                            <m:sty m:val="p"/>
                          </m:rPr>
                          <w:rPr>
                            <w:rFonts w:hint="default" w:ascii="Times New Roman" w:hAnsi="Times New Roman" w:cs="Times New Roman"/>
                            <w:b w:val="0"/>
                            <w:i w:val="0"/>
                            <w:color w:val="auto"/>
                            <w:kern w:val="2"/>
                            <w:sz w:val="24"/>
                            <w:szCs w:val="24"/>
                            <w:highlight w:val="none"/>
                            <w:lang w:val="en-US" w:eastAsia="zh-CN" w:bidi="ar-SA"/>
                          </w:rPr>
                          <m:t>X</m:t>
                        </m:r>
                        <m:ctrlPr>
                          <w:rPr>
                            <w:rFonts w:hint="default" w:ascii="Cambria Math" w:hAnsi="Cambria Math" w:cs="Times New Roman"/>
                            <w:color w:val="auto"/>
                            <w:kern w:val="2"/>
                            <w:sz w:val="24"/>
                            <w:szCs w:val="24"/>
                            <w:highlight w:val="none"/>
                            <w:lang w:val="en-US" w:eastAsia="zh-CN" w:bidi="ar-SA"/>
                          </w:rPr>
                        </m:ctrlPr>
                      </m:sub>
                    </m:sSub>
                    <m:ctrlPr>
                      <w:rPr>
                        <w:rFonts w:hint="default" w:ascii="Cambria Math" w:hAnsi="Cambria Math" w:cs="Times New Roman"/>
                        <w:color w:val="auto"/>
                        <w:kern w:val="2"/>
                        <w:sz w:val="24"/>
                        <w:szCs w:val="24"/>
                        <w:highlight w:val="none"/>
                        <w:lang w:val="en-US" w:eastAsia="zh-CN" w:bidi="ar-SA"/>
                      </w:rPr>
                    </m:ctrlPr>
                  </m:sub>
                </m:sSub>
                <m:r>
                  <m:rPr>
                    <m:nor/>
                    <m:sty m:val="p"/>
                  </m:rPr>
                  <w:rPr>
                    <w:rFonts w:hint="default" w:ascii="Times New Roman" w:hAnsi="Times New Roman" w:cs="Times New Roman"/>
                    <w:b w:val="0"/>
                    <w:i w:val="0"/>
                    <w:color w:val="auto"/>
                    <w:kern w:val="2"/>
                    <w:sz w:val="24"/>
                    <w:szCs w:val="24"/>
                    <w:highlight w:val="none"/>
                    <w:lang w:val="en-US" w:eastAsia="zh-CN" w:bidi="ar-SA"/>
                  </w:rPr>
                  <m:t>×</m:t>
                </m:r>
                <m:r>
                  <m:rPr>
                    <m:nor/>
                  </m:rPr>
                  <w:rPr>
                    <w:rFonts w:hint="default" w:ascii="Times New Roman" w:hAnsi="Times New Roman" w:cs="Times New Roman"/>
                    <w:i/>
                    <w:color w:val="auto"/>
                    <w:kern w:val="2"/>
                    <w:sz w:val="24"/>
                    <w:szCs w:val="24"/>
                    <w:highlight w:val="none"/>
                    <w:lang w:val="en-US" w:eastAsia="zh-CN" w:bidi="ar-SA"/>
                  </w:rPr>
                  <m:t>Q</m:t>
                </m:r>
                <m:r>
                  <m:rPr>
                    <m:nor/>
                    <m:sty m:val="p"/>
                  </m:rPr>
                  <w:rPr>
                    <w:rFonts w:hint="default" w:ascii="Times New Roman" w:hAnsi="Times New Roman" w:cs="Times New Roman"/>
                    <w:b w:val="0"/>
                    <w:i w:val="0"/>
                    <w:color w:val="auto"/>
                    <w:kern w:val="2"/>
                    <w:sz w:val="24"/>
                    <w:szCs w:val="24"/>
                    <w:highlight w:val="none"/>
                    <w:lang w:val="en-US" w:eastAsia="zh-CN" w:bidi="ar-SA"/>
                  </w:rPr>
                  <m:t>×</m:t>
                </m:r>
                <m:d>
                  <m:dPr>
                    <m:ctrlPr>
                      <w:rPr>
                        <w:rFonts w:hint="default" w:ascii="Cambria Math" w:hAnsi="Cambria Math" w:cs="Times New Roman"/>
                        <w:b w:val="0"/>
                        <w:i w:val="0"/>
                        <w:color w:val="auto"/>
                        <w:kern w:val="2"/>
                        <w:sz w:val="24"/>
                        <w:szCs w:val="24"/>
                        <w:highlight w:val="none"/>
                        <w:lang w:val="en-US" w:eastAsia="zh-CN" w:bidi="ar-SA"/>
                      </w:rPr>
                    </m:ctrlPr>
                  </m:dPr>
                  <m:e>
                    <m:r>
                      <m:rPr>
                        <m:nor/>
                        <m:sty m:val="p"/>
                      </m:rPr>
                      <w:rPr>
                        <w:rFonts w:hint="default" w:ascii="Times New Roman" w:hAnsi="Times New Roman" w:cs="Times New Roman"/>
                        <w:b w:val="0"/>
                        <w:i w:val="0"/>
                        <w:color w:val="auto"/>
                        <w:kern w:val="2"/>
                        <w:sz w:val="24"/>
                        <w:szCs w:val="24"/>
                        <w:highlight w:val="none"/>
                        <w:lang w:val="en-US" w:eastAsia="zh-CN" w:bidi="ar-SA"/>
                      </w:rPr>
                      <m:t>1−</m:t>
                    </m:r>
                    <m:f>
                      <m:fPr>
                        <m:ctrlPr>
                          <w:rPr>
                            <w:rFonts w:hint="default" w:ascii="Cambria Math" w:hAnsi="Cambria Math" w:cs="Times New Roman"/>
                            <w:b w:val="0"/>
                            <w:i w:val="0"/>
                            <w:color w:val="auto"/>
                            <w:kern w:val="2"/>
                            <w:sz w:val="24"/>
                            <w:szCs w:val="24"/>
                            <w:highlight w:val="none"/>
                            <w:lang w:val="en-US" w:eastAsia="zh-CN" w:bidi="ar-SA"/>
                          </w:rPr>
                        </m:ctrlPr>
                      </m:fPr>
                      <m:num>
                        <m:sSub>
                          <m:sSubPr>
                            <m:ctrlPr>
                              <w:rPr>
                                <w:rFonts w:hint="default" w:ascii="Cambria Math" w:hAnsi="Cambria Math" w:cs="Times New Roman"/>
                                <w:b w:val="0"/>
                                <w:i w:val="0"/>
                                <w:color w:val="auto"/>
                                <w:kern w:val="2"/>
                                <w:sz w:val="24"/>
                                <w:szCs w:val="24"/>
                                <w:highlight w:val="none"/>
                                <w:lang w:val="en-US" w:eastAsia="zh-CN" w:bidi="ar-SA"/>
                              </w:rPr>
                            </m:ctrlPr>
                          </m:sSubPr>
                          <m:e>
                            <m:r>
                              <m:rPr>
                                <m:nor/>
                              </m:rPr>
                              <w:rPr>
                                <w:rFonts w:hint="default" w:ascii="Times New Roman" w:hAnsi="Times New Roman" w:eastAsia="宋体" w:cs="Times New Roman"/>
                                <w:i/>
                                <w:color w:val="auto"/>
                                <w:kern w:val="2"/>
                                <w:highlight w:val="none"/>
                                <w:lang w:val="en-US" w:eastAsia="zh-CN"/>
                              </w:rPr>
                              <m:t>η</m:t>
                            </m:r>
                            <m:ctrlPr>
                              <w:rPr>
                                <w:rFonts w:hint="default" w:ascii="Cambria Math" w:hAnsi="Cambria Math" w:cs="Times New Roman"/>
                                <w:b w:val="0"/>
                                <w:i w:val="0"/>
                                <w:color w:val="auto"/>
                                <w:kern w:val="2"/>
                                <w:sz w:val="24"/>
                                <w:szCs w:val="24"/>
                                <w:highlight w:val="none"/>
                                <w:lang w:val="en-US" w:eastAsia="zh-CN" w:bidi="ar-SA"/>
                              </w:rPr>
                            </m:ctrlPr>
                          </m:e>
                          <m:sub>
                            <m:sSub>
                              <m:sSubPr>
                                <m:ctrlPr>
                                  <w:rPr>
                                    <w:rFonts w:hint="default" w:ascii="Cambria Math" w:hAnsi="Cambria Math" w:cs="Times New Roman"/>
                                    <w:b w:val="0"/>
                                    <w:i w:val="0"/>
                                    <w:color w:val="auto"/>
                                    <w:kern w:val="2"/>
                                    <w:sz w:val="24"/>
                                    <w:szCs w:val="24"/>
                                    <w:highlight w:val="none"/>
                                    <w:lang w:val="en-US" w:eastAsia="zh-CN" w:bidi="ar-SA"/>
                                  </w:rPr>
                                </m:ctrlPr>
                              </m:sSubPr>
                              <m:e>
                                <m:r>
                                  <m:rPr>
                                    <m:nor/>
                                    <m:sty m:val="p"/>
                                  </m:rPr>
                                  <w:rPr>
                                    <w:rFonts w:hint="default" w:ascii="Times New Roman" w:hAnsi="Times New Roman" w:cs="Times New Roman"/>
                                    <w:b w:val="0"/>
                                    <w:i w:val="0"/>
                                    <w:color w:val="auto"/>
                                    <w:kern w:val="2"/>
                                    <w:sz w:val="24"/>
                                    <w:szCs w:val="24"/>
                                    <w:highlight w:val="none"/>
                                    <w:lang w:val="en-US" w:eastAsia="zh-CN" w:bidi="ar-SA"/>
                                  </w:rPr>
                                  <m:t>NO</m:t>
                                </m:r>
                                <m:ctrlPr>
                                  <w:rPr>
                                    <w:rFonts w:hint="default" w:ascii="Cambria Math" w:hAnsi="Cambria Math" w:cs="Times New Roman"/>
                                    <w:b w:val="0"/>
                                    <w:i w:val="0"/>
                                    <w:color w:val="auto"/>
                                    <w:kern w:val="2"/>
                                    <w:sz w:val="24"/>
                                    <w:szCs w:val="24"/>
                                    <w:highlight w:val="none"/>
                                    <w:lang w:val="en-US" w:eastAsia="zh-CN" w:bidi="ar-SA"/>
                                  </w:rPr>
                                </m:ctrlPr>
                              </m:e>
                              <m:sub>
                                <m:r>
                                  <m:rPr>
                                    <m:nor/>
                                    <m:sty m:val="p"/>
                                  </m:rPr>
                                  <w:rPr>
                                    <w:rFonts w:hint="default" w:ascii="Times New Roman" w:hAnsi="Times New Roman" w:cs="Times New Roman"/>
                                    <w:b w:val="0"/>
                                    <w:i w:val="0"/>
                                    <w:color w:val="auto"/>
                                    <w:kern w:val="2"/>
                                    <w:sz w:val="24"/>
                                    <w:szCs w:val="24"/>
                                    <w:highlight w:val="none"/>
                                    <w:lang w:val="en-US" w:eastAsia="zh-CN" w:bidi="ar-SA"/>
                                  </w:rPr>
                                  <m:t>X</m:t>
                                </m:r>
                                <m:ctrlPr>
                                  <w:rPr>
                                    <w:rFonts w:hint="default" w:ascii="Cambria Math" w:hAnsi="Cambria Math" w:cs="Times New Roman"/>
                                    <w:b w:val="0"/>
                                    <w:i w:val="0"/>
                                    <w:color w:val="auto"/>
                                    <w:kern w:val="2"/>
                                    <w:sz w:val="24"/>
                                    <w:szCs w:val="24"/>
                                    <w:highlight w:val="none"/>
                                    <w:lang w:val="en-US" w:eastAsia="zh-CN" w:bidi="ar-SA"/>
                                  </w:rPr>
                                </m:ctrlPr>
                              </m:sub>
                            </m:sSub>
                            <m:ctrlPr>
                              <w:rPr>
                                <w:rFonts w:hint="default" w:ascii="Cambria Math" w:hAnsi="Cambria Math" w:cs="Times New Roman"/>
                                <w:b w:val="0"/>
                                <w:i w:val="0"/>
                                <w:color w:val="auto"/>
                                <w:kern w:val="2"/>
                                <w:sz w:val="24"/>
                                <w:szCs w:val="24"/>
                                <w:highlight w:val="none"/>
                                <w:lang w:val="en-US" w:eastAsia="zh-CN" w:bidi="ar-SA"/>
                              </w:rPr>
                            </m:ctrlPr>
                          </m:sub>
                        </m:sSub>
                        <m:ctrlPr>
                          <w:rPr>
                            <w:rFonts w:hint="default" w:ascii="Cambria Math" w:hAnsi="Cambria Math" w:cs="Times New Roman"/>
                            <w:b w:val="0"/>
                            <w:i w:val="0"/>
                            <w:color w:val="auto"/>
                            <w:kern w:val="2"/>
                            <w:sz w:val="24"/>
                            <w:szCs w:val="24"/>
                            <w:highlight w:val="none"/>
                            <w:lang w:val="en-US" w:eastAsia="zh-CN" w:bidi="ar-SA"/>
                          </w:rPr>
                        </m:ctrlPr>
                      </m:num>
                      <m:den>
                        <m:r>
                          <m:rPr>
                            <m:nor/>
                            <m:sty m:val="p"/>
                          </m:rPr>
                          <w:rPr>
                            <w:rFonts w:hint="default" w:ascii="Times New Roman" w:hAnsi="Times New Roman" w:cs="Times New Roman"/>
                            <w:b w:val="0"/>
                            <w:i w:val="0"/>
                            <w:color w:val="auto"/>
                            <w:kern w:val="2"/>
                            <w:sz w:val="24"/>
                            <w:szCs w:val="24"/>
                            <w:highlight w:val="none"/>
                            <w:lang w:val="en-US" w:eastAsia="zh-CN" w:bidi="ar-SA"/>
                          </w:rPr>
                          <m:t>100</m:t>
                        </m:r>
                        <m:ctrlPr>
                          <w:rPr>
                            <w:rFonts w:hint="default" w:ascii="Cambria Math" w:hAnsi="Cambria Math" w:cs="Times New Roman"/>
                            <w:b w:val="0"/>
                            <w:i w:val="0"/>
                            <w:color w:val="auto"/>
                            <w:kern w:val="2"/>
                            <w:sz w:val="24"/>
                            <w:szCs w:val="24"/>
                            <w:highlight w:val="none"/>
                            <w:lang w:val="en-US" w:eastAsia="zh-CN" w:bidi="ar-SA"/>
                          </w:rPr>
                        </m:ctrlPr>
                      </m:den>
                    </m:f>
                    <m:ctrlPr>
                      <w:rPr>
                        <w:rFonts w:hint="default" w:ascii="Cambria Math" w:hAnsi="Cambria Math" w:cs="Times New Roman"/>
                        <w:b w:val="0"/>
                        <w:i w:val="0"/>
                        <w:color w:val="auto"/>
                        <w:kern w:val="2"/>
                        <w:sz w:val="24"/>
                        <w:szCs w:val="24"/>
                        <w:highlight w:val="none"/>
                        <w:lang w:val="en-US" w:eastAsia="zh-CN" w:bidi="ar-SA"/>
                      </w:rPr>
                    </m:ctrlPr>
                  </m:e>
                </m:d>
                <m:r>
                  <m:rPr>
                    <m:nor/>
                    <m:sty m:val="p"/>
                  </m:rPr>
                  <w:rPr>
                    <w:rFonts w:hint="default" w:ascii="Times New Roman" w:hAnsi="Times New Roman" w:cs="Times New Roman"/>
                    <w:b w:val="0"/>
                    <w:i w:val="0"/>
                    <w:color w:val="auto"/>
                    <w:kern w:val="2"/>
                    <w:sz w:val="24"/>
                    <w:szCs w:val="24"/>
                    <w:highlight w:val="none"/>
                    <w:lang w:val="en-US" w:eastAsia="zh-CN" w:bidi="ar-SA"/>
                  </w:rPr>
                  <m:t>×</m:t>
                </m:r>
                <m:sSup>
                  <m:sSupPr>
                    <m:ctrlPr>
                      <w:rPr>
                        <w:rFonts w:hint="default" w:ascii="Cambria Math" w:hAnsi="Cambria Math" w:cs="Times New Roman"/>
                        <w:b w:val="0"/>
                        <w:i w:val="0"/>
                        <w:color w:val="auto"/>
                        <w:kern w:val="2"/>
                        <w:sz w:val="24"/>
                        <w:szCs w:val="24"/>
                        <w:highlight w:val="none"/>
                        <w:lang w:val="en-US" w:eastAsia="zh-CN" w:bidi="ar-SA"/>
                      </w:rPr>
                    </m:ctrlPr>
                  </m:sSupPr>
                  <m:e>
                    <m:r>
                      <m:rPr>
                        <m:nor/>
                        <m:sty m:val="p"/>
                      </m:rPr>
                      <w:rPr>
                        <w:rFonts w:hint="default" w:ascii="Times New Roman" w:hAnsi="Times New Roman" w:cs="Times New Roman"/>
                        <w:b w:val="0"/>
                        <w:i w:val="0"/>
                        <w:color w:val="auto"/>
                        <w:kern w:val="2"/>
                        <w:sz w:val="24"/>
                        <w:szCs w:val="24"/>
                        <w:highlight w:val="none"/>
                        <w:lang w:val="en-US" w:eastAsia="zh-CN" w:bidi="ar-SA"/>
                      </w:rPr>
                      <m:t>10</m:t>
                    </m:r>
                    <m:ctrlPr>
                      <w:rPr>
                        <w:rFonts w:hint="default" w:ascii="Cambria Math" w:hAnsi="Cambria Math" w:cs="Times New Roman"/>
                        <w:b w:val="0"/>
                        <w:i w:val="0"/>
                        <w:color w:val="auto"/>
                        <w:kern w:val="2"/>
                        <w:sz w:val="24"/>
                        <w:szCs w:val="24"/>
                        <w:highlight w:val="none"/>
                        <w:lang w:val="en-US" w:eastAsia="zh-CN" w:bidi="ar-SA"/>
                      </w:rPr>
                    </m:ctrlPr>
                  </m:e>
                  <m:sup>
                    <m:r>
                      <m:rPr>
                        <m:nor/>
                        <m:sty m:val="p"/>
                      </m:rPr>
                      <w:rPr>
                        <w:rFonts w:hint="default" w:ascii="Times New Roman" w:hAnsi="Times New Roman" w:cs="Times New Roman"/>
                        <w:b w:val="0"/>
                        <w:i w:val="0"/>
                        <w:color w:val="auto"/>
                        <w:kern w:val="2"/>
                        <w:sz w:val="24"/>
                        <w:szCs w:val="24"/>
                        <w:highlight w:val="none"/>
                        <w:lang w:val="en-US" w:eastAsia="zh-CN" w:bidi="ar-SA"/>
                      </w:rPr>
                      <m:t>−9</m:t>
                    </m:r>
                    <m:ctrlPr>
                      <w:rPr>
                        <w:rFonts w:hint="default" w:ascii="Cambria Math" w:hAnsi="Cambria Math" w:cs="Times New Roman"/>
                        <w:b w:val="0"/>
                        <w:i w:val="0"/>
                        <w:color w:val="auto"/>
                        <w:kern w:val="2"/>
                        <w:sz w:val="24"/>
                        <w:szCs w:val="24"/>
                        <w:highlight w:val="none"/>
                        <w:lang w:val="en-US" w:eastAsia="zh-CN" w:bidi="ar-SA"/>
                      </w:rPr>
                    </m:ctrlPr>
                  </m:sup>
                </m:sSup>
              </m:oMath>
            </m:oMathPara>
          </w:p>
          <w:p w14:paraId="1C877045">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kern w:val="2"/>
                <w:highlight w:val="none"/>
                <w:lang w:val="en-US" w:eastAsia="zh-CN"/>
              </w:rPr>
              <w:t>式中：</w:t>
            </w:r>
            <w:r>
              <w:rPr>
                <w:rFonts w:hint="default" w:ascii="Times New Roman" w:hAnsi="Times New Roman" w:cs="Times New Roman"/>
                <w:i/>
                <w:iCs/>
                <w:color w:val="auto"/>
                <w:kern w:val="2"/>
                <w:highlight w:val="none"/>
                <w:lang w:val="en-US" w:eastAsia="zh-CN"/>
              </w:rPr>
              <w:t>E</w:t>
            </w:r>
            <w:r>
              <w:rPr>
                <w:rFonts w:hint="default" w:ascii="Times New Roman" w:hAnsi="Times New Roman" w:cs="Times New Roman"/>
                <w:color w:val="auto"/>
                <w:kern w:val="2"/>
                <w:highlight w:val="none"/>
                <w:vertAlign w:val="subscript"/>
                <w:lang w:val="en-US" w:eastAsia="zh-CN"/>
              </w:rPr>
              <w:t>NOx</w:t>
            </w:r>
            <w:r>
              <w:rPr>
                <w:rFonts w:hint="default" w:ascii="Times New Roman" w:hAnsi="Times New Roman" w:cs="Times New Roman"/>
                <w:color w:val="auto"/>
                <w:kern w:val="2"/>
                <w:highlight w:val="none"/>
                <w:lang w:val="en-US" w:eastAsia="zh-CN"/>
              </w:rPr>
              <w:t>——</w:t>
            </w:r>
            <w:r>
              <w:rPr>
                <w:rFonts w:hint="default" w:ascii="Times New Roman" w:hAnsi="Times New Roman" w:eastAsia="宋体" w:cs="Times New Roman"/>
                <w:color w:val="auto"/>
                <w:sz w:val="24"/>
                <w:szCs w:val="24"/>
                <w:highlight w:val="none"/>
              </w:rPr>
              <w:t>核算时段内二氧化硫排放量，t</w:t>
            </w:r>
            <w:r>
              <w:rPr>
                <w:rFonts w:hint="default" w:ascii="Times New Roman" w:hAnsi="Times New Roman" w:cs="Times New Roman"/>
                <w:color w:val="auto"/>
                <w:kern w:val="2"/>
                <w:highlight w:val="none"/>
                <w:lang w:val="en-US" w:eastAsia="zh-CN"/>
              </w:rPr>
              <w:t>；</w:t>
            </w:r>
          </w:p>
          <w:p w14:paraId="10804244">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ρ</w:t>
            </w:r>
            <w:r>
              <w:rPr>
                <w:rFonts w:hint="default" w:ascii="Times New Roman" w:hAnsi="Times New Roman" w:cs="Times New Roman"/>
                <w:color w:val="auto"/>
                <w:kern w:val="2"/>
                <w:highlight w:val="none"/>
                <w:lang w:val="en-US" w:eastAsia="zh-CN"/>
              </w:rPr>
              <w:t>NOx</w:t>
            </w:r>
            <w:r>
              <w:rPr>
                <w:rFonts w:hint="default" w:ascii="Times New Roman" w:hAnsi="Times New Roman" w:eastAsia="宋体" w:cs="Times New Roman"/>
                <w:color w:val="auto"/>
                <w:kern w:val="2"/>
                <w:highlight w:val="none"/>
                <w:lang w:val="en-US" w:eastAsia="zh-CN"/>
              </w:rPr>
              <w:t>——锅炉炉膛出口氮氧化物质量浓度，mg/m³；</w:t>
            </w:r>
            <w:r>
              <w:rPr>
                <w:rFonts w:hint="default" w:ascii="Times New Roman" w:hAnsi="Times New Roman" w:cs="Times New Roman"/>
                <w:color w:val="auto"/>
                <w:kern w:val="2"/>
                <w:highlight w:val="none"/>
                <w:lang w:val="en-US" w:eastAsia="zh-CN"/>
              </w:rPr>
              <w:t>根据《内蒙古伊泰煤炭股份有限公司凯达选煤厂例行检测》报告数据，氮氧化物排放浓度为261mg/m³</w:t>
            </w:r>
            <w:r>
              <w:rPr>
                <w:rFonts w:hint="default" w:ascii="Times New Roman" w:hAnsi="Times New Roman" w:eastAsia="宋体" w:cs="Times New Roman"/>
                <w:color w:val="auto"/>
                <w:kern w:val="2"/>
                <w:highlight w:val="none"/>
                <w:lang w:val="en-US" w:eastAsia="zh-CN"/>
              </w:rPr>
              <w:t>；</w:t>
            </w:r>
          </w:p>
          <w:p w14:paraId="0E2EAF3A">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Q——核算时段内标态干烟气排放量，m³；本项目核算时段内标态干烟气排放量为</w:t>
            </w:r>
            <w:r>
              <w:rPr>
                <w:rFonts w:hint="default" w:ascii="Times New Roman" w:hAnsi="Times New Roman" w:cs="Times New Roman"/>
                <w:color w:val="auto"/>
                <w:kern w:val="2"/>
                <w:highlight w:val="none"/>
                <w:lang w:val="en-US" w:eastAsia="zh-CN"/>
              </w:rPr>
              <w:t>241895950.73</w:t>
            </w:r>
            <w:r>
              <w:rPr>
                <w:rFonts w:hint="default" w:ascii="Times New Roman" w:hAnsi="Times New Roman" w:eastAsia="宋体" w:cs="Times New Roman"/>
                <w:color w:val="auto"/>
                <w:kern w:val="2"/>
                <w:highlight w:val="none"/>
                <w:lang w:val="en-US" w:eastAsia="zh-CN"/>
              </w:rPr>
              <w:t>Nm³/a；</w:t>
            </w:r>
          </w:p>
          <w:p w14:paraId="127C9201">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ηs——脱硝效率，%。根据《污染源源强核算技术指南锅炉》（HJ991-2018）附录B，SNCR+SCR联合法脱硝效率为55-85%，本项目取值为55%</w:t>
            </w:r>
          </w:p>
          <w:p w14:paraId="63CB8FEB">
            <w:pPr>
              <w:bidi w:val="0"/>
              <w:rPr>
                <w:rFonts w:hint="default" w:ascii="Times New Roman" w:hAnsi="Times New Roman" w:eastAsia="宋体" w:cs="Times New Roman"/>
                <w:color w:val="auto"/>
                <w:kern w:val="2"/>
                <w:highlight w:val="none"/>
                <w:lang w:val="en-US" w:eastAsia="zh-CN"/>
              </w:rPr>
            </w:pPr>
            <w:r>
              <w:rPr>
                <w:rFonts w:hint="default" w:ascii="Times New Roman" w:hAnsi="Times New Roman" w:eastAsia="宋体" w:cs="Times New Roman"/>
                <w:color w:val="auto"/>
                <w:kern w:val="2"/>
                <w:highlight w:val="none"/>
                <w:lang w:val="en-US" w:eastAsia="zh-CN"/>
              </w:rPr>
              <w:t>经计算，本项目锅炉烟气中NO</w:t>
            </w:r>
            <w:r>
              <w:rPr>
                <w:rFonts w:hint="default" w:ascii="Times New Roman" w:hAnsi="Times New Roman" w:cs="Times New Roman"/>
                <w:color w:val="auto"/>
                <w:kern w:val="2"/>
                <w:highlight w:val="none"/>
                <w:lang w:val="en-US" w:eastAsia="zh-CN"/>
              </w:rPr>
              <w:t>x</w:t>
            </w:r>
            <w:r>
              <w:rPr>
                <w:rFonts w:hint="default" w:ascii="Times New Roman" w:hAnsi="Times New Roman" w:eastAsia="宋体" w:cs="Times New Roman"/>
                <w:color w:val="auto"/>
                <w:kern w:val="2"/>
                <w:highlight w:val="none"/>
                <w:lang w:val="en-US" w:eastAsia="zh-CN"/>
              </w:rPr>
              <w:t>年排放量为</w:t>
            </w:r>
            <w:r>
              <w:rPr>
                <w:rFonts w:hint="default" w:ascii="Times New Roman" w:hAnsi="Times New Roman" w:cs="Times New Roman"/>
                <w:color w:val="auto"/>
                <w:kern w:val="2"/>
                <w:highlight w:val="none"/>
                <w:lang w:val="en-US" w:eastAsia="zh-CN"/>
              </w:rPr>
              <w:t>28.30t/a</w:t>
            </w:r>
            <w:r>
              <w:rPr>
                <w:rFonts w:hint="default" w:ascii="Times New Roman" w:hAnsi="Times New Roman" w:eastAsia="宋体" w:cs="Times New Roman"/>
                <w:color w:val="auto"/>
                <w:kern w:val="2"/>
                <w:highlight w:val="none"/>
                <w:lang w:val="en-US" w:eastAsia="zh-CN"/>
              </w:rPr>
              <w:t>，排放浓度为</w:t>
            </w:r>
            <w:r>
              <w:rPr>
                <w:rFonts w:hint="default" w:ascii="Times New Roman" w:hAnsi="Times New Roman" w:cs="Times New Roman"/>
                <w:color w:val="auto"/>
                <w:kern w:val="2"/>
                <w:highlight w:val="none"/>
                <w:lang w:val="en-US" w:eastAsia="zh-CN"/>
              </w:rPr>
              <w:t>116.99</w:t>
            </w:r>
            <w:r>
              <w:rPr>
                <w:rFonts w:hint="default" w:ascii="Times New Roman" w:hAnsi="Times New Roman" w:eastAsia="宋体" w:cs="Times New Roman"/>
                <w:color w:val="auto"/>
                <w:kern w:val="2"/>
                <w:highlight w:val="none"/>
                <w:lang w:val="en-US" w:eastAsia="zh-CN"/>
              </w:rPr>
              <w:t>mg/m³。</w:t>
            </w:r>
          </w:p>
          <w:p w14:paraId="34C3393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⑤汞及其化合物排放量</w:t>
            </w:r>
          </w:p>
          <w:p w14:paraId="77877A0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根据《污染源源强核算技术指南锅炉》（HJ991-2018），烟气SCR脱硝、除尘和湿法脱硫等污染防治设施对汞及其化合物具有协同脱除效果，脱除效率约70%。汞及其化合物排放量计算参照下式计算：</w:t>
            </w:r>
          </w:p>
          <w:p w14:paraId="6B2E52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2752725" cy="533400"/>
                  <wp:effectExtent l="0" t="0" r="9525"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6"/>
                          <a:stretch>
                            <a:fillRect/>
                          </a:stretch>
                        </pic:blipFill>
                        <pic:spPr>
                          <a:xfrm>
                            <a:off x="0" y="0"/>
                            <a:ext cx="2752725" cy="533400"/>
                          </a:xfrm>
                          <a:prstGeom prst="rect">
                            <a:avLst/>
                          </a:prstGeom>
                          <a:noFill/>
                          <a:ln>
                            <a:noFill/>
                          </a:ln>
                        </pic:spPr>
                      </pic:pic>
                    </a:graphicData>
                  </a:graphic>
                </wp:inline>
              </w:drawing>
            </w:r>
          </w:p>
          <w:p w14:paraId="208DF38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式中：EHg——核算时段内汞及其化合物排放量（以汞计），t；</w:t>
            </w:r>
          </w:p>
          <w:p w14:paraId="0B0C6D4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R——核算时段内锅炉燃料耗量，t，全年煤炭用量为25596.48t/a；</w:t>
            </w:r>
          </w:p>
          <w:p w14:paraId="44364AA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Hgar——收到基汞的含量，µg/g；本项目使用的煤和内蒙古伊泰煤炭股份有限公司凯达煤矿增设井筒项目一致，参照《内蒙古伊泰煤炭股份有限公司凯达煤矿增设井筒项目环境影响报告表》中收到基汞的含量的取值，mHgar=0.22mg/kg，故本项目mHgar取值为0.22µg/g。</w:t>
            </w:r>
          </w:p>
          <w:p w14:paraId="0D02C90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ηHg——汞的协同脱除效率，%。烟气SCR脱硝、除尘和湿法脱硫等污染防治设施对汞及其化合物具有协同脱除效果，脱除效率为70%。</w:t>
            </w:r>
          </w:p>
          <w:p w14:paraId="4A282ED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经计算，本项目汞及其化合物排放量0.0017t/a，烟气量为241895950.73Nm³/a，排放浓度为0.005mg/m³。</w:t>
            </w:r>
          </w:p>
          <w:p w14:paraId="2E0E27E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经计算，本项目40t/h的燃煤蒸汽锅炉排放的二氧化硫、氮氧化物、颗粒物及汞及其化合物排放浓度均满足《锅炉大气污染物排放标准》（GB13271-2014）表3重点地区锅炉大气污染物排放特别限值要求。</w:t>
            </w:r>
          </w:p>
          <w:p w14:paraId="3DE0D38F">
            <w:pPr>
              <w:adjustRightInd w:val="0"/>
              <w:snapToGrid w:val="0"/>
              <w:ind w:left="0" w:leftChars="0" w:firstLine="0" w:firstLineChars="0"/>
              <w:jc w:val="center"/>
              <w:rPr>
                <w:rFonts w:hint="default" w:ascii="Times New Roman" w:hAnsi="Times New Roman" w:cs="Times New Roman"/>
                <w:b/>
                <w:bCs w:val="0"/>
                <w:color w:val="auto"/>
                <w:spacing w:val="-10"/>
                <w:sz w:val="24"/>
                <w:szCs w:val="24"/>
                <w:highlight w:val="none"/>
                <w:vertAlign w:val="baseline"/>
                <w:lang w:val="en-US" w:eastAsia="zh-CN"/>
              </w:rPr>
            </w:pPr>
            <w:r>
              <w:rPr>
                <w:rFonts w:hint="eastAsia" w:cs="Times New Roman"/>
                <w:b/>
                <w:bCs w:val="0"/>
                <w:color w:val="auto"/>
                <w:spacing w:val="-10"/>
                <w:sz w:val="24"/>
                <w:szCs w:val="24"/>
                <w:highlight w:val="none"/>
                <w:lang w:val="en-US" w:eastAsia="zh-CN"/>
              </w:rPr>
              <w:t>表4-1锅炉废气排放情况一览表</w:t>
            </w:r>
          </w:p>
          <w:tbl>
            <w:tblPr>
              <w:tblStyle w:val="26"/>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794"/>
              <w:gridCol w:w="794"/>
              <w:gridCol w:w="794"/>
              <w:gridCol w:w="795"/>
              <w:gridCol w:w="795"/>
              <w:gridCol w:w="795"/>
              <w:gridCol w:w="795"/>
              <w:gridCol w:w="795"/>
              <w:gridCol w:w="795"/>
            </w:tblGrid>
            <w:tr w14:paraId="2AB9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94" w:type="dxa"/>
                  <w:vMerge w:val="restart"/>
                </w:tcPr>
                <w:p w14:paraId="3D6C7AC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产污环节</w:t>
                  </w:r>
                </w:p>
              </w:tc>
              <w:tc>
                <w:tcPr>
                  <w:tcW w:w="794" w:type="dxa"/>
                  <w:vMerge w:val="restart"/>
                </w:tcPr>
                <w:p w14:paraId="5AE106F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w:t>
                  </w:r>
                </w:p>
              </w:tc>
              <w:tc>
                <w:tcPr>
                  <w:tcW w:w="794" w:type="dxa"/>
                  <w:vMerge w:val="restart"/>
                </w:tcPr>
                <w:p w14:paraId="2A8B237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烟气量</w:t>
                  </w:r>
                </w:p>
              </w:tc>
              <w:tc>
                <w:tcPr>
                  <w:tcW w:w="1589" w:type="dxa"/>
                  <w:gridSpan w:val="2"/>
                </w:tcPr>
                <w:p w14:paraId="089B5C5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污染物产生</w:t>
                  </w:r>
                </w:p>
              </w:tc>
              <w:tc>
                <w:tcPr>
                  <w:tcW w:w="795" w:type="dxa"/>
                  <w:vMerge w:val="restart"/>
                </w:tcPr>
                <w:p w14:paraId="228D58F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排放形式</w:t>
                  </w:r>
                </w:p>
              </w:tc>
              <w:tc>
                <w:tcPr>
                  <w:tcW w:w="1590" w:type="dxa"/>
                  <w:gridSpan w:val="2"/>
                </w:tcPr>
                <w:p w14:paraId="4C4142E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处理工艺</w:t>
                  </w:r>
                </w:p>
              </w:tc>
              <w:tc>
                <w:tcPr>
                  <w:tcW w:w="1590" w:type="dxa"/>
                  <w:gridSpan w:val="2"/>
                </w:tcPr>
                <w:p w14:paraId="78AA637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污染物排放</w:t>
                  </w:r>
                </w:p>
              </w:tc>
            </w:tr>
            <w:tr w14:paraId="5D39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94" w:type="dxa"/>
                  <w:vMerge w:val="continue"/>
                </w:tcPr>
                <w:p w14:paraId="771C1BF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794" w:type="dxa"/>
                  <w:vMerge w:val="continue"/>
                </w:tcPr>
                <w:p w14:paraId="4FD7E3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794" w:type="dxa"/>
                  <w:vMerge w:val="continue"/>
                </w:tcPr>
                <w:p w14:paraId="63E392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color w:val="auto"/>
                      <w:highlight w:val="none"/>
                    </w:rPr>
                  </w:pPr>
                </w:p>
              </w:tc>
              <w:tc>
                <w:tcPr>
                  <w:tcW w:w="794" w:type="dxa"/>
                </w:tcPr>
                <w:p w14:paraId="46F5E42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产生浓度mg/m³</w:t>
                  </w:r>
                </w:p>
              </w:tc>
              <w:tc>
                <w:tcPr>
                  <w:tcW w:w="795" w:type="dxa"/>
                </w:tcPr>
                <w:p w14:paraId="53B7E2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产生量t/a</w:t>
                  </w:r>
                </w:p>
              </w:tc>
              <w:tc>
                <w:tcPr>
                  <w:tcW w:w="795" w:type="dxa"/>
                  <w:vMerge w:val="continue"/>
                </w:tcPr>
                <w:p w14:paraId="5950DF0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p>
              </w:tc>
              <w:tc>
                <w:tcPr>
                  <w:tcW w:w="795" w:type="dxa"/>
                </w:tcPr>
                <w:p w14:paraId="2680A2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工艺</w:t>
                  </w:r>
                </w:p>
              </w:tc>
              <w:tc>
                <w:tcPr>
                  <w:tcW w:w="795" w:type="dxa"/>
                </w:tcPr>
                <w:p w14:paraId="56A4F18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处理效率%</w:t>
                  </w:r>
                </w:p>
              </w:tc>
              <w:tc>
                <w:tcPr>
                  <w:tcW w:w="795" w:type="dxa"/>
                </w:tcPr>
                <w:p w14:paraId="653C28C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排放浓度mg/m³</w:t>
                  </w:r>
                </w:p>
              </w:tc>
              <w:tc>
                <w:tcPr>
                  <w:tcW w:w="795" w:type="dxa"/>
                </w:tcPr>
                <w:p w14:paraId="5BD197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排放量t/a</w:t>
                  </w:r>
                </w:p>
              </w:tc>
            </w:tr>
            <w:tr w14:paraId="5D0A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restart"/>
                </w:tcPr>
                <w:p w14:paraId="43F6390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燃煤锅炉</w:t>
                  </w:r>
                </w:p>
              </w:tc>
              <w:tc>
                <w:tcPr>
                  <w:tcW w:w="794" w:type="dxa"/>
                </w:tcPr>
                <w:p w14:paraId="1A4695B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颗粒物</w:t>
                  </w:r>
                </w:p>
              </w:tc>
              <w:tc>
                <w:tcPr>
                  <w:tcW w:w="794" w:type="dxa"/>
                  <w:vMerge w:val="restart"/>
                </w:tcPr>
                <w:p w14:paraId="61065EB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ascii="Times New Roman" w:hAnsi="Times New Roman" w:cs="Times New Roman"/>
                      <w:color w:val="auto"/>
                      <w:highlight w:val="none"/>
                      <w:lang w:val="en-US" w:eastAsia="zh-CN"/>
                    </w:rPr>
                    <w:t>241895950.73m³/a</w:t>
                  </w:r>
                </w:p>
              </w:tc>
              <w:tc>
                <w:tcPr>
                  <w:tcW w:w="794" w:type="dxa"/>
                </w:tcPr>
                <w:p w14:paraId="0689A8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2526</w:t>
                  </w:r>
                </w:p>
              </w:tc>
              <w:tc>
                <w:tcPr>
                  <w:tcW w:w="795" w:type="dxa"/>
                </w:tcPr>
                <w:p w14:paraId="271838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611</w:t>
                  </w:r>
                </w:p>
              </w:tc>
              <w:tc>
                <w:tcPr>
                  <w:tcW w:w="795" w:type="dxa"/>
                  <w:vMerge w:val="restart"/>
                </w:tcPr>
                <w:p w14:paraId="0B52E3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有组织</w:t>
                  </w:r>
                </w:p>
              </w:tc>
              <w:tc>
                <w:tcPr>
                  <w:tcW w:w="795" w:type="dxa"/>
                  <w:vMerge w:val="restart"/>
                </w:tcPr>
                <w:p w14:paraId="6C83A69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ascii="Times New Roman" w:hAnsi="Times New Roman" w:cs="Times New Roman"/>
                      <w:color w:val="auto"/>
                      <w:highlight w:val="none"/>
                      <w:lang w:val="en-US" w:eastAsia="zh-CN"/>
                    </w:rPr>
                    <w:t>SNCR＋SCR联合法脱硝+布袋除尘器处理+双碱法脱硫</w:t>
                  </w:r>
                </w:p>
              </w:tc>
              <w:tc>
                <w:tcPr>
                  <w:tcW w:w="795" w:type="dxa"/>
                </w:tcPr>
                <w:p w14:paraId="0A5ABEC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99%</w:t>
                  </w:r>
                </w:p>
              </w:tc>
              <w:tc>
                <w:tcPr>
                  <w:tcW w:w="795" w:type="dxa"/>
                </w:tcPr>
                <w:p w14:paraId="7050A3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25.26</w:t>
                  </w:r>
                </w:p>
              </w:tc>
              <w:tc>
                <w:tcPr>
                  <w:tcW w:w="795" w:type="dxa"/>
                </w:tcPr>
                <w:p w14:paraId="5047CE4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6.11</w:t>
                  </w:r>
                </w:p>
              </w:tc>
            </w:tr>
            <w:tr w14:paraId="3E24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continue"/>
                </w:tcPr>
                <w:p w14:paraId="6E31A7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6A97A9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二氧化硫</w:t>
                  </w:r>
                </w:p>
              </w:tc>
              <w:tc>
                <w:tcPr>
                  <w:tcW w:w="794" w:type="dxa"/>
                  <w:vMerge w:val="continue"/>
                </w:tcPr>
                <w:p w14:paraId="59318F7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676A67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355.1</w:t>
                  </w:r>
                </w:p>
              </w:tc>
              <w:tc>
                <w:tcPr>
                  <w:tcW w:w="795" w:type="dxa"/>
                </w:tcPr>
                <w:p w14:paraId="768F5E3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85.9</w:t>
                  </w:r>
                </w:p>
              </w:tc>
              <w:tc>
                <w:tcPr>
                  <w:tcW w:w="795" w:type="dxa"/>
                  <w:vMerge w:val="continue"/>
                </w:tcPr>
                <w:p w14:paraId="2179D9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vMerge w:val="continue"/>
                </w:tcPr>
                <w:p w14:paraId="7EF495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tcPr>
                <w:p w14:paraId="6527C0C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90%</w:t>
                  </w:r>
                </w:p>
              </w:tc>
              <w:tc>
                <w:tcPr>
                  <w:tcW w:w="795" w:type="dxa"/>
                </w:tcPr>
                <w:p w14:paraId="30B328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35.51</w:t>
                  </w:r>
                </w:p>
              </w:tc>
              <w:tc>
                <w:tcPr>
                  <w:tcW w:w="795" w:type="dxa"/>
                </w:tcPr>
                <w:p w14:paraId="4231B12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8.59</w:t>
                  </w:r>
                </w:p>
              </w:tc>
            </w:tr>
            <w:tr w14:paraId="3ECA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continue"/>
                </w:tcPr>
                <w:p w14:paraId="2E0D34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52269ED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氮氧化物</w:t>
                  </w:r>
                </w:p>
              </w:tc>
              <w:tc>
                <w:tcPr>
                  <w:tcW w:w="794" w:type="dxa"/>
                  <w:vMerge w:val="continue"/>
                </w:tcPr>
                <w:p w14:paraId="416E9E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657A88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259.78</w:t>
                  </w:r>
                </w:p>
              </w:tc>
              <w:tc>
                <w:tcPr>
                  <w:tcW w:w="795" w:type="dxa"/>
                </w:tcPr>
                <w:p w14:paraId="632444A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62.89</w:t>
                  </w:r>
                </w:p>
              </w:tc>
              <w:tc>
                <w:tcPr>
                  <w:tcW w:w="795" w:type="dxa"/>
                  <w:vMerge w:val="continue"/>
                </w:tcPr>
                <w:p w14:paraId="34BC81E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vMerge w:val="continue"/>
                </w:tcPr>
                <w:p w14:paraId="0E0C58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tcPr>
                <w:p w14:paraId="4239A1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55%</w:t>
                  </w:r>
                </w:p>
              </w:tc>
              <w:tc>
                <w:tcPr>
                  <w:tcW w:w="795" w:type="dxa"/>
                </w:tcPr>
                <w:p w14:paraId="560627A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116.99</w:t>
                  </w:r>
                </w:p>
              </w:tc>
              <w:tc>
                <w:tcPr>
                  <w:tcW w:w="795" w:type="dxa"/>
                </w:tcPr>
                <w:p w14:paraId="769FBF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28.30</w:t>
                  </w:r>
                </w:p>
              </w:tc>
            </w:tr>
            <w:tr w14:paraId="5208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vMerge w:val="continue"/>
                </w:tcPr>
                <w:p w14:paraId="08FDBDB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537F0A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汞及其化合物</w:t>
                  </w:r>
                </w:p>
              </w:tc>
              <w:tc>
                <w:tcPr>
                  <w:tcW w:w="794" w:type="dxa"/>
                  <w:vMerge w:val="continue"/>
                </w:tcPr>
                <w:p w14:paraId="3B1FB73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4" w:type="dxa"/>
                </w:tcPr>
                <w:p w14:paraId="1B4A8DB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0.017</w:t>
                  </w:r>
                </w:p>
              </w:tc>
              <w:tc>
                <w:tcPr>
                  <w:tcW w:w="795" w:type="dxa"/>
                </w:tcPr>
                <w:p w14:paraId="3B67B07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0.006</w:t>
                  </w:r>
                </w:p>
              </w:tc>
              <w:tc>
                <w:tcPr>
                  <w:tcW w:w="795" w:type="dxa"/>
                  <w:vMerge w:val="continue"/>
                </w:tcPr>
                <w:p w14:paraId="124B17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vMerge w:val="continue"/>
                </w:tcPr>
                <w:p w14:paraId="0D99C1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p>
              </w:tc>
              <w:tc>
                <w:tcPr>
                  <w:tcW w:w="795" w:type="dxa"/>
                </w:tcPr>
                <w:p w14:paraId="54C7754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70%</w:t>
                  </w:r>
                </w:p>
              </w:tc>
              <w:tc>
                <w:tcPr>
                  <w:tcW w:w="795" w:type="dxa"/>
                </w:tcPr>
                <w:p w14:paraId="06ACD44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0.005</w:t>
                  </w:r>
                </w:p>
              </w:tc>
              <w:tc>
                <w:tcPr>
                  <w:tcW w:w="795" w:type="dxa"/>
                </w:tcPr>
                <w:p w14:paraId="2F6446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0.0017</w:t>
                  </w:r>
                </w:p>
              </w:tc>
            </w:tr>
            <w:tr w14:paraId="7F27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6" w:type="dxa"/>
                  <w:gridSpan w:val="10"/>
                </w:tcPr>
                <w:p w14:paraId="5505D0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排放口情况</w:t>
                  </w:r>
                </w:p>
              </w:tc>
            </w:tr>
            <w:tr w14:paraId="1454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0C882EE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排气筒高度</w:t>
                  </w:r>
                </w:p>
              </w:tc>
              <w:tc>
                <w:tcPr>
                  <w:tcW w:w="794" w:type="dxa"/>
                </w:tcPr>
                <w:p w14:paraId="1B9F561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50mDA001</w:t>
                  </w:r>
                </w:p>
              </w:tc>
              <w:tc>
                <w:tcPr>
                  <w:tcW w:w="794" w:type="dxa"/>
                </w:tcPr>
                <w:p w14:paraId="2D4D1B4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排气筒内径</w:t>
                  </w:r>
                </w:p>
              </w:tc>
              <w:tc>
                <w:tcPr>
                  <w:tcW w:w="794" w:type="dxa"/>
                </w:tcPr>
                <w:p w14:paraId="63B6E26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2.0m</w:t>
                  </w:r>
                </w:p>
              </w:tc>
              <w:tc>
                <w:tcPr>
                  <w:tcW w:w="795" w:type="dxa"/>
                </w:tcPr>
                <w:p w14:paraId="2686B7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温度</w:t>
                  </w:r>
                </w:p>
              </w:tc>
              <w:tc>
                <w:tcPr>
                  <w:tcW w:w="795" w:type="dxa"/>
                </w:tcPr>
                <w:p w14:paraId="56FC1B9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130℃</w:t>
                  </w:r>
                </w:p>
              </w:tc>
              <w:tc>
                <w:tcPr>
                  <w:tcW w:w="795" w:type="dxa"/>
                </w:tcPr>
                <w:p w14:paraId="3F4184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排放口类型</w:t>
                  </w:r>
                </w:p>
              </w:tc>
              <w:tc>
                <w:tcPr>
                  <w:tcW w:w="795" w:type="dxa"/>
                </w:tcPr>
                <w:p w14:paraId="02F050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主要排放口</w:t>
                  </w:r>
                </w:p>
              </w:tc>
              <w:tc>
                <w:tcPr>
                  <w:tcW w:w="795" w:type="dxa"/>
                </w:tcPr>
                <w:p w14:paraId="0C11FC0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地理坐标</w:t>
                  </w:r>
                </w:p>
              </w:tc>
              <w:tc>
                <w:tcPr>
                  <w:tcW w:w="795" w:type="dxa"/>
                </w:tcPr>
                <w:p w14:paraId="346F1EA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110.6091°,39.365°</w:t>
                  </w:r>
                </w:p>
              </w:tc>
            </w:tr>
            <w:tr w14:paraId="1341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tcPr>
                <w:p w14:paraId="2E585D0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排放标准</w:t>
                  </w:r>
                </w:p>
              </w:tc>
              <w:tc>
                <w:tcPr>
                  <w:tcW w:w="7152" w:type="dxa"/>
                  <w:gridSpan w:val="9"/>
                </w:tcPr>
                <w:p w14:paraId="525B6A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颗粒物、二氧化硫、氮氧化物、汞及其化合物、烟气黑度，执行重点地区锅炉执行《锅炉大气污染物排放标准》（GB13271-2014）中表3大气污染物特别排放限值要求。</w:t>
                  </w:r>
                </w:p>
              </w:tc>
            </w:tr>
          </w:tbl>
          <w:p w14:paraId="14751D5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2.废气治理措施可行性分析</w:t>
            </w:r>
          </w:p>
          <w:p w14:paraId="4794AFCD">
            <w:p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lang w:val="en-US" w:eastAsia="zh-CN"/>
              </w:rPr>
              <w:t>运行锅炉配备1套除尘、脱硫、脱硝烟气治理系统。燃煤锅炉废气经SNCR＋SCR联合法脱硝+布袋除尘器+双碱法脱硫后，达到《锅炉大气污染物排放标准》（GB13271-2014）中表3大气污染物特别排放限值要求</w:t>
            </w:r>
            <w:r>
              <w:rPr>
                <w:rFonts w:hint="default" w:ascii="Times New Roman" w:hAnsi="Times New Roman" w:eastAsia="宋体" w:cs="Times New Roman"/>
                <w:color w:val="auto"/>
                <w:sz w:val="24"/>
                <w:szCs w:val="24"/>
                <w:highlight w:val="none"/>
                <w:lang w:val="en-US" w:eastAsia="zh-CN"/>
              </w:rPr>
              <w:t>，通过1根</w:t>
            </w:r>
            <w:r>
              <w:rPr>
                <w:rFonts w:hint="default" w:ascii="Times New Roman" w:hAnsi="Times New Roman" w:cs="Times New Roman"/>
                <w:color w:val="auto"/>
                <w:sz w:val="24"/>
                <w:szCs w:val="24"/>
                <w:highlight w:val="none"/>
                <w:lang w:val="en-US" w:eastAsia="zh-CN"/>
              </w:rPr>
              <w:t>50m</w:t>
            </w:r>
            <w:r>
              <w:rPr>
                <w:rFonts w:hint="default" w:ascii="Times New Roman" w:hAnsi="Times New Roman" w:eastAsia="宋体" w:cs="Times New Roman"/>
                <w:color w:val="auto"/>
                <w:sz w:val="24"/>
                <w:szCs w:val="24"/>
                <w:highlight w:val="none"/>
                <w:lang w:val="en-US" w:eastAsia="zh-CN"/>
              </w:rPr>
              <w:t>高的烟囱排放。</w:t>
            </w:r>
          </w:p>
          <w:p w14:paraId="54749AF0">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（1）烟尘防治措施可行性分析</w:t>
            </w:r>
          </w:p>
          <w:p w14:paraId="0975653E">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《排污许可证申请与核发技术规范锅炉》（HJ953-2018）</w:t>
            </w:r>
            <w:r>
              <w:rPr>
                <w:rFonts w:hint="default" w:ascii="Times New Roman" w:hAnsi="Times New Roman" w:cs="Times New Roman"/>
                <w:color w:val="auto"/>
                <w:highlight w:val="none"/>
                <w:lang w:val="en-US" w:eastAsia="zh-CN"/>
              </w:rPr>
              <w:t>表7锅炉烟气污染防治可行技术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重点地区去除颗粒物采用“袋式除尘技术、电除尘技术、电袋复合除尘技术、湿式电除尘技术”为可行技术，故本项目采用袋式除尘器除尘技术可行。</w:t>
            </w:r>
          </w:p>
          <w:p w14:paraId="45362D15">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（2）二氧化硫防治措施可行性分析</w:t>
            </w:r>
          </w:p>
          <w:p w14:paraId="46C69EEA">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《排污许可证申请与核发技术规范锅炉》（HJ953-2018）</w:t>
            </w:r>
            <w:r>
              <w:rPr>
                <w:rFonts w:hint="default" w:ascii="Times New Roman" w:hAnsi="Times New Roman" w:cs="Times New Roman"/>
                <w:color w:val="auto"/>
                <w:highlight w:val="none"/>
                <w:lang w:val="en-US" w:eastAsia="zh-CN"/>
              </w:rPr>
              <w:t>表7锅炉烟气污染防治可行技术，重点地区去除二氧化硫采用“燃用低硫煤+干法/半干法脱硫技术、燃用低硫煤+湿法脱硫技术”为可行技术，本项目脱硫技术采用双碱法脱硫，本项目燃料煤采用凯达选煤厂的末煤，根据附件4中的煤质化验单，全硫收到基数值为0.21%，根据中国通用的煤炭分类标准（GB/T15224.2-2021《煤炭质量分级第2部分：硫分》），全硫分≤0.50%为特低硫煤，双碱法脱硫为湿法脱硫，且根据计算，本项目二氧化硫排放浓度满足《锅炉大气污染物排放标准》（GB13271-2014）中表3大气污染物特别排放限值要求，故本项目脱硫处理措施为可行技术。</w:t>
            </w:r>
          </w:p>
          <w:p w14:paraId="23AF95B5">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（3）氮氧化物防治措施可行性分析</w:t>
            </w:r>
          </w:p>
          <w:p w14:paraId="290BD5A9">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rPr>
              <w:t>《排污许可证申请与核发技术规范锅炉》（HJ953-2018）</w:t>
            </w:r>
            <w:r>
              <w:rPr>
                <w:rFonts w:hint="default" w:ascii="Times New Roman" w:hAnsi="Times New Roman" w:cs="Times New Roman"/>
                <w:color w:val="auto"/>
                <w:highlight w:val="none"/>
                <w:lang w:val="en-US" w:eastAsia="zh-CN"/>
              </w:rPr>
              <w:t>表7锅炉烟气污染防治可行技术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重点地区去除氮氧化物采用“低氮燃烧+SNCR脱硝技术、低氮燃烧技术+SCR脱硝技术、低氮燃烧+（SNCR-SCR联合）脱硝技术、SNCR脱硝技术、SCR脱硝技术、SNCR-SCR联合脱硝技术”为可行技术，故本项目脱氮废气处理工艺采用SNCR-SCR联合脱硝技术进行脱氮是可行的。</w:t>
            </w:r>
          </w:p>
          <w:p w14:paraId="1EADF20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（4）汞及其化合物防治措施可行性分析</w:t>
            </w:r>
          </w:p>
          <w:p w14:paraId="64BE5EA2">
            <w:pPr>
              <w:bidi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color w:val="auto"/>
                <w:highlight w:val="none"/>
                <w:lang w:val="en-US" w:eastAsia="zh-CN"/>
              </w:rPr>
              <w:t>根据《污染源源强核算技术指南火电》（HJ888-2018），烟气SCR脱硝、除尘和湿法脱硫等污染防治设施对汞及其化合物具有协同脱除效果，脱除效率约70%。</w:t>
            </w:r>
          </w:p>
          <w:p w14:paraId="492C0CBA">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3.排气筒高度设置合理性分析</w:t>
            </w:r>
          </w:p>
          <w:p w14:paraId="4701A0E1">
            <w:pPr>
              <w:bidi w:val="0"/>
              <w:rPr>
                <w:rFonts w:hint="default" w:ascii="Times New Roman" w:hAnsi="Times New Roman" w:eastAsia="宋体" w:cs="Times New Roman"/>
                <w:color w:val="auto"/>
                <w:szCs w:val="24"/>
                <w:highlight w:val="none"/>
                <w:lang w:val="en-US" w:eastAsia="zh-CN"/>
              </w:rPr>
            </w:pPr>
            <w:r>
              <w:rPr>
                <w:rFonts w:hint="default" w:ascii="Times New Roman" w:hAnsi="Times New Roman" w:cs="Times New Roman"/>
                <w:color w:val="auto"/>
                <w:highlight w:val="none"/>
                <w:lang w:val="en-US" w:eastAsia="zh-CN"/>
              </w:rPr>
              <w:t>新建燃煤锅炉房只能设一根烟囱，烟囱高度应根据锅炉房装机总容量，按表4规定执行，新建锅炉房的烟囱周围半径200m距离内有建筑物时，其烟囱应高出最高建筑物3m以上。本项目锅炉规模为40t/h，根据《锅炉大气污染物排放标准》（GB13271-2014）表4锅炉房装机总容量≥20t/h，烟囱最低允许高度为45m，故本项目依托现有的1根50m的排气筒合理。</w:t>
            </w:r>
          </w:p>
          <w:p w14:paraId="7B899A01">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4.非正常工况下的废气排放情况</w:t>
            </w:r>
          </w:p>
          <w:p w14:paraId="5AAE533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环境影响评价技术导则大气环境》（HJ2.2-2018），非正常排放是指生产过程中开停车（工、炉）、设备检修、工艺设备运转异常等非正常工况下的污染物排放，以及污染物排放控制措施达不到应有效率等情况下的排放。非正常工况考虑锅炉烟气污染物处理设施发生故障，锅炉烟气按照除尘设施失效；脱硫效率、脱硝全部效率按照现有效率的50％计算。本次扩建工程非正常工况下废气排放情况详见下表。</w:t>
            </w:r>
          </w:p>
          <w:p w14:paraId="11A472FB">
            <w:pPr>
              <w:spacing w:line="360" w:lineRule="auto"/>
              <w:ind w:firstLine="0" w:firstLineChars="0"/>
              <w:jc w:val="center"/>
              <w:rPr>
                <w:rFonts w:hint="default" w:ascii="Times New Roman" w:hAnsi="Times New Roman" w:cs="Times New Roman"/>
                <w:b/>
                <w:bCs/>
                <w:snapToGrid w:val="0"/>
                <w:color w:val="auto"/>
                <w:kern w:val="0"/>
                <w:highlight w:val="none"/>
                <w:lang w:val="en-US" w:eastAsia="zh-CN"/>
              </w:rPr>
            </w:pPr>
            <w:r>
              <w:rPr>
                <w:rFonts w:hint="default" w:ascii="Times New Roman" w:hAnsi="Times New Roman" w:cs="Times New Roman"/>
                <w:b/>
                <w:bCs/>
                <w:snapToGrid w:val="0"/>
                <w:color w:val="auto"/>
                <w:kern w:val="0"/>
                <w:highlight w:val="none"/>
                <w:lang w:val="en-US" w:eastAsia="zh-CN"/>
              </w:rPr>
              <w:t>表4-2非正常工况下废气排放情况一览表</w:t>
            </w:r>
          </w:p>
          <w:tbl>
            <w:tblPr>
              <w:tblStyle w:val="25"/>
              <w:tblW w:w="499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1271"/>
              <w:gridCol w:w="1595"/>
              <w:gridCol w:w="1433"/>
              <w:gridCol w:w="1209"/>
              <w:gridCol w:w="1212"/>
            </w:tblGrid>
            <w:tr w14:paraId="7DFD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762" w:type="pct"/>
                  <w:tcBorders>
                    <w:tl2br w:val="nil"/>
                    <w:tr2bl w:val="nil"/>
                  </w:tcBorders>
                  <w:shd w:val="clear" w:color="auto" w:fill="FFFFFF"/>
                  <w:noWrap w:val="0"/>
                  <w:vAlign w:val="center"/>
                </w:tcPr>
                <w:p w14:paraId="2C2BE1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非正常排放源</w:t>
                  </w:r>
                </w:p>
              </w:tc>
              <w:tc>
                <w:tcPr>
                  <w:tcW w:w="801" w:type="pct"/>
                  <w:tcBorders>
                    <w:tl2br w:val="nil"/>
                    <w:tr2bl w:val="nil"/>
                  </w:tcBorders>
                  <w:shd w:val="clear" w:color="auto" w:fill="FFFFFF"/>
                  <w:noWrap w:val="0"/>
                  <w:vAlign w:val="center"/>
                </w:tcPr>
                <w:p w14:paraId="368A73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非正常排放原因</w:t>
                  </w:r>
                </w:p>
              </w:tc>
              <w:tc>
                <w:tcPr>
                  <w:tcW w:w="1005" w:type="pct"/>
                  <w:tcBorders>
                    <w:tl2br w:val="nil"/>
                    <w:tr2bl w:val="nil"/>
                  </w:tcBorders>
                  <w:shd w:val="clear" w:color="auto" w:fill="FFFFFF"/>
                  <w:noWrap w:val="0"/>
                  <w:vAlign w:val="center"/>
                </w:tcPr>
                <w:p w14:paraId="64C06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污染物</w:t>
                  </w:r>
                </w:p>
              </w:tc>
              <w:tc>
                <w:tcPr>
                  <w:tcW w:w="903" w:type="pct"/>
                  <w:tcBorders>
                    <w:tl2br w:val="nil"/>
                    <w:tr2bl w:val="nil"/>
                  </w:tcBorders>
                  <w:shd w:val="clear" w:color="auto" w:fill="FFFFFF"/>
                  <w:noWrap w:val="0"/>
                  <w:vAlign w:val="center"/>
                </w:tcPr>
                <w:p w14:paraId="7D2743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非正常排放速率（kg/h）</w:t>
                  </w:r>
                </w:p>
              </w:tc>
              <w:tc>
                <w:tcPr>
                  <w:tcW w:w="762" w:type="pct"/>
                  <w:tcBorders>
                    <w:tl2br w:val="nil"/>
                    <w:tr2bl w:val="nil"/>
                  </w:tcBorders>
                  <w:shd w:val="clear" w:color="auto" w:fill="FFFFFF"/>
                  <w:noWrap w:val="0"/>
                  <w:vAlign w:val="center"/>
                </w:tcPr>
                <w:p w14:paraId="5E755A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单次持续时间（h）</w:t>
                  </w:r>
                </w:p>
              </w:tc>
              <w:tc>
                <w:tcPr>
                  <w:tcW w:w="764" w:type="pct"/>
                  <w:tcBorders>
                    <w:tl2br w:val="nil"/>
                    <w:tr2bl w:val="nil"/>
                  </w:tcBorders>
                  <w:shd w:val="clear" w:color="auto" w:fill="FFFFFF"/>
                  <w:noWrap w:val="0"/>
                  <w:vAlign w:val="center"/>
                </w:tcPr>
                <w:p w14:paraId="5F16A6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年发生频次（次）</w:t>
                  </w:r>
                </w:p>
              </w:tc>
            </w:tr>
            <w:tr w14:paraId="7D53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62" w:type="pct"/>
                  <w:vMerge w:val="restart"/>
                  <w:tcBorders>
                    <w:tl2br w:val="nil"/>
                    <w:tr2bl w:val="nil"/>
                  </w:tcBorders>
                  <w:shd w:val="clear" w:color="auto" w:fill="FFFFFF"/>
                  <w:noWrap w:val="0"/>
                  <w:vAlign w:val="center"/>
                </w:tcPr>
                <w:p w14:paraId="6EA7ED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排气筒</w:t>
                  </w:r>
                </w:p>
                <w:p w14:paraId="40F654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DA001</w:t>
                  </w:r>
                </w:p>
              </w:tc>
              <w:tc>
                <w:tcPr>
                  <w:tcW w:w="801" w:type="pct"/>
                  <w:vMerge w:val="restart"/>
                  <w:tcBorders>
                    <w:tl2br w:val="nil"/>
                    <w:tr2bl w:val="nil"/>
                  </w:tcBorders>
                  <w:shd w:val="clear" w:color="auto" w:fill="FFFFFF"/>
                  <w:noWrap w:val="0"/>
                  <w:vAlign w:val="center"/>
                </w:tcPr>
                <w:p w14:paraId="70E62E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烟气处理设施故障</w:t>
                  </w:r>
                </w:p>
              </w:tc>
              <w:tc>
                <w:tcPr>
                  <w:tcW w:w="1005" w:type="pct"/>
                  <w:tcBorders>
                    <w:tl2br w:val="nil"/>
                    <w:tr2bl w:val="nil"/>
                  </w:tcBorders>
                  <w:shd w:val="clear" w:color="auto" w:fill="FFFFFF"/>
                  <w:noWrap w:val="0"/>
                  <w:vAlign w:val="center"/>
                </w:tcPr>
                <w:p w14:paraId="77DD74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903" w:type="pct"/>
                  <w:tcBorders>
                    <w:tl2br w:val="nil"/>
                    <w:tr2bl w:val="nil"/>
                  </w:tcBorders>
                  <w:shd w:val="clear" w:color="auto" w:fill="FFFFFF"/>
                  <w:noWrap w:val="0"/>
                  <w:vAlign w:val="center"/>
                </w:tcPr>
                <w:p w14:paraId="4C992D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0.000071</w:t>
                  </w:r>
                </w:p>
              </w:tc>
              <w:tc>
                <w:tcPr>
                  <w:tcW w:w="762" w:type="pct"/>
                  <w:vMerge w:val="restart"/>
                  <w:tcBorders>
                    <w:tl2br w:val="nil"/>
                    <w:tr2bl w:val="nil"/>
                  </w:tcBorders>
                  <w:shd w:val="clear" w:color="auto" w:fill="FFFFFF"/>
                  <w:noWrap w:val="0"/>
                  <w:vAlign w:val="center"/>
                </w:tcPr>
                <w:p w14:paraId="521410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64" w:type="pct"/>
                  <w:vMerge w:val="restart"/>
                  <w:tcBorders>
                    <w:tl2br w:val="nil"/>
                    <w:tr2bl w:val="nil"/>
                  </w:tcBorders>
                  <w:shd w:val="clear" w:color="auto" w:fill="FFFFFF"/>
                  <w:noWrap w:val="0"/>
                  <w:vAlign w:val="center"/>
                </w:tcPr>
                <w:p w14:paraId="26A0C7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1次</w:t>
                  </w:r>
                </w:p>
              </w:tc>
            </w:tr>
            <w:tr w14:paraId="126A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2" w:type="pct"/>
                  <w:vMerge w:val="continue"/>
                  <w:tcBorders>
                    <w:tl2br w:val="nil"/>
                    <w:tr2bl w:val="nil"/>
                  </w:tcBorders>
                  <w:shd w:val="clear" w:color="auto" w:fill="FFFFFF"/>
                  <w:noWrap w:val="0"/>
                  <w:vAlign w:val="center"/>
                </w:tcPr>
                <w:p w14:paraId="60183F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801" w:type="pct"/>
                  <w:vMerge w:val="continue"/>
                  <w:tcBorders>
                    <w:tl2br w:val="nil"/>
                    <w:tr2bl w:val="nil"/>
                  </w:tcBorders>
                  <w:shd w:val="clear" w:color="auto" w:fill="FFFFFF"/>
                  <w:noWrap w:val="0"/>
                  <w:vAlign w:val="center"/>
                </w:tcPr>
                <w:p w14:paraId="21B348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05" w:type="pct"/>
                  <w:tcBorders>
                    <w:tl2br w:val="nil"/>
                    <w:tr2bl w:val="nil"/>
                  </w:tcBorders>
                  <w:shd w:val="clear" w:color="auto" w:fill="FFFFFF"/>
                  <w:noWrap w:val="0"/>
                  <w:vAlign w:val="center"/>
                </w:tcPr>
                <w:p w14:paraId="1AAD5E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SO</w:t>
                  </w:r>
                  <w:r>
                    <w:rPr>
                      <w:rFonts w:hint="default" w:ascii="Times New Roman" w:hAnsi="Times New Roman" w:cs="Times New Roman"/>
                      <w:color w:val="auto"/>
                      <w:highlight w:val="none"/>
                      <w:vertAlign w:val="subscript"/>
                      <w:lang w:val="en-US" w:eastAsia="zh-CN"/>
                    </w:rPr>
                    <w:t>2</w:t>
                  </w:r>
                </w:p>
              </w:tc>
              <w:tc>
                <w:tcPr>
                  <w:tcW w:w="903" w:type="pct"/>
                  <w:tcBorders>
                    <w:tl2br w:val="nil"/>
                    <w:tr2bl w:val="nil"/>
                  </w:tcBorders>
                  <w:shd w:val="clear" w:color="auto" w:fill="FFFFFF"/>
                  <w:noWrap w:val="0"/>
                  <w:vAlign w:val="center"/>
                </w:tcPr>
                <w:p w14:paraId="722440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0.00001</w:t>
                  </w:r>
                </w:p>
              </w:tc>
              <w:tc>
                <w:tcPr>
                  <w:tcW w:w="762" w:type="pct"/>
                  <w:vMerge w:val="continue"/>
                  <w:tcBorders>
                    <w:tl2br w:val="nil"/>
                    <w:tr2bl w:val="nil"/>
                  </w:tcBorders>
                  <w:shd w:val="clear" w:color="auto" w:fill="FFFFFF"/>
                  <w:noWrap w:val="0"/>
                  <w:vAlign w:val="center"/>
                </w:tcPr>
                <w:p w14:paraId="08861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64" w:type="pct"/>
                  <w:vMerge w:val="continue"/>
                  <w:tcBorders>
                    <w:tl2br w:val="nil"/>
                    <w:tr2bl w:val="nil"/>
                  </w:tcBorders>
                  <w:shd w:val="clear" w:color="auto" w:fill="FFFFFF"/>
                  <w:noWrap w:val="0"/>
                  <w:vAlign w:val="center"/>
                </w:tcPr>
                <w:p w14:paraId="18CBA4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1FB7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2" w:type="pct"/>
                  <w:vMerge w:val="continue"/>
                  <w:tcBorders>
                    <w:tl2br w:val="nil"/>
                    <w:tr2bl w:val="nil"/>
                  </w:tcBorders>
                  <w:shd w:val="clear" w:color="auto" w:fill="auto"/>
                  <w:noWrap/>
                  <w:vAlign w:val="center"/>
                </w:tcPr>
                <w:p w14:paraId="2BC9EF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801" w:type="pct"/>
                  <w:vMerge w:val="continue"/>
                  <w:tcBorders>
                    <w:tl2br w:val="nil"/>
                    <w:tr2bl w:val="nil"/>
                  </w:tcBorders>
                  <w:shd w:val="clear" w:color="auto" w:fill="auto"/>
                  <w:noWrap/>
                  <w:vAlign w:val="center"/>
                </w:tcPr>
                <w:p w14:paraId="780C36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05" w:type="pct"/>
                  <w:tcBorders>
                    <w:tl2br w:val="nil"/>
                    <w:tr2bl w:val="nil"/>
                  </w:tcBorders>
                  <w:shd w:val="clear" w:color="auto" w:fill="FFFFFF"/>
                  <w:noWrap w:val="0"/>
                  <w:vAlign w:val="center"/>
                </w:tcPr>
                <w:p w14:paraId="272770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NOx</w:t>
                  </w:r>
                </w:p>
              </w:tc>
              <w:tc>
                <w:tcPr>
                  <w:tcW w:w="903" w:type="pct"/>
                  <w:tcBorders>
                    <w:tl2br w:val="nil"/>
                    <w:tr2bl w:val="nil"/>
                  </w:tcBorders>
                  <w:shd w:val="clear" w:color="auto" w:fill="FFFFFF"/>
                  <w:noWrap w:val="0"/>
                  <w:vAlign w:val="center"/>
                </w:tcPr>
                <w:p w14:paraId="15BF2C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highlight w:val="none"/>
                      <w:lang w:val="en-US" w:eastAsia="zh-CN"/>
                    </w:rPr>
                    <w:t>0.000012</w:t>
                  </w:r>
                </w:p>
              </w:tc>
              <w:tc>
                <w:tcPr>
                  <w:tcW w:w="762" w:type="pct"/>
                  <w:vMerge w:val="continue"/>
                  <w:tcBorders>
                    <w:tl2br w:val="nil"/>
                    <w:tr2bl w:val="nil"/>
                  </w:tcBorders>
                  <w:shd w:val="clear" w:color="auto" w:fill="FFFFFF"/>
                  <w:noWrap w:val="0"/>
                  <w:vAlign w:val="center"/>
                </w:tcPr>
                <w:p w14:paraId="6620E2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64" w:type="pct"/>
                  <w:vMerge w:val="continue"/>
                  <w:tcBorders>
                    <w:tl2br w:val="nil"/>
                    <w:tr2bl w:val="nil"/>
                  </w:tcBorders>
                  <w:shd w:val="clear" w:color="auto" w:fill="FFFFFF"/>
                  <w:noWrap w:val="0"/>
                  <w:vAlign w:val="center"/>
                </w:tcPr>
                <w:p w14:paraId="69F103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7A37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2" w:type="pct"/>
                  <w:vMerge w:val="continue"/>
                  <w:tcBorders>
                    <w:tl2br w:val="nil"/>
                    <w:tr2bl w:val="nil"/>
                  </w:tcBorders>
                  <w:shd w:val="clear" w:color="auto" w:fill="auto"/>
                  <w:noWrap/>
                  <w:vAlign w:val="center"/>
                </w:tcPr>
                <w:p w14:paraId="3A6EA9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801" w:type="pct"/>
                  <w:vMerge w:val="continue"/>
                  <w:tcBorders>
                    <w:tl2br w:val="nil"/>
                    <w:tr2bl w:val="nil"/>
                  </w:tcBorders>
                  <w:shd w:val="clear" w:color="auto" w:fill="auto"/>
                  <w:noWrap/>
                  <w:vAlign w:val="center"/>
                </w:tcPr>
                <w:p w14:paraId="31142F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p>
              </w:tc>
              <w:tc>
                <w:tcPr>
                  <w:tcW w:w="1005" w:type="pct"/>
                  <w:tcBorders>
                    <w:tl2br w:val="nil"/>
                    <w:tr2bl w:val="nil"/>
                  </w:tcBorders>
                  <w:shd w:val="clear" w:color="auto" w:fill="FFFFFF"/>
                  <w:noWrap w:val="0"/>
                  <w:vAlign w:val="center"/>
                </w:tcPr>
                <w:p w14:paraId="216248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汞及其化合物</w:t>
                  </w:r>
                </w:p>
              </w:tc>
              <w:tc>
                <w:tcPr>
                  <w:tcW w:w="903" w:type="pct"/>
                  <w:tcBorders>
                    <w:tl2br w:val="nil"/>
                    <w:tr2bl w:val="nil"/>
                  </w:tcBorders>
                  <w:shd w:val="clear" w:color="auto" w:fill="FFFFFF"/>
                  <w:noWrap w:val="0"/>
                  <w:vAlign w:val="center"/>
                </w:tcPr>
                <w:p w14:paraId="1C0740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0.1×10</w:t>
                  </w:r>
                  <w:r>
                    <w:rPr>
                      <w:rFonts w:hint="default" w:ascii="Times New Roman" w:hAnsi="Times New Roman" w:cs="Times New Roman"/>
                      <w:color w:val="auto"/>
                      <w:highlight w:val="none"/>
                      <w:vertAlign w:val="superscript"/>
                      <w:lang w:val="en-US" w:eastAsia="zh-CN"/>
                    </w:rPr>
                    <w:t>-8</w:t>
                  </w:r>
                </w:p>
              </w:tc>
              <w:tc>
                <w:tcPr>
                  <w:tcW w:w="762" w:type="pct"/>
                  <w:vMerge w:val="continue"/>
                  <w:tcBorders>
                    <w:tl2br w:val="nil"/>
                    <w:tr2bl w:val="nil"/>
                  </w:tcBorders>
                  <w:shd w:val="clear" w:color="auto" w:fill="FFFFFF"/>
                  <w:noWrap w:val="0"/>
                  <w:vAlign w:val="center"/>
                </w:tcPr>
                <w:p w14:paraId="67C143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64" w:type="pct"/>
                  <w:vMerge w:val="continue"/>
                  <w:tcBorders>
                    <w:tl2br w:val="nil"/>
                    <w:tr2bl w:val="nil"/>
                  </w:tcBorders>
                  <w:shd w:val="clear" w:color="auto" w:fill="FFFFFF"/>
                  <w:noWrap w:val="0"/>
                  <w:vAlign w:val="center"/>
                </w:tcPr>
                <w:p w14:paraId="1966EA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bl>
          <w:p w14:paraId="44EC628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5.监测计划</w:t>
            </w:r>
          </w:p>
          <w:p w14:paraId="56B1258D">
            <w:pPr>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根据《排污单位自行监测技术指南总则》（HJ819-2017）、《排污许可证申请与核发技术规范锅炉》（HJ953-2018）及《排污单位自行监测技术指南火力发电及锅炉》（HJ820-2017）中要求，本项目</w:t>
            </w:r>
            <w:r>
              <w:rPr>
                <w:rFonts w:hint="default" w:ascii="Times New Roman" w:hAnsi="Times New Roman" w:cs="Times New Roman"/>
                <w:color w:val="auto"/>
                <w:highlight w:val="none"/>
                <w:lang w:val="en-US" w:eastAsia="zh-CN"/>
              </w:rPr>
              <w:t>锅炉房有组织</w:t>
            </w:r>
            <w:r>
              <w:rPr>
                <w:rFonts w:hint="default" w:ascii="Times New Roman" w:hAnsi="Times New Roman" w:cs="Times New Roman"/>
                <w:color w:val="auto"/>
                <w:highlight w:val="none"/>
              </w:rPr>
              <w:t>废气监测计划见下表</w:t>
            </w:r>
            <w:r>
              <w:rPr>
                <w:rFonts w:hint="default" w:ascii="Times New Roman" w:hAnsi="Times New Roman" w:cs="Times New Roman"/>
                <w:color w:val="auto"/>
                <w:highlight w:val="none"/>
                <w:lang w:val="en-US" w:eastAsia="zh-CN"/>
              </w:rPr>
              <w:t>4-3。厂界无组织颗粒物监测计划并入选煤厂进行一并管理。</w:t>
            </w:r>
          </w:p>
          <w:p w14:paraId="541724C9">
            <w:pPr>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表4-3废气监测计划表</w:t>
            </w:r>
          </w:p>
          <w:tbl>
            <w:tblPr>
              <w:tblStyle w:val="67"/>
              <w:tblW w:w="4996" w:type="pct"/>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7" w:type="dxa"/>
                <w:left w:w="116" w:type="dxa"/>
                <w:bottom w:w="0" w:type="dxa"/>
                <w:right w:w="66" w:type="dxa"/>
              </w:tblCellMar>
            </w:tblPr>
            <w:tblGrid>
              <w:gridCol w:w="456"/>
              <w:gridCol w:w="809"/>
              <w:gridCol w:w="1225"/>
              <w:gridCol w:w="1437"/>
              <w:gridCol w:w="1175"/>
              <w:gridCol w:w="2829"/>
            </w:tblGrid>
            <w:tr w14:paraId="6EE4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7" w:type="dxa"/>
                  <w:left w:w="116" w:type="dxa"/>
                  <w:bottom w:w="0" w:type="dxa"/>
                  <w:right w:w="66" w:type="dxa"/>
                </w:tblCellMar>
              </w:tblPrEx>
              <w:trPr>
                <w:trHeight w:val="482" w:hRule="atLeast"/>
              </w:trPr>
              <w:tc>
                <w:tcPr>
                  <w:tcW w:w="287" w:type="pct"/>
                  <w:tcBorders>
                    <w:tl2br w:val="nil"/>
                    <w:tr2bl w:val="nil"/>
                  </w:tcBorders>
                  <w:noWrap w:val="0"/>
                  <w:vAlign w:val="center"/>
                </w:tcPr>
                <w:p w14:paraId="013E0D0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510" w:type="pct"/>
                  <w:tcBorders>
                    <w:tl2br w:val="nil"/>
                    <w:tr2bl w:val="nil"/>
                  </w:tcBorders>
                  <w:noWrap w:val="0"/>
                  <w:vAlign w:val="center"/>
                </w:tcPr>
                <w:p w14:paraId="3E24FBF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类别</w:t>
                  </w:r>
                </w:p>
              </w:tc>
              <w:tc>
                <w:tcPr>
                  <w:tcW w:w="772" w:type="pct"/>
                  <w:tcBorders>
                    <w:tl2br w:val="nil"/>
                    <w:tr2bl w:val="nil"/>
                  </w:tcBorders>
                  <w:noWrap w:val="0"/>
                  <w:vAlign w:val="center"/>
                </w:tcPr>
                <w:p w14:paraId="7873F9B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监测点位</w:t>
                  </w:r>
                </w:p>
              </w:tc>
              <w:tc>
                <w:tcPr>
                  <w:tcW w:w="905" w:type="pct"/>
                  <w:tcBorders>
                    <w:tl2br w:val="nil"/>
                    <w:tr2bl w:val="nil"/>
                  </w:tcBorders>
                  <w:noWrap w:val="0"/>
                  <w:vAlign w:val="center"/>
                </w:tcPr>
                <w:p w14:paraId="7F0F077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p>
              </w:tc>
              <w:tc>
                <w:tcPr>
                  <w:tcW w:w="740" w:type="pct"/>
                  <w:tcBorders>
                    <w:tl2br w:val="nil"/>
                    <w:tr2bl w:val="nil"/>
                  </w:tcBorders>
                  <w:noWrap w:val="0"/>
                  <w:vAlign w:val="center"/>
                </w:tcPr>
                <w:p w14:paraId="1F73F49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监测频次</w:t>
                  </w:r>
                </w:p>
              </w:tc>
              <w:tc>
                <w:tcPr>
                  <w:tcW w:w="1783" w:type="pct"/>
                  <w:tcBorders>
                    <w:tl2br w:val="nil"/>
                    <w:tr2bl w:val="nil"/>
                  </w:tcBorders>
                  <w:noWrap w:val="0"/>
                  <w:vAlign w:val="center"/>
                </w:tcPr>
                <w:p w14:paraId="4FBB6CF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执行标准</w:t>
                  </w:r>
                </w:p>
              </w:tc>
            </w:tr>
            <w:tr w14:paraId="4E47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7" w:type="dxa"/>
                  <w:left w:w="116" w:type="dxa"/>
                  <w:bottom w:w="0" w:type="dxa"/>
                  <w:right w:w="66" w:type="dxa"/>
                </w:tblCellMar>
              </w:tblPrEx>
              <w:trPr>
                <w:trHeight w:val="383" w:hRule="atLeast"/>
              </w:trPr>
              <w:tc>
                <w:tcPr>
                  <w:tcW w:w="287" w:type="pct"/>
                  <w:vMerge w:val="restart"/>
                  <w:tcBorders>
                    <w:tl2br w:val="nil"/>
                    <w:tr2bl w:val="nil"/>
                  </w:tcBorders>
                  <w:noWrap w:val="0"/>
                  <w:vAlign w:val="center"/>
                </w:tcPr>
                <w:p w14:paraId="2D14BC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510" w:type="pct"/>
                  <w:vMerge w:val="restart"/>
                  <w:tcBorders>
                    <w:tl2br w:val="nil"/>
                    <w:tr2bl w:val="nil"/>
                  </w:tcBorders>
                  <w:noWrap w:val="0"/>
                  <w:vAlign w:val="center"/>
                </w:tcPr>
                <w:p w14:paraId="5342D0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有组织废气</w:t>
                  </w:r>
                </w:p>
              </w:tc>
              <w:tc>
                <w:tcPr>
                  <w:tcW w:w="772" w:type="pct"/>
                  <w:vMerge w:val="restart"/>
                  <w:tcBorders>
                    <w:tl2br w:val="nil"/>
                    <w:tr2bl w:val="nil"/>
                  </w:tcBorders>
                  <w:noWrap w:val="0"/>
                  <w:vAlign w:val="center"/>
                </w:tcPr>
                <w:p w14:paraId="316DE5D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DA001</w:t>
                  </w:r>
                </w:p>
              </w:tc>
              <w:tc>
                <w:tcPr>
                  <w:tcW w:w="905" w:type="pct"/>
                  <w:tcBorders>
                    <w:tl2br w:val="nil"/>
                    <w:tr2bl w:val="nil"/>
                  </w:tcBorders>
                  <w:noWrap w:val="0"/>
                  <w:vAlign w:val="center"/>
                </w:tcPr>
                <w:p w14:paraId="4C3B0A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颗粒物、二氧化硫、氮氧化物</w:t>
                  </w:r>
                </w:p>
              </w:tc>
              <w:tc>
                <w:tcPr>
                  <w:tcW w:w="740" w:type="pct"/>
                  <w:tcBorders>
                    <w:tl2br w:val="nil"/>
                    <w:tr2bl w:val="nil"/>
                  </w:tcBorders>
                  <w:noWrap w:val="0"/>
                  <w:vAlign w:val="center"/>
                </w:tcPr>
                <w:p w14:paraId="3A2DB40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自动监测</w:t>
                  </w:r>
                </w:p>
              </w:tc>
              <w:tc>
                <w:tcPr>
                  <w:tcW w:w="1783" w:type="pct"/>
                  <w:vMerge w:val="restart"/>
                  <w:tcBorders>
                    <w:tl2br w:val="nil"/>
                    <w:tr2bl w:val="nil"/>
                  </w:tcBorders>
                  <w:noWrap w:val="0"/>
                  <w:vAlign w:val="center"/>
                </w:tcPr>
                <w:p w14:paraId="279F54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NOx</w:t>
                  </w:r>
                  <w:r>
                    <w:rPr>
                      <w:rFonts w:hint="default" w:ascii="Times New Roman" w:hAnsi="Times New Roman" w:cs="Times New Roman"/>
                      <w:color w:val="auto"/>
                      <w:highlight w:val="none"/>
                    </w:rPr>
                    <w:t>、林格曼黑度执行《锅炉大气污染物排放标准》（GB13271-2014）表</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大气污染物</w:t>
                  </w:r>
                  <w:r>
                    <w:rPr>
                      <w:rFonts w:hint="default" w:ascii="Times New Roman" w:hAnsi="Times New Roman" w:cs="Times New Roman"/>
                      <w:color w:val="auto"/>
                      <w:highlight w:val="none"/>
                      <w:lang w:val="en-US" w:eastAsia="zh-CN"/>
                    </w:rPr>
                    <w:t>特别</w:t>
                  </w:r>
                  <w:r>
                    <w:rPr>
                      <w:rFonts w:hint="default" w:ascii="Times New Roman" w:hAnsi="Times New Roman" w:cs="Times New Roman"/>
                      <w:color w:val="auto"/>
                      <w:highlight w:val="none"/>
                    </w:rPr>
                    <w:t>排放限值要求。</w:t>
                  </w:r>
                </w:p>
              </w:tc>
            </w:tr>
            <w:tr w14:paraId="65E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7" w:type="dxa"/>
                  <w:left w:w="116" w:type="dxa"/>
                  <w:bottom w:w="0" w:type="dxa"/>
                  <w:right w:w="66" w:type="dxa"/>
                </w:tblCellMar>
              </w:tblPrEx>
              <w:trPr>
                <w:trHeight w:val="230" w:hRule="atLeast"/>
              </w:trPr>
              <w:tc>
                <w:tcPr>
                  <w:tcW w:w="287" w:type="pct"/>
                  <w:vMerge w:val="continue"/>
                  <w:tcBorders>
                    <w:tl2br w:val="nil"/>
                    <w:tr2bl w:val="nil"/>
                  </w:tcBorders>
                  <w:noWrap w:val="0"/>
                  <w:vAlign w:val="center"/>
                </w:tcPr>
                <w:p w14:paraId="65B0074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510" w:type="pct"/>
                  <w:vMerge w:val="continue"/>
                  <w:tcBorders>
                    <w:tl2br w:val="nil"/>
                    <w:tr2bl w:val="nil"/>
                  </w:tcBorders>
                  <w:noWrap w:val="0"/>
                  <w:vAlign w:val="center"/>
                </w:tcPr>
                <w:p w14:paraId="6610FAE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772" w:type="pct"/>
                  <w:vMerge w:val="continue"/>
                  <w:tcBorders>
                    <w:tl2br w:val="nil"/>
                    <w:tr2bl w:val="nil"/>
                  </w:tcBorders>
                  <w:noWrap w:val="0"/>
                  <w:vAlign w:val="center"/>
                </w:tcPr>
                <w:p w14:paraId="68DF4A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c>
                <w:tcPr>
                  <w:tcW w:w="905" w:type="pct"/>
                  <w:tcBorders>
                    <w:tl2br w:val="nil"/>
                    <w:tr2bl w:val="nil"/>
                  </w:tcBorders>
                  <w:noWrap w:val="0"/>
                  <w:vAlign w:val="center"/>
                </w:tcPr>
                <w:p w14:paraId="41ECE1B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汞及其化合物、林格曼黑度</w:t>
                  </w:r>
                </w:p>
              </w:tc>
              <w:tc>
                <w:tcPr>
                  <w:tcW w:w="740" w:type="pct"/>
                  <w:tcBorders>
                    <w:tl2br w:val="nil"/>
                    <w:tr2bl w:val="nil"/>
                  </w:tcBorders>
                  <w:noWrap w:val="0"/>
                  <w:vAlign w:val="center"/>
                </w:tcPr>
                <w:p w14:paraId="1663A1F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1次/季度</w:t>
                  </w:r>
                </w:p>
              </w:tc>
              <w:tc>
                <w:tcPr>
                  <w:tcW w:w="1783" w:type="pct"/>
                  <w:vMerge w:val="continue"/>
                  <w:tcBorders>
                    <w:tl2br w:val="nil"/>
                    <w:tr2bl w:val="nil"/>
                  </w:tcBorders>
                  <w:noWrap w:val="0"/>
                  <w:vAlign w:val="center"/>
                </w:tcPr>
                <w:p w14:paraId="3BB918D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highlight w:val="none"/>
                    </w:rPr>
                  </w:pPr>
                </w:p>
              </w:tc>
            </w:tr>
          </w:tbl>
          <w:p w14:paraId="6F6B7F06">
            <w:pPr>
              <w:adjustRightInd w:val="0"/>
              <w:snapToGrid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pacing w:val="-10"/>
                <w:sz w:val="24"/>
                <w:szCs w:val="24"/>
                <w:highlight w:val="none"/>
                <w:lang w:val="en-US" w:eastAsia="zh-CN"/>
              </w:rPr>
              <w:t>二、废水</w:t>
            </w:r>
            <w:r>
              <w:rPr>
                <w:rFonts w:hint="default" w:ascii="Times New Roman" w:hAnsi="Times New Roman" w:cs="Times New Roman"/>
                <w:b/>
                <w:bCs w:val="0"/>
                <w:color w:val="auto"/>
                <w:sz w:val="24"/>
                <w:szCs w:val="24"/>
                <w:highlight w:val="none"/>
              </w:rPr>
              <w:t>环境影响和保护措施</w:t>
            </w:r>
          </w:p>
          <w:p w14:paraId="3EB5267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①锅炉系统排污废水</w:t>
            </w:r>
          </w:p>
          <w:p w14:paraId="195B4BB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锅炉小时排污量为2t/h，日锅炉排污量为48t/d，年锅炉排污量为8736t/a，</w:t>
            </w:r>
            <w:r>
              <w:rPr>
                <w:rFonts w:hint="eastAsia" w:cs="Times New Roman"/>
                <w:color w:val="auto"/>
                <w:highlight w:val="none"/>
                <w:lang w:val="en-US" w:eastAsia="zh-CN"/>
              </w:rPr>
              <w:t>主要污染因子为pH、SS、COD、氨氮、溶解性总固体等，</w:t>
            </w:r>
            <w:r>
              <w:rPr>
                <w:rFonts w:hint="default" w:ascii="Times New Roman" w:hAnsi="Times New Roman" w:cs="Times New Roman"/>
                <w:color w:val="auto"/>
                <w:highlight w:val="none"/>
                <w:lang w:val="en-US" w:eastAsia="zh-CN"/>
              </w:rPr>
              <w:t>锅炉系统排污废水</w:t>
            </w:r>
            <w:r>
              <w:rPr>
                <w:rFonts w:hint="eastAsia" w:ascii="Times New Roman" w:hAnsi="Times New Roman"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。管道损失量为1.2t/h，日管道损失量为28.8t/d，年管道损失量为5241.6t/a。</w:t>
            </w:r>
            <w:r>
              <w:rPr>
                <w:rFonts w:hint="eastAsia" w:cs="Times New Roman"/>
                <w:color w:val="auto"/>
                <w:highlight w:val="none"/>
                <w:lang w:val="en-US" w:eastAsia="zh-CN"/>
              </w:rPr>
              <w:t>锅炉排污废水回用于脱硫系统补水。</w:t>
            </w:r>
          </w:p>
          <w:p w14:paraId="21D635A9">
            <w:pPr>
              <w:bidi w:val="0"/>
              <w:rPr>
                <w:rFonts w:hint="default"/>
                <w:color w:val="auto"/>
                <w:highlight w:val="none"/>
                <w:lang w:val="en-US" w:eastAsia="zh-CN"/>
              </w:rPr>
            </w:pPr>
            <w:r>
              <w:rPr>
                <w:rFonts w:hint="default"/>
                <w:color w:val="auto"/>
                <w:highlight w:val="none"/>
                <w:lang w:val="en-US" w:eastAsia="zh-CN"/>
              </w:rPr>
              <w:t>②软水制备系统排污废水</w:t>
            </w:r>
          </w:p>
          <w:p w14:paraId="5268D687">
            <w:pPr>
              <w:bidi w:val="0"/>
              <w:rPr>
                <w:rFonts w:hint="eastAsia"/>
                <w:color w:val="auto"/>
                <w:highlight w:val="none"/>
                <w:lang w:val="en-US" w:eastAsia="zh-CN"/>
              </w:rPr>
            </w:pPr>
            <w:r>
              <w:rPr>
                <w:rFonts w:hint="default"/>
                <w:color w:val="auto"/>
                <w:highlight w:val="none"/>
                <w:lang w:val="en-US" w:eastAsia="zh-CN"/>
              </w:rPr>
              <w:t>软水制备率为80%，则软水制备系统排污废水量为</w:t>
            </w:r>
            <w:r>
              <w:rPr>
                <w:rFonts w:hint="eastAsia"/>
                <w:color w:val="auto"/>
                <w:highlight w:val="none"/>
                <w:lang w:val="en-US" w:eastAsia="zh-CN"/>
              </w:rPr>
              <w:t>0.84</w:t>
            </w:r>
            <w:r>
              <w:rPr>
                <w:rFonts w:hint="default"/>
                <w:color w:val="auto"/>
                <w:highlight w:val="none"/>
                <w:lang w:val="en-US" w:eastAsia="zh-CN"/>
              </w:rPr>
              <w:t>t/h，软水制备系统日排污废水量为</w:t>
            </w:r>
            <w:r>
              <w:rPr>
                <w:rFonts w:hint="eastAsia"/>
                <w:color w:val="auto"/>
                <w:highlight w:val="none"/>
                <w:lang w:val="en-US" w:eastAsia="zh-CN"/>
              </w:rPr>
              <w:t>20.16</w:t>
            </w:r>
            <w:r>
              <w:rPr>
                <w:rFonts w:hint="default"/>
                <w:color w:val="auto"/>
                <w:highlight w:val="none"/>
                <w:lang w:val="en-US" w:eastAsia="zh-CN"/>
              </w:rPr>
              <w:t>t/d，软水制备系统年排污废水量为</w:t>
            </w:r>
            <w:r>
              <w:rPr>
                <w:rFonts w:hint="eastAsia"/>
                <w:color w:val="auto"/>
                <w:highlight w:val="none"/>
                <w:lang w:val="en-US" w:eastAsia="zh-CN"/>
              </w:rPr>
              <w:t>3669.12</w:t>
            </w:r>
            <w:r>
              <w:rPr>
                <w:rFonts w:hint="default"/>
                <w:color w:val="auto"/>
                <w:highlight w:val="none"/>
                <w:lang w:val="en-US" w:eastAsia="zh-CN"/>
              </w:rPr>
              <w:t>t/a，</w:t>
            </w:r>
            <w:r>
              <w:rPr>
                <w:rFonts w:hint="eastAsia"/>
                <w:color w:val="auto"/>
                <w:highlight w:val="none"/>
                <w:lang w:val="en-US" w:eastAsia="zh-CN"/>
              </w:rPr>
              <w:t>软化水系统排污废水浓水池（100m³）暂存后，定期交由有浓水处理资质的单位进行处置。</w:t>
            </w:r>
          </w:p>
          <w:p w14:paraId="3913BD2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③脱硝系统排污废水</w:t>
            </w:r>
          </w:p>
          <w:p w14:paraId="1E599C89">
            <w:pPr>
              <w:bidi w:val="0"/>
              <w:rPr>
                <w:rFonts w:hint="default" w:ascii="Times New Roman" w:hAnsi="Times New Roman" w:cs="Times New Roman"/>
                <w:color w:val="auto"/>
                <w:highlight w:val="none"/>
                <w:lang w:val="en-US" w:eastAsia="zh-CN"/>
              </w:rPr>
            </w:pPr>
            <w:r>
              <w:rPr>
                <w:rFonts w:hint="default" w:ascii="Times New Roman" w:hAnsi="Times New Roman" w:eastAsia="Segoe UI" w:cs="Times New Roman"/>
                <w:i w:val="0"/>
                <w:iCs w:val="0"/>
                <w:caps w:val="0"/>
                <w:color w:val="auto"/>
                <w:spacing w:val="0"/>
                <w:sz w:val="24"/>
                <w:szCs w:val="24"/>
                <w:highlight w:val="none"/>
                <w:shd w:val="clear" w:fill="FFFFFF"/>
              </w:rPr>
              <w:t>尿素溶液全部参与反应，水分随烟气蒸发，系统无工艺废水排放。</w:t>
            </w:r>
          </w:p>
          <w:p w14:paraId="5806406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④脱硫系统排污废水</w:t>
            </w:r>
          </w:p>
          <w:p w14:paraId="77164BD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脱硫系统定期补水量为3.32t/h，则蒸发损失量为3.32t/h，日损失量为79.68t/d，年损失量为14501.76t/a，全部蒸发散失。脱硫系统用循环水循环使用，不外排。</w:t>
            </w:r>
          </w:p>
          <w:p w14:paraId="1C2C07D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本项目脱硫系统循环用水量为166.14t/h，反应沉淀时间为2h，则循环池有效容积为166.14×2=332m³，安全系数按照1.2取值，则脱硫循环水池的最小有效容积为332×1.2=398.4m³，则本项目新建1座400m³的循环水池是可行的。</w:t>
            </w:r>
          </w:p>
          <w:p w14:paraId="6FF3504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的尿素溶液小时消耗量为38/0.2=0.19t/h，日消耗量为4.56t/d，年消耗量为830t/a。20%尿素溶液密度为1.09t/m³，尿素溶液存储天数为3d，0.19/1.09=0.17m³/h×24×3=12.54m³，安全系数取值1.2，则尿素溶液最小容积为12.54×1.2=15m³，则本项目新建1个15m³的尿素溶液存储罐符合存储要求。</w:t>
            </w:r>
          </w:p>
          <w:p w14:paraId="011B4832">
            <w:pPr>
              <w:bidi w:val="0"/>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三、噪声</w:t>
            </w:r>
            <w:r>
              <w:rPr>
                <w:rFonts w:hint="default" w:ascii="Times New Roman" w:hAnsi="Times New Roman" w:cs="Times New Roman"/>
                <w:b/>
                <w:bCs w:val="0"/>
                <w:color w:val="auto"/>
                <w:sz w:val="24"/>
                <w:szCs w:val="24"/>
                <w:highlight w:val="none"/>
              </w:rPr>
              <w:t>环境影响和保护措施</w:t>
            </w:r>
          </w:p>
          <w:p w14:paraId="5A7153A6">
            <w:pPr>
              <w:bidi w:val="0"/>
              <w:rPr>
                <w:rFonts w:hint="default"/>
                <w:color w:val="auto"/>
                <w:highlight w:val="none"/>
              </w:rPr>
            </w:pPr>
            <w:r>
              <w:rPr>
                <w:rFonts w:hint="default"/>
                <w:color w:val="auto"/>
                <w:highlight w:val="none"/>
              </w:rPr>
              <w:t>本项目运营期噪声源主要为锅炉泵、风机运行产生的噪声，噪声源强在75～85dB</w:t>
            </w:r>
            <w:r>
              <w:rPr>
                <w:rFonts w:hint="default"/>
                <w:color w:val="auto"/>
                <w:highlight w:val="none"/>
                <w:lang w:eastAsia="zh-CN"/>
              </w:rPr>
              <w:t>（</w:t>
            </w:r>
            <w:r>
              <w:rPr>
                <w:rFonts w:hint="default"/>
                <w:color w:val="auto"/>
                <w:highlight w:val="none"/>
              </w:rPr>
              <w:t>A</w:t>
            </w:r>
            <w:r>
              <w:rPr>
                <w:rFonts w:hint="default"/>
                <w:color w:val="auto"/>
                <w:highlight w:val="none"/>
                <w:lang w:eastAsia="zh-CN"/>
              </w:rPr>
              <w:t>）</w:t>
            </w:r>
            <w:r>
              <w:rPr>
                <w:rFonts w:hint="default"/>
                <w:color w:val="auto"/>
                <w:highlight w:val="none"/>
              </w:rPr>
              <w:t>之间，项目噪声污染源源强核算结果及相关参数见表4-</w:t>
            </w:r>
            <w:r>
              <w:rPr>
                <w:rFonts w:hint="default"/>
                <w:color w:val="auto"/>
                <w:highlight w:val="none"/>
                <w:lang w:val="en-US" w:eastAsia="zh-CN"/>
              </w:rPr>
              <w:t>4</w:t>
            </w:r>
            <w:r>
              <w:rPr>
                <w:rFonts w:hint="default"/>
                <w:color w:val="auto"/>
                <w:highlight w:val="none"/>
              </w:rPr>
              <w:t>。</w:t>
            </w:r>
          </w:p>
          <w:p w14:paraId="04F833B7">
            <w:pPr>
              <w:bidi w:val="0"/>
              <w:jc w:val="center"/>
              <w:rPr>
                <w:rFonts w:hint="default"/>
                <w:b/>
                <w:bCs/>
                <w:color w:val="auto"/>
                <w:highlight w:val="none"/>
              </w:rPr>
            </w:pPr>
            <w:r>
              <w:rPr>
                <w:rFonts w:hint="default"/>
                <w:b/>
                <w:bCs/>
                <w:color w:val="auto"/>
                <w:highlight w:val="none"/>
              </w:rPr>
              <w:t>表4-</w:t>
            </w:r>
            <w:r>
              <w:rPr>
                <w:rFonts w:hint="eastAsia"/>
                <w:b/>
                <w:bCs/>
                <w:color w:val="auto"/>
                <w:highlight w:val="none"/>
                <w:lang w:val="en-US" w:eastAsia="zh-CN"/>
              </w:rPr>
              <w:t>4</w:t>
            </w:r>
            <w:r>
              <w:rPr>
                <w:rFonts w:hint="default"/>
                <w:b/>
                <w:bCs/>
                <w:color w:val="auto"/>
                <w:highlight w:val="none"/>
                <w:lang w:val="en-US" w:eastAsia="zh-CN"/>
              </w:rPr>
              <w:t>主要</w:t>
            </w:r>
            <w:r>
              <w:rPr>
                <w:rFonts w:hint="default"/>
                <w:b/>
                <w:bCs/>
                <w:color w:val="auto"/>
                <w:highlight w:val="none"/>
              </w:rPr>
              <w:t>生产机械噪声源强表</w:t>
            </w:r>
          </w:p>
          <w:tbl>
            <w:tblPr>
              <w:tblStyle w:val="25"/>
              <w:tblW w:w="785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62"/>
              <w:gridCol w:w="2427"/>
              <w:gridCol w:w="2970"/>
            </w:tblGrid>
            <w:tr w14:paraId="6D7FF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4" w:hRule="atLeast"/>
              </w:trPr>
              <w:tc>
                <w:tcPr>
                  <w:tcW w:w="2462" w:type="dxa"/>
                  <w:tcBorders>
                    <w:tl2br w:val="nil"/>
                    <w:tr2bl w:val="nil"/>
                  </w:tcBorders>
                  <w:noWrap w:val="0"/>
                  <w:vAlign w:val="center"/>
                </w:tcPr>
                <w:p w14:paraId="37F1541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设备名称</w:t>
                  </w:r>
                </w:p>
              </w:tc>
              <w:tc>
                <w:tcPr>
                  <w:tcW w:w="2427" w:type="dxa"/>
                  <w:tcBorders>
                    <w:tl2br w:val="nil"/>
                    <w:tr2bl w:val="nil"/>
                  </w:tcBorders>
                  <w:noWrap w:val="0"/>
                  <w:vAlign w:val="center"/>
                </w:tcPr>
                <w:p w14:paraId="6790847B">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L</w:t>
                  </w:r>
                  <w:r>
                    <w:rPr>
                      <w:rFonts w:hint="default" w:ascii="Times New Roman" w:hAnsi="Times New Roman" w:cs="Times New Roman"/>
                      <w:color w:val="auto"/>
                      <w:highlight w:val="none"/>
                      <w:vertAlign w:val="subscript"/>
                    </w:rPr>
                    <w:t>Aeq</w:t>
                  </w:r>
                  <w:r>
                    <w:rPr>
                      <w:rFonts w:hint="default" w:ascii="Times New Roman" w:hAnsi="Times New Roman" w:cs="Times New Roman"/>
                      <w:color w:val="auto"/>
                      <w:highlight w:val="none"/>
                    </w:rPr>
                    <w:t>（dB（A））</w:t>
                  </w:r>
                </w:p>
              </w:tc>
              <w:tc>
                <w:tcPr>
                  <w:tcW w:w="2970" w:type="dxa"/>
                  <w:tcBorders>
                    <w:tl2br w:val="nil"/>
                    <w:tr2bl w:val="nil"/>
                  </w:tcBorders>
                  <w:noWrap w:val="0"/>
                  <w:vAlign w:val="center"/>
                </w:tcPr>
                <w:p w14:paraId="11F95D6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413DA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462" w:type="dxa"/>
                  <w:tcBorders>
                    <w:tl2br w:val="nil"/>
                    <w:tr2bl w:val="nil"/>
                  </w:tcBorders>
                  <w:noWrap w:val="0"/>
                  <w:vAlign w:val="center"/>
                </w:tcPr>
                <w:p w14:paraId="1BDA9AD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风机</w:t>
                  </w:r>
                </w:p>
              </w:tc>
              <w:tc>
                <w:tcPr>
                  <w:tcW w:w="2427" w:type="dxa"/>
                  <w:tcBorders>
                    <w:tl2br w:val="nil"/>
                    <w:tr2bl w:val="nil"/>
                  </w:tcBorders>
                  <w:noWrap w:val="0"/>
                  <w:vAlign w:val="center"/>
                </w:tcPr>
                <w:p w14:paraId="60985F7A">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75~</w:t>
                  </w:r>
                  <w:r>
                    <w:rPr>
                      <w:rFonts w:hint="default" w:ascii="Times New Roman" w:hAnsi="Times New Roman" w:cs="Times New Roman"/>
                      <w:color w:val="auto"/>
                      <w:highlight w:val="none"/>
                      <w:lang w:val="en-US" w:eastAsia="zh-CN"/>
                    </w:rPr>
                    <w:t>85</w:t>
                  </w:r>
                </w:p>
              </w:tc>
              <w:tc>
                <w:tcPr>
                  <w:tcW w:w="2970" w:type="dxa"/>
                  <w:tcBorders>
                    <w:tl2br w:val="nil"/>
                    <w:tr2bl w:val="nil"/>
                  </w:tcBorders>
                  <w:noWrap w:val="0"/>
                  <w:vAlign w:val="center"/>
                </w:tcPr>
                <w:p w14:paraId="4ECBD6F5">
                  <w:pPr>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2台</w:t>
                  </w:r>
                </w:p>
              </w:tc>
            </w:tr>
            <w:tr w14:paraId="2D302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462" w:type="dxa"/>
                  <w:tcBorders>
                    <w:tl2br w:val="nil"/>
                    <w:tr2bl w:val="nil"/>
                  </w:tcBorders>
                  <w:noWrap w:val="0"/>
                  <w:vAlign w:val="center"/>
                </w:tcPr>
                <w:p w14:paraId="71801589">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泵</w:t>
                  </w:r>
                </w:p>
              </w:tc>
              <w:tc>
                <w:tcPr>
                  <w:tcW w:w="2427" w:type="dxa"/>
                  <w:tcBorders>
                    <w:tl2br w:val="nil"/>
                    <w:tr2bl w:val="nil"/>
                  </w:tcBorders>
                  <w:noWrap w:val="0"/>
                  <w:vAlign w:val="center"/>
                </w:tcPr>
                <w:p w14:paraId="6F21FE8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75~</w:t>
                  </w:r>
                  <w:r>
                    <w:rPr>
                      <w:rFonts w:hint="default" w:ascii="Times New Roman" w:hAnsi="Times New Roman" w:cs="Times New Roman"/>
                      <w:color w:val="auto"/>
                      <w:highlight w:val="none"/>
                      <w:lang w:val="en-US" w:eastAsia="zh-CN"/>
                    </w:rPr>
                    <w:t>85</w:t>
                  </w:r>
                </w:p>
              </w:tc>
              <w:tc>
                <w:tcPr>
                  <w:tcW w:w="2970" w:type="dxa"/>
                  <w:tcBorders>
                    <w:tl2br w:val="nil"/>
                    <w:tr2bl w:val="nil"/>
                  </w:tcBorders>
                  <w:noWrap w:val="0"/>
                  <w:vAlign w:val="center"/>
                </w:tcPr>
                <w:p w14:paraId="1D9DC8C6">
                  <w:pPr>
                    <w:spacing w:line="240" w:lineRule="auto"/>
                    <w:ind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2台</w:t>
                  </w:r>
                </w:p>
              </w:tc>
            </w:tr>
          </w:tbl>
          <w:p w14:paraId="066AA27E">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rPr>
              <w:t>预测模式及预测内容</w:t>
            </w:r>
          </w:p>
          <w:p w14:paraId="63DFD1D4">
            <w:pPr>
              <w:ind w:firstLine="482"/>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①预测模式</w:t>
            </w:r>
          </w:p>
          <w:p w14:paraId="2A86DE0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次评价中噪声影响预测模式按《环境影响预测评价技术导则声环境》（HJ2.4-2021）中推荐的噪声传播声级衰减模式选择。厂区噪声源以机械、设备噪声为主。由于预测点距声源的距离远远大于声源本身的尺寸，各噪声源设备辐射的噪声在户外传播可视为点声源。根据声源噪声衰减模式，可估算出离噪声源不同距离处的噪声值，其预测模式如下：</w:t>
            </w:r>
          </w:p>
          <w:p w14:paraId="7D745AC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声源在预测点产生的等效声级贡献值（Leqg）计算公式：</w:t>
            </w:r>
          </w:p>
          <w:p w14:paraId="514CAB76">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5" o:spt="75" type="#_x0000_t75" style="height:36.3pt;width:137.1pt;" o:ole="t" filled="f" o:preferrelative="t" stroked="f" coordsize="21600,21600">
                  <v:path/>
                  <v:fill on="f" focussize="0,0"/>
                  <v:stroke on="f" joinstyle="miter"/>
                  <v:imagedata r:id="rId28" o:title=""/>
                  <o:lock v:ext="edit" aspectratio="t"/>
                  <w10:wrap type="none"/>
                  <w10:anchorlock/>
                </v:shape>
                <o:OLEObject Type="Embed" ProgID="Equation.DSMT4" ShapeID="_x0000_i1025" DrawAspect="Content" ObjectID="_1468075725" r:id="rId27">
                  <o:LockedField>false</o:LockedField>
                </o:OLEObject>
              </w:object>
            </w:r>
          </w:p>
          <w:p w14:paraId="48FE82F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式中：Leqg——建设项目声源在预测点的等效声级贡献值，dB（A）；</w:t>
            </w:r>
          </w:p>
          <w:p w14:paraId="6D4263D0">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LAi——i声源在预测点产生的A声级，dB（A）；</w:t>
            </w:r>
          </w:p>
          <w:p w14:paraId="38CCA99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T——预测计算的时间段，s；</w:t>
            </w:r>
          </w:p>
          <w:p w14:paraId="132C4EA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ti——i声源在T时段内的运行时间，s。</w:t>
            </w:r>
          </w:p>
          <w:p w14:paraId="612FB18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预测点的预测等效声级（Leq）计算公式：</w:t>
            </w:r>
          </w:p>
          <w:p w14:paraId="748F4E72">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6" o:spt="75" type="#_x0000_t75" style="height:21.9pt;width:150.9pt;" o:ole="t" filled="f" o:preferrelative="t" stroked="f" coordsize="21600,21600">
                  <v:path/>
                  <v:fill on="f" focussize="0,0"/>
                  <v:stroke on="f" joinstyle="miter"/>
                  <v:imagedata r:id="rId30" o:title=""/>
                  <o:lock v:ext="edit" aspectratio="t"/>
                  <w10:wrap type="none"/>
                  <w10:anchorlock/>
                </v:shape>
                <o:OLEObject Type="Embed" ProgID="Equation.DSMT4" ShapeID="_x0000_i1026" DrawAspect="Content" ObjectID="_1468075726" r:id="rId29">
                  <o:LockedField>false</o:LockedField>
                </o:OLEObject>
              </w:object>
            </w:r>
          </w:p>
          <w:p w14:paraId="7FB1141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式中：Leqg——建设项目声源在预测点的等效声级贡献值，dB（A）；</w:t>
            </w:r>
          </w:p>
          <w:p w14:paraId="5CC7E0A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Leqb——预测点的背景值，dB（A）。</w:t>
            </w:r>
          </w:p>
          <w:p w14:paraId="187328E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无指向性点声源几何发散衰减的基本公式：</w:t>
            </w:r>
          </w:p>
          <w:p w14:paraId="5C9A8432">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7" o:spt="75" type="#_x0000_t75" style="height:21.9pt;width:144pt;" o:ole="t" filled="f" o:preferrelative="t" stroked="f" coordsize="21600,21600">
                  <v:path/>
                  <v:fill on="f" focussize="0,0"/>
                  <v:stroke on="f" joinstyle="miter"/>
                  <v:imagedata r:id="rId32" o:title=""/>
                  <o:lock v:ext="edit" aspectratio="t"/>
                  <w10:wrap type="none"/>
                  <w10:anchorlock/>
                </v:shape>
                <o:OLEObject Type="Embed" ProgID="Equation.DSMT4" ShapeID="_x0000_i1027" DrawAspect="Content" ObjectID="_1468075727" r:id="rId31">
                  <o:LockedField>false</o:LockedField>
                </o:OLEObject>
              </w:object>
            </w:r>
          </w:p>
          <w:p w14:paraId="4371249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式中：LP（r）——距声源r（m）处声压级，dB（A）；</w:t>
            </w:r>
          </w:p>
          <w:p w14:paraId="78DFC5B3">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LP（r0）——距声源r0（m）处声压级，dB（A）；</w:t>
            </w:r>
          </w:p>
          <w:p w14:paraId="2212D17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r——预测点距声源的距离，m；</w:t>
            </w:r>
          </w:p>
          <w:p w14:paraId="7B21B04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r0——参考位置距声源的距离，m。</w:t>
            </w:r>
          </w:p>
          <w:p w14:paraId="1D9B0BC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户外声传播衰减计算的基本公式：</w:t>
            </w:r>
          </w:p>
          <w:p w14:paraId="09DB705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户外声传播衰减包括几何发散（</w:t>
            </w:r>
            <w:r>
              <w:rPr>
                <w:rFonts w:hint="default" w:ascii="Times New Roman" w:hAnsi="Times New Roman" w:cs="Times New Roman"/>
                <w:color w:val="auto"/>
                <w:highlight w:val="none"/>
              </w:rPr>
              <w:object>
                <v:shape id="_x0000_i1028" o:spt="75" type="#_x0000_t75" style="height:21.9pt;width:21.9pt;" o:ole="t" filled="f" o:preferrelative="t" stroked="f" coordsize="21600,21600">
                  <v:path/>
                  <v:fill on="f" focussize="0,0"/>
                  <v:stroke on="f" joinstyle="miter"/>
                  <v:imagedata r:id="rId34" o:title=""/>
                  <o:lock v:ext="edit" aspectratio="t"/>
                  <w10:wrap type="none"/>
                  <w10:anchorlock/>
                </v:shape>
                <o:OLEObject Type="Embed" ProgID="Equation.DSMT4" ShapeID="_x0000_i1028" DrawAspect="Content" ObjectID="_1468075728" r:id="rId33">
                  <o:LockedField>false</o:LockedField>
                </o:OLEObject>
              </w:object>
            </w:r>
            <w:r>
              <w:rPr>
                <w:rFonts w:hint="default" w:ascii="Times New Roman" w:hAnsi="Times New Roman" w:cs="Times New Roman"/>
                <w:color w:val="auto"/>
                <w:highlight w:val="none"/>
              </w:rPr>
              <w:t>）、大气吸收（</w:t>
            </w:r>
            <w:r>
              <w:rPr>
                <w:rFonts w:hint="default" w:ascii="Times New Roman" w:hAnsi="Times New Roman" w:cs="Times New Roman"/>
                <w:color w:val="auto"/>
                <w:highlight w:val="none"/>
              </w:rPr>
              <w:object>
                <v:shape id="_x0000_i1029" o:spt="75" type="#_x0000_t75" style="height:21.9pt;width:21.9pt;" o:ole="t" filled="f" o:preferrelative="t" stroked="f" coordsize="21600,21600">
                  <v:path/>
                  <v:fill on="f" focussize="0,0"/>
                  <v:stroke on="f" joinstyle="miter"/>
                  <v:imagedata r:id="rId36" o:title=""/>
                  <o:lock v:ext="edit" aspectratio="t"/>
                  <w10:wrap type="none"/>
                  <w10:anchorlock/>
                </v:shape>
                <o:OLEObject Type="Embed" ProgID="Equation.DSMT4" ShapeID="_x0000_i1029" DrawAspect="Content" ObjectID="_1468075729" r:id="rId35">
                  <o:LockedField>false</o:LockedField>
                </o:OLEObject>
              </w:object>
            </w:r>
            <w:r>
              <w:rPr>
                <w:rFonts w:hint="default" w:ascii="Times New Roman" w:hAnsi="Times New Roman" w:cs="Times New Roman"/>
                <w:color w:val="auto"/>
                <w:highlight w:val="none"/>
              </w:rPr>
              <w:t>）、地面效应（</w:t>
            </w:r>
            <w:r>
              <w:rPr>
                <w:rFonts w:hint="default" w:ascii="Times New Roman" w:hAnsi="Times New Roman" w:cs="Times New Roman"/>
                <w:color w:val="auto"/>
                <w:highlight w:val="none"/>
              </w:rPr>
              <w:object>
                <v:shape id="_x0000_i1030" o:spt="75" type="#_x0000_t75" style="height:21.9pt;width:21.9pt;" o:ole="t" filled="f" o:preferrelative="t" stroked="f" coordsize="21600,21600">
                  <v:path/>
                  <v:fill on="f" focussize="0,0"/>
                  <v:stroke on="f" joinstyle="miter"/>
                  <v:imagedata r:id="rId38" o:title=""/>
                  <o:lock v:ext="edit" aspectratio="t"/>
                  <w10:wrap type="none"/>
                  <w10:anchorlock/>
                </v:shape>
                <o:OLEObject Type="Embed" ProgID="Equation.DSMT4" ShapeID="_x0000_i1030" DrawAspect="Content" ObjectID="_1468075730" r:id="rId37">
                  <o:LockedField>false</o:LockedField>
                </o:OLEObject>
              </w:object>
            </w:r>
            <w:r>
              <w:rPr>
                <w:rFonts w:hint="default" w:ascii="Times New Roman" w:hAnsi="Times New Roman" w:cs="Times New Roman"/>
                <w:color w:val="auto"/>
                <w:highlight w:val="none"/>
              </w:rPr>
              <w:t>）、屏障屏蔽（</w:t>
            </w:r>
            <w:r>
              <w:rPr>
                <w:rFonts w:hint="default" w:ascii="Times New Roman" w:hAnsi="Times New Roman" w:cs="Times New Roman"/>
                <w:color w:val="auto"/>
                <w:highlight w:val="none"/>
              </w:rPr>
              <w:object>
                <v:shape id="_x0000_i1031" o:spt="75" type="#_x0000_t75" style="height:21.9pt;width:21.9pt;" o:ole="t" filled="f" o:preferrelative="t" stroked="f" coordsize="21600,21600">
                  <v:path/>
                  <v:fill on="f" focussize="0,0"/>
                  <v:stroke on="f" joinstyle="miter"/>
                  <v:imagedata r:id="rId40" o:title=""/>
                  <o:lock v:ext="edit" aspectratio="t"/>
                  <w10:wrap type="none"/>
                  <w10:anchorlock/>
                </v:shape>
                <o:OLEObject Type="Embed" ProgID="Equation.DSMT4" ShapeID="_x0000_i1031" DrawAspect="Content" ObjectID="_1468075731" r:id="rId39">
                  <o:LockedField>false</o:LockedField>
                </o:OLEObject>
              </w:object>
            </w:r>
            <w:r>
              <w:rPr>
                <w:rFonts w:hint="default" w:ascii="Times New Roman" w:hAnsi="Times New Roman" w:cs="Times New Roman"/>
                <w:color w:val="auto"/>
                <w:highlight w:val="none"/>
              </w:rPr>
              <w:t>）、其他多方面效应（</w:t>
            </w:r>
            <w:r>
              <w:rPr>
                <w:rFonts w:hint="default" w:ascii="Times New Roman" w:hAnsi="Times New Roman" w:cs="Times New Roman"/>
                <w:color w:val="auto"/>
                <w:highlight w:val="none"/>
              </w:rPr>
              <w:object>
                <v:shape id="_x0000_i1032" o:spt="75" type="#_x0000_t75" style="height:21.9pt;width:21.9pt;" o:ole="t" filled="f" o:preferrelative="t" stroked="f" coordsize="21600,21600">
                  <v:path/>
                  <v:fill on="f" focussize="0,0"/>
                  <v:stroke on="f" joinstyle="miter"/>
                  <v:imagedata r:id="rId42" o:title=""/>
                  <o:lock v:ext="edit" aspectratio="t"/>
                  <w10:wrap type="none"/>
                  <w10:anchorlock/>
                </v:shape>
                <o:OLEObject Type="Embed" ProgID="Equation.DSMT4" ShapeID="_x0000_i1032" DrawAspect="Content" ObjectID="_1468075732" r:id="rId41">
                  <o:LockedField>false</o:LockedField>
                </o:OLEObject>
              </w:object>
            </w:r>
            <w:r>
              <w:rPr>
                <w:rFonts w:hint="default" w:ascii="Times New Roman" w:hAnsi="Times New Roman" w:cs="Times New Roman"/>
                <w:color w:val="auto"/>
                <w:highlight w:val="none"/>
              </w:rPr>
              <w:t>）引起的衰减。</w:t>
            </w:r>
          </w:p>
          <w:p w14:paraId="2CAC968F">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3" o:spt="75" type="#_x0000_t75" style="height:21.9pt;width:222.9pt;" o:ole="t" filled="f" o:preferrelative="t" stroked="f" coordsize="21600,21600">
                  <v:path/>
                  <v:fill on="f" focussize="0,0"/>
                  <v:stroke on="f" joinstyle="miter"/>
                  <v:imagedata r:id="rId44" o:title=""/>
                  <o:lock v:ext="edit" aspectratio="t"/>
                  <w10:wrap type="none"/>
                  <w10:anchorlock/>
                </v:shape>
                <o:OLEObject Type="Embed" ProgID="Equation.DSMT4" ShapeID="_x0000_i1033" DrawAspect="Content" ObjectID="_1468075733" r:id="rId43">
                  <o:LockedField>false</o:LockedField>
                </o:OLEObject>
              </w:object>
            </w:r>
          </w:p>
          <w:p w14:paraId="539DC08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空气吸收引起的衰减</w:t>
            </w:r>
          </w:p>
          <w:p w14:paraId="5C3225D5">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4" o:spt="75" type="#_x0000_t75" style="height:28.15pt;width:72pt;" o:ole="t" filled="f" o:preferrelative="t" stroked="f" coordsize="21600,21600">
                  <v:path/>
                  <v:fill on="f" focussize="0,0"/>
                  <v:stroke on="f" joinstyle="miter"/>
                  <v:imagedata r:id="rId46" o:title=""/>
                  <o:lock v:ext="edit" aspectratio="t"/>
                  <w10:wrap type="none"/>
                  <w10:anchorlock/>
                </v:shape>
                <o:OLEObject Type="Embed" ProgID="Equation.DSMT4" ShapeID="_x0000_i1034" DrawAspect="Content" ObjectID="_1468075734" r:id="rId45">
                  <o:LockedField>false</o:LockedField>
                </o:OLEObject>
              </w:object>
            </w:r>
            <w:r>
              <w:rPr>
                <w:rFonts w:hint="default" w:ascii="Times New Roman" w:hAnsi="Times New Roman" w:cs="Times New Roman"/>
                <w:color w:val="auto"/>
                <w:highlight w:val="none"/>
              </w:rPr>
              <w:t>；</w:t>
            </w:r>
          </w:p>
          <w:p w14:paraId="1391E654">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color w:val="auto"/>
                <w:highlight w:val="none"/>
              </w:rPr>
              <w:object>
                <v:shape id="_x0000_i1035" o:spt="75" type="#_x0000_t75" style="height:13.15pt;width:6.9pt;" o:ole="t" filled="f" o:preferrelative="t" stroked="f" coordsize="21600,21600">
                  <v:path/>
                  <v:fill on="f" focussize="0,0"/>
                  <v:stroke on="f" joinstyle="miter"/>
                  <v:imagedata r:id="rId48" o:title=""/>
                  <o:lock v:ext="edit" aspectratio="t"/>
                  <w10:wrap type="none"/>
                  <w10:anchorlock/>
                </v:shape>
                <o:OLEObject Type="Embed" ProgID="Equation.DSMT4" ShapeID="_x0000_i1035" DrawAspect="Content" ObjectID="_1468075735" r:id="rId47">
                  <o:LockedField>false</o:LockedField>
                </o:OLEObject>
              </w:object>
            </w:r>
            <w:r>
              <w:rPr>
                <w:rFonts w:hint="default" w:ascii="Times New Roman" w:hAnsi="Times New Roman" w:cs="Times New Roman"/>
                <w:color w:val="auto"/>
                <w:highlight w:val="none"/>
              </w:rPr>
              <w:t>为温度、湿度和声波频率的函数，预测计算中一般根据建设项目所处区域常年平均气温和湿度选择相应的空气吸收系数。</w:t>
            </w:r>
          </w:p>
          <w:p w14:paraId="7FAA988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地面衰减效应引起的倍频带衰减：</w:t>
            </w:r>
          </w:p>
          <w:p w14:paraId="74915E4E">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6" o:spt="75" type="#_x0000_t75" style="height:36.3pt;width:150.9pt;" o:ole="t" filled="f" o:preferrelative="t" stroked="f" coordsize="21600,21600">
                  <v:path/>
                  <v:fill on="f" focussize="0,0"/>
                  <v:stroke on="f" joinstyle="miter"/>
                  <v:imagedata r:id="rId50" o:title=""/>
                  <o:lock v:ext="edit" aspectratio="t"/>
                  <w10:wrap type="none"/>
                  <w10:anchorlock/>
                </v:shape>
                <o:OLEObject Type="Embed" ProgID="Equation.DSMT4" ShapeID="_x0000_i1036" DrawAspect="Content" ObjectID="_1468075736" r:id="rId49">
                  <o:LockedField>false</o:LockedField>
                </o:OLEObject>
              </w:object>
            </w:r>
          </w:p>
          <w:p w14:paraId="0A978BD8">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式中：r——声源到预测点的距离，m；</w:t>
            </w:r>
          </w:p>
          <w:p w14:paraId="3E1050C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hm——传播路径的平均离地高度，m。</w:t>
            </w:r>
          </w:p>
          <w:p w14:paraId="0261276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声屏障引起的衰减：</w:t>
            </w:r>
          </w:p>
          <w:p w14:paraId="417657F1">
            <w:pPr>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7" o:spt="75" type="#_x0000_t75" style="height:36.3pt;width:229.75pt;" o:ole="t" filled="f" o:preferrelative="t" stroked="f" coordsize="21600,21600">
                  <v:path/>
                  <v:fill on="f" focussize="0,0"/>
                  <v:stroke on="f" joinstyle="miter"/>
                  <v:imagedata r:id="rId52" o:title=""/>
                  <o:lock v:ext="edit" aspectratio="t"/>
                  <w10:wrap type="none"/>
                  <w10:anchorlock/>
                </v:shape>
                <o:OLEObject Type="Embed" ProgID="Equation.DSMT4" ShapeID="_x0000_i1037" DrawAspect="Content" ObjectID="_1468075737" r:id="rId51">
                  <o:LockedField>false</o:LockedField>
                </o:OLEObject>
              </w:object>
            </w:r>
          </w:p>
          <w:p w14:paraId="2FD9087D">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②预测内容</w:t>
            </w:r>
          </w:p>
          <w:p w14:paraId="2D892921">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项目实施后，机械设备运行产生的噪声对声环境的影响。</w:t>
            </w:r>
          </w:p>
          <w:p w14:paraId="53AA5499">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预测结果评价</w:t>
            </w:r>
          </w:p>
          <w:p w14:paraId="0C96C01E">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项目噪声源主要为生产过程中各设备工作时产生的机械噪声，采取选用低噪声设备，安装基础减振、厂房隔声等降噪措施后，运营期厂界预测结果见表4-</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69B2CEC7">
            <w:pPr>
              <w:bidi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w:t>
            </w:r>
            <w:r>
              <w:rPr>
                <w:rFonts w:hint="eastAsia" w:cs="Times New Roman"/>
                <w:b/>
                <w:bCs/>
                <w:color w:val="auto"/>
                <w:highlight w:val="none"/>
                <w:lang w:val="en-US" w:eastAsia="zh-CN"/>
              </w:rPr>
              <w:t>5</w:t>
            </w:r>
            <w:r>
              <w:rPr>
                <w:rFonts w:hint="default" w:ascii="Times New Roman" w:hAnsi="Times New Roman" w:cs="Times New Roman"/>
                <w:b/>
                <w:bCs/>
                <w:color w:val="auto"/>
                <w:highlight w:val="none"/>
              </w:rPr>
              <w:t>厂界噪声预测结果单位：dB（A）</w:t>
            </w:r>
          </w:p>
          <w:tbl>
            <w:tblPr>
              <w:tblStyle w:val="25"/>
              <w:tblW w:w="493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98"/>
              <w:gridCol w:w="1209"/>
              <w:gridCol w:w="1003"/>
              <w:gridCol w:w="1220"/>
              <w:gridCol w:w="2488"/>
              <w:gridCol w:w="1113"/>
            </w:tblGrid>
            <w:tr w14:paraId="14AE0D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6" w:hRule="atLeast"/>
                <w:jc w:val="center"/>
              </w:trPr>
              <w:tc>
                <w:tcPr>
                  <w:tcW w:w="509" w:type="pct"/>
                  <w:vMerge w:val="restart"/>
                  <w:noWrap w:val="0"/>
                  <w:vAlign w:val="center"/>
                </w:tcPr>
                <w:p w14:paraId="0A7033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编号</w:t>
                  </w:r>
                </w:p>
              </w:tc>
              <w:tc>
                <w:tcPr>
                  <w:tcW w:w="771" w:type="pct"/>
                  <w:vMerge w:val="restart"/>
                  <w:noWrap w:val="0"/>
                  <w:vAlign w:val="center"/>
                </w:tcPr>
                <w:p w14:paraId="505FF3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测点名称</w:t>
                  </w:r>
                </w:p>
              </w:tc>
              <w:tc>
                <w:tcPr>
                  <w:tcW w:w="1418" w:type="pct"/>
                  <w:gridSpan w:val="2"/>
                  <w:noWrap w:val="0"/>
                  <w:vAlign w:val="center"/>
                </w:tcPr>
                <w:p w14:paraId="30B9BA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贡献值</w:t>
                  </w:r>
                </w:p>
              </w:tc>
              <w:tc>
                <w:tcPr>
                  <w:tcW w:w="1589" w:type="pct"/>
                  <w:vMerge w:val="restart"/>
                  <w:tcBorders>
                    <w:left w:val="single" w:color="auto" w:sz="4" w:space="0"/>
                  </w:tcBorders>
                  <w:noWrap w:val="0"/>
                  <w:vAlign w:val="center"/>
                </w:tcPr>
                <w:p w14:paraId="43CB80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标准值</w:t>
                  </w:r>
                </w:p>
              </w:tc>
              <w:tc>
                <w:tcPr>
                  <w:tcW w:w="710" w:type="pct"/>
                  <w:vMerge w:val="restart"/>
                  <w:noWrap w:val="0"/>
                  <w:vAlign w:val="center"/>
                </w:tcPr>
                <w:p w14:paraId="059BBD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达标情况</w:t>
                  </w:r>
                </w:p>
              </w:tc>
            </w:tr>
            <w:tr w14:paraId="4536BE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6" w:hRule="atLeast"/>
                <w:jc w:val="center"/>
              </w:trPr>
              <w:tc>
                <w:tcPr>
                  <w:tcW w:w="509" w:type="pct"/>
                  <w:vMerge w:val="continue"/>
                  <w:noWrap w:val="0"/>
                  <w:vAlign w:val="center"/>
                </w:tcPr>
                <w:p w14:paraId="1FFEFE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71" w:type="pct"/>
                  <w:vMerge w:val="continue"/>
                  <w:noWrap w:val="0"/>
                  <w:vAlign w:val="center"/>
                </w:tcPr>
                <w:p w14:paraId="5D01F1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640" w:type="pct"/>
                  <w:tcBorders>
                    <w:right w:val="single" w:color="auto" w:sz="4" w:space="0"/>
                  </w:tcBorders>
                  <w:noWrap w:val="0"/>
                  <w:vAlign w:val="center"/>
                </w:tcPr>
                <w:p w14:paraId="7C9950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昼间</w:t>
                  </w:r>
                </w:p>
              </w:tc>
              <w:tc>
                <w:tcPr>
                  <w:tcW w:w="778" w:type="pct"/>
                  <w:tcBorders>
                    <w:left w:val="single" w:color="auto" w:sz="4" w:space="0"/>
                  </w:tcBorders>
                  <w:noWrap w:val="0"/>
                  <w:vAlign w:val="center"/>
                </w:tcPr>
                <w:p w14:paraId="22B35A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夜间</w:t>
                  </w:r>
                </w:p>
              </w:tc>
              <w:tc>
                <w:tcPr>
                  <w:tcW w:w="1589" w:type="pct"/>
                  <w:vMerge w:val="continue"/>
                  <w:tcBorders>
                    <w:left w:val="single" w:color="auto" w:sz="4" w:space="0"/>
                  </w:tcBorders>
                  <w:noWrap w:val="0"/>
                  <w:vAlign w:val="center"/>
                </w:tcPr>
                <w:p w14:paraId="42297A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vMerge w:val="continue"/>
                  <w:noWrap w:val="0"/>
                  <w:vAlign w:val="center"/>
                </w:tcPr>
                <w:p w14:paraId="3E8CDF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r>
            <w:tr w14:paraId="5ABA3B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0A7F22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771" w:type="pct"/>
                  <w:noWrap w:val="0"/>
                  <w:vAlign w:val="center"/>
                </w:tcPr>
                <w:p w14:paraId="7B258E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东厂界</w:t>
                  </w:r>
                </w:p>
              </w:tc>
              <w:tc>
                <w:tcPr>
                  <w:tcW w:w="640" w:type="pct"/>
                  <w:tcBorders>
                    <w:right w:val="single" w:color="auto" w:sz="4" w:space="0"/>
                  </w:tcBorders>
                  <w:noWrap w:val="0"/>
                  <w:vAlign w:val="center"/>
                </w:tcPr>
                <w:p w14:paraId="281A72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42</w:t>
                  </w:r>
                </w:p>
              </w:tc>
              <w:tc>
                <w:tcPr>
                  <w:tcW w:w="778" w:type="pct"/>
                  <w:tcBorders>
                    <w:left w:val="single" w:color="auto" w:sz="4" w:space="0"/>
                    <w:bottom w:val="single" w:color="auto" w:sz="4" w:space="0"/>
                  </w:tcBorders>
                  <w:noWrap w:val="0"/>
                  <w:vAlign w:val="center"/>
                </w:tcPr>
                <w:p w14:paraId="006CFE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42</w:t>
                  </w:r>
                </w:p>
              </w:tc>
              <w:tc>
                <w:tcPr>
                  <w:tcW w:w="1589" w:type="pct"/>
                  <w:vMerge w:val="restart"/>
                  <w:tcBorders>
                    <w:left w:val="single" w:color="auto" w:sz="4" w:space="0"/>
                  </w:tcBorders>
                  <w:noWrap w:val="0"/>
                  <w:vAlign w:val="center"/>
                </w:tcPr>
                <w:p w14:paraId="7B9DC9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昼间6</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dB（A）</w:t>
                  </w:r>
                </w:p>
                <w:p w14:paraId="78032B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夜间5</w:t>
                  </w:r>
                  <w:r>
                    <w:rPr>
                      <w:rFonts w:hint="default" w:ascii="Times New Roman" w:hAnsi="Times New Roman" w:cs="Times New Roman"/>
                      <w:color w:val="auto"/>
                      <w:highlight w:val="none"/>
                      <w:lang w:val="en-US" w:eastAsia="zh-CN"/>
                    </w:rPr>
                    <w:t>0</w:t>
                  </w:r>
                  <w:r>
                    <w:rPr>
                      <w:rFonts w:hint="default" w:ascii="Times New Roman" w:hAnsi="Times New Roman" w:cs="Times New Roman"/>
                      <w:color w:val="auto"/>
                      <w:highlight w:val="none"/>
                    </w:rPr>
                    <w:t>dB（A）</w:t>
                  </w:r>
                </w:p>
              </w:tc>
              <w:tc>
                <w:tcPr>
                  <w:tcW w:w="710" w:type="pct"/>
                  <w:noWrap w:val="0"/>
                  <w:vAlign w:val="center"/>
                </w:tcPr>
                <w:p w14:paraId="2ACCF6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609500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0F6777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771" w:type="pct"/>
                  <w:noWrap w:val="0"/>
                  <w:vAlign w:val="center"/>
                </w:tcPr>
                <w:p w14:paraId="444D74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南厂界</w:t>
                  </w:r>
                </w:p>
              </w:tc>
              <w:tc>
                <w:tcPr>
                  <w:tcW w:w="640" w:type="pct"/>
                  <w:tcBorders>
                    <w:bottom w:val="single" w:color="auto" w:sz="4" w:space="0"/>
                    <w:right w:val="single" w:color="auto" w:sz="4" w:space="0"/>
                  </w:tcBorders>
                  <w:noWrap w:val="0"/>
                  <w:vAlign w:val="center"/>
                </w:tcPr>
                <w:p w14:paraId="4455A7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45</w:t>
                  </w:r>
                </w:p>
              </w:tc>
              <w:tc>
                <w:tcPr>
                  <w:tcW w:w="778" w:type="pct"/>
                  <w:tcBorders>
                    <w:top w:val="single" w:color="auto" w:sz="4" w:space="0"/>
                    <w:left w:val="single" w:color="auto" w:sz="4" w:space="0"/>
                    <w:bottom w:val="single" w:color="auto" w:sz="4" w:space="0"/>
                  </w:tcBorders>
                  <w:noWrap w:val="0"/>
                  <w:vAlign w:val="center"/>
                </w:tcPr>
                <w:p w14:paraId="550BC8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45</w:t>
                  </w:r>
                </w:p>
              </w:tc>
              <w:tc>
                <w:tcPr>
                  <w:tcW w:w="1589" w:type="pct"/>
                  <w:vMerge w:val="continue"/>
                  <w:tcBorders>
                    <w:left w:val="single" w:color="auto" w:sz="4" w:space="0"/>
                  </w:tcBorders>
                  <w:noWrap w:val="0"/>
                  <w:vAlign w:val="center"/>
                </w:tcPr>
                <w:p w14:paraId="30833C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noWrap w:val="0"/>
                  <w:vAlign w:val="center"/>
                </w:tcPr>
                <w:p w14:paraId="4571EE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7FE2D9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18F195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771" w:type="pct"/>
                  <w:noWrap w:val="0"/>
                  <w:vAlign w:val="center"/>
                </w:tcPr>
                <w:p w14:paraId="72242A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西厂界</w:t>
                  </w:r>
                </w:p>
              </w:tc>
              <w:tc>
                <w:tcPr>
                  <w:tcW w:w="640" w:type="pct"/>
                  <w:tcBorders>
                    <w:top w:val="single" w:color="auto" w:sz="4" w:space="0"/>
                    <w:right w:val="single" w:color="auto" w:sz="4" w:space="0"/>
                  </w:tcBorders>
                  <w:noWrap w:val="0"/>
                  <w:vAlign w:val="center"/>
                </w:tcPr>
                <w:p w14:paraId="0ADD03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778" w:type="pct"/>
                  <w:tcBorders>
                    <w:top w:val="single" w:color="auto" w:sz="4" w:space="0"/>
                    <w:left w:val="single" w:color="auto" w:sz="4" w:space="0"/>
                    <w:bottom w:val="single" w:color="auto" w:sz="4" w:space="0"/>
                  </w:tcBorders>
                  <w:noWrap w:val="0"/>
                  <w:vAlign w:val="center"/>
                </w:tcPr>
                <w:p w14:paraId="3072F8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1589" w:type="pct"/>
                  <w:vMerge w:val="continue"/>
                  <w:tcBorders>
                    <w:left w:val="single" w:color="auto" w:sz="4" w:space="0"/>
                  </w:tcBorders>
                  <w:noWrap w:val="0"/>
                  <w:vAlign w:val="center"/>
                </w:tcPr>
                <w:p w14:paraId="344CFA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noWrap w:val="0"/>
                  <w:vAlign w:val="center"/>
                </w:tcPr>
                <w:p w14:paraId="5D9EAB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51233D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509" w:type="pct"/>
                  <w:noWrap w:val="0"/>
                  <w:vAlign w:val="center"/>
                </w:tcPr>
                <w:p w14:paraId="7A4898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771" w:type="pct"/>
                  <w:noWrap w:val="0"/>
                  <w:vAlign w:val="center"/>
                </w:tcPr>
                <w:p w14:paraId="4F16AF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北厂界</w:t>
                  </w:r>
                </w:p>
              </w:tc>
              <w:tc>
                <w:tcPr>
                  <w:tcW w:w="640" w:type="pct"/>
                  <w:tcBorders>
                    <w:right w:val="single" w:color="auto" w:sz="4" w:space="0"/>
                  </w:tcBorders>
                  <w:noWrap w:val="0"/>
                  <w:vAlign w:val="center"/>
                </w:tcPr>
                <w:p w14:paraId="13CC06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34</w:t>
                  </w:r>
                </w:p>
              </w:tc>
              <w:tc>
                <w:tcPr>
                  <w:tcW w:w="778" w:type="pct"/>
                  <w:tcBorders>
                    <w:top w:val="single" w:color="auto" w:sz="4" w:space="0"/>
                    <w:left w:val="single" w:color="auto" w:sz="4" w:space="0"/>
                  </w:tcBorders>
                  <w:noWrap w:val="0"/>
                  <w:vAlign w:val="center"/>
                </w:tcPr>
                <w:p w14:paraId="7120A2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34</w:t>
                  </w:r>
                </w:p>
              </w:tc>
              <w:tc>
                <w:tcPr>
                  <w:tcW w:w="1589" w:type="pct"/>
                  <w:vMerge w:val="continue"/>
                  <w:tcBorders>
                    <w:left w:val="single" w:color="auto" w:sz="4" w:space="0"/>
                  </w:tcBorders>
                  <w:noWrap w:val="0"/>
                  <w:vAlign w:val="center"/>
                </w:tcPr>
                <w:p w14:paraId="4B8399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710" w:type="pct"/>
                  <w:noWrap w:val="0"/>
                  <w:vAlign w:val="center"/>
                </w:tcPr>
                <w:p w14:paraId="5722DC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bl>
          <w:p w14:paraId="14E50531">
            <w:pPr>
              <w:bidi w:val="0"/>
              <w:rPr>
                <w:rFonts w:hint="default" w:ascii="Times New Roman" w:hAnsi="Times New Roman" w:cs="Times New Roman"/>
                <w:color w:val="auto"/>
                <w:highlight w:val="none"/>
              </w:rPr>
            </w:pPr>
            <w:bookmarkStart w:id="2" w:name="_Hlk47373657"/>
            <w:r>
              <w:rPr>
                <w:rFonts w:hint="default" w:ascii="Times New Roman" w:hAnsi="Times New Roman" w:cs="Times New Roman"/>
                <w:color w:val="auto"/>
                <w:highlight w:val="none"/>
              </w:rPr>
              <w:t>由表可知，本项目各厂界夜间的噪声能满足《工业企业厂界环境噪声排放标准》（GB12348-2008）</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类区标准限值。综上所述，本项目运营后对周围环境噪声影响较小。</w:t>
            </w:r>
          </w:p>
          <w:bookmarkEnd w:id="2"/>
          <w:p w14:paraId="5B52D94E">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3.监测计划</w:t>
            </w:r>
          </w:p>
          <w:p w14:paraId="4A15E45D">
            <w:pPr>
              <w:adjustRightInd w:val="0"/>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为监控企业营运后噪声排放情况，环评要求企业定期开展厂界噪声排放监测，</w:t>
            </w:r>
            <w:r>
              <w:rPr>
                <w:rFonts w:hint="default" w:ascii="Times New Roman" w:hAnsi="Times New Roman" w:cs="Times New Roman"/>
                <w:color w:val="auto"/>
                <w:highlight w:val="none"/>
                <w:lang w:val="en-US" w:eastAsia="zh-CN"/>
              </w:rPr>
              <w:t>本项目噪声监测计划并入选煤厂一并管理。</w:t>
            </w:r>
          </w:p>
          <w:p w14:paraId="0F7FC01E">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四、固体废弃物环境影响和保护措施</w:t>
            </w:r>
          </w:p>
          <w:p w14:paraId="2D37878E">
            <w:pPr>
              <w:adjustRightInd w:val="0"/>
              <w:snapToGrid w:val="0"/>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1.固废产生情况及处置措施</w:t>
            </w:r>
          </w:p>
          <w:p w14:paraId="6473A778">
            <w:pPr>
              <w:adjustRightInd w:val="0"/>
              <w:snapToGrid w:val="0"/>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项目固废主要为锅炉燃煤产生的一般固废包括：锅炉炉渣、除尘灰、</w:t>
            </w:r>
            <w:r>
              <w:rPr>
                <w:rFonts w:hint="eastAsia" w:ascii="Times New Roman" w:hAnsi="Times New Roman" w:cs="Times New Roman"/>
                <w:bCs/>
                <w:color w:val="auto"/>
                <w:sz w:val="24"/>
                <w:szCs w:val="24"/>
                <w:highlight w:val="none"/>
                <w:lang w:val="en-US" w:eastAsia="zh-CN"/>
              </w:rPr>
              <w:t>脱硫石膏</w:t>
            </w:r>
            <w:r>
              <w:rPr>
                <w:rFonts w:hint="default" w:ascii="Times New Roman" w:hAnsi="Times New Roman" w:cs="Times New Roman"/>
                <w:bCs/>
                <w:color w:val="auto"/>
                <w:sz w:val="24"/>
                <w:szCs w:val="24"/>
                <w:highlight w:val="none"/>
                <w:lang w:val="en-US" w:eastAsia="zh-CN"/>
              </w:rPr>
              <w:t>、废离子交换树脂；危险废物包括：废催化剂、脱硫系统定期排污废水、废矿物油、废油桶。本项目无新增劳动定员，无新增生活垃圾。</w:t>
            </w:r>
          </w:p>
          <w:p w14:paraId="7E83809C">
            <w:pPr>
              <w:adjustRightInd w:val="0"/>
              <w:snapToGrid w:val="0"/>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A.一般固废</w:t>
            </w:r>
          </w:p>
          <w:p w14:paraId="004BC70B">
            <w:pPr>
              <w:adjustRightInd w:val="0"/>
              <w:snapToGrid w:val="0"/>
              <w:rPr>
                <w:rFonts w:hint="default" w:ascii="Times New Roman" w:hAnsi="Times New Roman" w:eastAsia="宋体" w:cs="Times New Roman"/>
                <w:b/>
                <w:bCs w:val="0"/>
                <w:color w:val="auto"/>
                <w:spacing w:val="-10"/>
                <w:sz w:val="24"/>
                <w:szCs w:val="24"/>
                <w:highlight w:val="none"/>
                <w:lang w:val="en-US" w:eastAsia="zh-CN"/>
              </w:rPr>
            </w:pPr>
            <w:r>
              <w:rPr>
                <w:rFonts w:hint="default" w:ascii="Times New Roman" w:hAnsi="Times New Roman" w:eastAsia="宋体" w:cs="Times New Roman"/>
                <w:b/>
                <w:bCs w:val="0"/>
                <w:color w:val="auto"/>
                <w:spacing w:val="-10"/>
                <w:sz w:val="24"/>
                <w:szCs w:val="24"/>
                <w:highlight w:val="none"/>
                <w:lang w:val="en-US" w:eastAsia="zh-CN"/>
              </w:rPr>
              <w:t>（1）锅炉炉渣</w:t>
            </w:r>
          </w:p>
          <w:p w14:paraId="2AE83964">
            <w:pPr>
              <w:adjustRightInd w:val="0"/>
              <w:snapToGrid w:val="0"/>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cs="Times New Roman"/>
                <w:bCs/>
                <w:color w:val="auto"/>
                <w:spacing w:val="-10"/>
                <w:sz w:val="24"/>
                <w:szCs w:val="24"/>
                <w:highlight w:val="none"/>
                <w:lang w:val="en-US" w:eastAsia="zh-CN"/>
              </w:rPr>
              <w:t>锅炉炉渣属于一般固废，依据《固体废物分类与代码目录》（2024年版），废物种类为SW03，</w:t>
            </w:r>
            <w:r>
              <w:rPr>
                <w:rFonts w:hint="default" w:ascii="Times New Roman" w:hAnsi="Times New Roman" w:eastAsia="宋体" w:cs="Times New Roman"/>
                <w:bCs/>
                <w:color w:val="auto"/>
                <w:spacing w:val="-10"/>
                <w:sz w:val="24"/>
                <w:szCs w:val="24"/>
                <w:highlight w:val="none"/>
                <w:lang w:val="en-US" w:eastAsia="zh-CN"/>
              </w:rPr>
              <w:t>根据《污染源源强核算技术指南锅炉》（HJ991-2018）规定进行计算：</w:t>
            </w:r>
          </w:p>
          <w:p w14:paraId="0DCF93A3">
            <w:pPr>
              <w:adjustRightInd w:val="0"/>
              <w:snapToGrid w:val="0"/>
              <w:ind w:left="0" w:leftChars="0" w:firstLine="0" w:firstLineChars="0"/>
              <w:jc w:val="center"/>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cs="Times New Roman"/>
                <w:color w:val="auto"/>
                <w:highlight w:val="none"/>
              </w:rPr>
              <w:drawing>
                <wp:inline distT="0" distB="0" distL="114300" distR="114300">
                  <wp:extent cx="2016125" cy="468630"/>
                  <wp:effectExtent l="0" t="0" r="3175" b="7620"/>
                  <wp:docPr id="1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5"/>
                          <pic:cNvPicPr>
                            <a:picLocks noChangeAspect="1"/>
                          </pic:cNvPicPr>
                        </pic:nvPicPr>
                        <pic:blipFill>
                          <a:blip r:embed="rId53"/>
                          <a:srcRect l="20334" r="9111" b="24307"/>
                          <a:stretch>
                            <a:fillRect/>
                          </a:stretch>
                        </pic:blipFill>
                        <pic:spPr>
                          <a:xfrm>
                            <a:off x="0" y="0"/>
                            <a:ext cx="2016125" cy="468630"/>
                          </a:xfrm>
                          <a:prstGeom prst="rect">
                            <a:avLst/>
                          </a:prstGeom>
                          <a:noFill/>
                          <a:ln>
                            <a:noFill/>
                          </a:ln>
                        </pic:spPr>
                      </pic:pic>
                    </a:graphicData>
                  </a:graphic>
                </wp:inline>
              </w:drawing>
            </w:r>
          </w:p>
          <w:p w14:paraId="5E82BB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式中：Ehz——核算时段内灰渣产生量，t，根据飞灰份额dfh可分别核算飞灰、灰渣产生量；</w:t>
            </w:r>
          </w:p>
          <w:p w14:paraId="1178C1E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R——核算时段内锅炉燃料耗量，t；40t/h耗煤量25596.48t/a；</w:t>
            </w:r>
          </w:p>
          <w:p w14:paraId="6F7C088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Aar——收到基灰分的质量分数，%；根据煤质化验单，收到基灰分14%；</w:t>
            </w:r>
          </w:p>
          <w:p w14:paraId="0E3ABC3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q4——锅炉机械不完全燃烧热损失，%；根据《污染源源强核算技术指南锅炉》（HJ991-2018）附录B链条炉排炉取10%；</w:t>
            </w:r>
          </w:p>
          <w:p w14:paraId="1147F58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Qnet,ar——收到基低位发热量，kJ/kg；本项目收到基低位发热量为20.76MJ/kg。</w:t>
            </w:r>
          </w:p>
          <w:p w14:paraId="4F2EC72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根据以上公式计算，锅炉炉渣产生量为1791.76t/a，暂存至一般固废暂存间内，定期拉运至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p>
          <w:p w14:paraId="785C1B49">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（2）脱硫石膏</w:t>
            </w:r>
          </w:p>
          <w:p w14:paraId="6BD2D0EE">
            <w:pPr>
              <w:bidi w:val="0"/>
              <w:rPr>
                <w:rFonts w:hint="default"/>
                <w:color w:val="auto"/>
                <w:highlight w:val="none"/>
                <w:lang w:val="en-US" w:eastAsia="zh-CN"/>
              </w:rPr>
            </w:pPr>
            <w:r>
              <w:rPr>
                <w:rFonts w:hint="default"/>
                <w:color w:val="auto"/>
                <w:highlight w:val="none"/>
                <w:lang w:val="en-US" w:eastAsia="zh-CN"/>
              </w:rPr>
              <w:t>脱硫石膏为一般固废，依据《固体废物分类与代码目录》（2024年版），废物种类为SW06根据《污染源源强核算技术指南锅炉》（HJ991-2018）规定进行计算：</w:t>
            </w:r>
          </w:p>
          <w:p w14:paraId="58E9A8BC">
            <w:pPr>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2083435" cy="603250"/>
                  <wp:effectExtent l="0" t="0" r="12065" b="6350"/>
                  <wp:docPr id="16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3"/>
                          <pic:cNvPicPr>
                            <a:picLocks noChangeAspect="1"/>
                          </pic:cNvPicPr>
                        </pic:nvPicPr>
                        <pic:blipFill>
                          <a:blip r:embed="rId54"/>
                          <a:stretch>
                            <a:fillRect/>
                          </a:stretch>
                        </pic:blipFill>
                        <pic:spPr>
                          <a:xfrm>
                            <a:off x="0" y="0"/>
                            <a:ext cx="2083435" cy="603250"/>
                          </a:xfrm>
                          <a:prstGeom prst="rect">
                            <a:avLst/>
                          </a:prstGeom>
                          <a:noFill/>
                          <a:ln>
                            <a:noFill/>
                          </a:ln>
                        </pic:spPr>
                      </pic:pic>
                    </a:graphicData>
                  </a:graphic>
                </wp:inline>
              </w:drawing>
            </w:r>
          </w:p>
          <w:p w14:paraId="05A9749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式中：E——核算时段内脱硫副产物产生量，t；</w:t>
            </w:r>
          </w:p>
          <w:p w14:paraId="154561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MF——脱硫副产物摩尔质量；172</w:t>
            </w:r>
          </w:p>
          <w:p w14:paraId="6FADC3F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ES——核算时段内二氧化硫脱除量，t；二氧化硫产生量91.38t/a，排放量为</w:t>
            </w:r>
            <w:r>
              <w:rPr>
                <w:rFonts w:hint="eastAsia" w:ascii="Times New Roman" w:hAnsi="Times New Roman" w:cs="Times New Roman"/>
                <w:color w:val="auto"/>
                <w:highlight w:val="none"/>
                <w:lang w:val="en-US" w:eastAsia="zh-CN"/>
              </w:rPr>
              <w:t>8.59t/a</w:t>
            </w:r>
            <w:r>
              <w:rPr>
                <w:rFonts w:hint="default" w:ascii="Times New Roman" w:hAnsi="Times New Roman" w:cs="Times New Roman"/>
                <w:color w:val="auto"/>
                <w:highlight w:val="none"/>
                <w:lang w:val="en-US" w:eastAsia="zh-CN"/>
              </w:rPr>
              <w:t>，二氧化硫脱除量为83.16t/a。</w:t>
            </w:r>
          </w:p>
          <w:p w14:paraId="58B01C7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64——二氧化硫摩尔质量；</w:t>
            </w:r>
          </w:p>
          <w:p w14:paraId="25AF492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Cs——脱硫副产物含水率，%，副产物为石膏时含水率一般≤10%；本项目取值10%</w:t>
            </w:r>
          </w:p>
          <w:p w14:paraId="4F4E775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Cg——脱硫副产物纯度，%，副产物为石膏时纯度一般≥90%。本项目取值90%</w:t>
            </w:r>
          </w:p>
          <w:p w14:paraId="7C1F855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经计算，脱硫副产物（脱硫石膏）产生量为275.92t/a。</w:t>
            </w:r>
          </w:p>
          <w:p w14:paraId="6E24AC9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脱硫石膏定期拉运至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p>
          <w:p w14:paraId="5913B6F8">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（3）除尘灰</w:t>
            </w:r>
          </w:p>
          <w:p w14:paraId="35E4FBD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依据《固体废物分类与代码目录》（2024年版），除尘灰属于一般固废，废物代码为SW02（粉煤灰），废物代码：900-001-S02，根据工程分析，布袋除尘器除尘灰605t/a。暂存至一般固废暂存间内，定期拉运至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p>
          <w:p w14:paraId="67F1384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本项目产生的锅炉炉渣、脱硫石膏、除尘灰均在厂区内暂存后，定期拉运至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鄂尔多斯市东胜区环保管理有限公司</w:t>
            </w:r>
            <w:r>
              <w:rPr>
                <w:rFonts w:hint="default" w:ascii="Times New Roman" w:hAnsi="Times New Roman" w:cs="Times New Roman"/>
                <w:color w:val="auto"/>
                <w:highlight w:val="none"/>
                <w:lang w:val="en-US" w:eastAsia="zh-CN"/>
              </w:rPr>
              <w:t>于202</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月1</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日，由鄂尔多斯市生态环境局东胜区分局以鄂环审字〔202</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181</w:t>
            </w:r>
            <w:r>
              <w:rPr>
                <w:rFonts w:hint="default" w:ascii="Times New Roman" w:hAnsi="Times New Roman" w:cs="Times New Roman"/>
                <w:color w:val="auto"/>
                <w:highlight w:val="none"/>
                <w:lang w:val="en-US" w:eastAsia="zh-CN"/>
              </w:rPr>
              <w:t>号文件对《</w:t>
            </w:r>
            <w:r>
              <w:rPr>
                <w:rFonts w:hint="eastAsia" w:cs="Times New Roman"/>
                <w:color w:val="auto"/>
                <w:highlight w:val="none"/>
                <w:lang w:val="en-US" w:eastAsia="zh-CN"/>
              </w:rPr>
              <w:t>鄂尔多斯市东胜区环保管理有限公司东胜区东部一般工业固体废物综合利用项目</w:t>
            </w:r>
            <w:r>
              <w:rPr>
                <w:rFonts w:hint="default" w:ascii="Times New Roman" w:hAnsi="Times New Roman" w:cs="Times New Roman"/>
                <w:color w:val="auto"/>
                <w:highlight w:val="none"/>
                <w:lang w:val="en-US" w:eastAsia="zh-CN"/>
              </w:rPr>
              <w:t>环境影响报告</w:t>
            </w:r>
            <w:r>
              <w:rPr>
                <w:rFonts w:hint="eastAsia" w:cs="Times New Roman"/>
                <w:color w:val="auto"/>
                <w:highlight w:val="none"/>
                <w:lang w:val="en-US" w:eastAsia="zh-CN"/>
              </w:rPr>
              <w:t>书</w:t>
            </w:r>
            <w:r>
              <w:rPr>
                <w:rFonts w:hint="default" w:ascii="Times New Roman" w:hAnsi="Times New Roman" w:cs="Times New Roman"/>
                <w:color w:val="auto"/>
                <w:highlight w:val="none"/>
                <w:lang w:val="en-US" w:eastAsia="zh-CN"/>
              </w:rPr>
              <w:t>》予以批复</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2022年</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19</w:t>
            </w:r>
            <w:r>
              <w:rPr>
                <w:rFonts w:hint="default" w:ascii="Times New Roman" w:hAnsi="Times New Roman" w:cs="Times New Roman"/>
                <w:color w:val="auto"/>
                <w:highlight w:val="none"/>
                <w:lang w:val="en-US" w:eastAsia="zh-CN"/>
              </w:rPr>
              <w:t>日，由建设单位</w:t>
            </w:r>
            <w:r>
              <w:rPr>
                <w:rFonts w:hint="eastAsia" w:cs="Times New Roman"/>
                <w:color w:val="auto"/>
                <w:highlight w:val="none"/>
                <w:lang w:val="en-US" w:eastAsia="zh-CN"/>
              </w:rPr>
              <w:t>鄂尔多斯市东胜区环保管理有限公司</w:t>
            </w:r>
            <w:r>
              <w:rPr>
                <w:rFonts w:hint="default" w:ascii="Times New Roman" w:hAnsi="Times New Roman" w:cs="Times New Roman"/>
                <w:color w:val="auto"/>
                <w:highlight w:val="none"/>
                <w:lang w:val="en-US" w:eastAsia="zh-CN"/>
              </w:rPr>
              <w:t>组织召开自主验收会议，并形成竣工环境保护自主验收意见，鄂尔多斯市东胜区环保管理有限公司东胜区东部一般工业固体废物综合利用项目位于鄂尔多斯市东胜区铜川镇古城壕村，G109国道北约120m处</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该项目总占地面积为40.45h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，分四期建设，一期工程实际占地面积3.31h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，库容30万</w:t>
            </w:r>
            <w:r>
              <w:rPr>
                <w:rFonts w:hint="eastAsia" w:cs="Times New Roman"/>
                <w:color w:val="auto"/>
                <w:highlight w:val="none"/>
                <w:lang w:val="en-US" w:eastAsia="zh-CN"/>
              </w:rPr>
              <w:t>m³</w:t>
            </w:r>
            <w:r>
              <w:rPr>
                <w:rFonts w:hint="default" w:ascii="Times New Roman" w:hAnsi="Times New Roman" w:cs="Times New Roman"/>
                <w:color w:val="auto"/>
                <w:highlight w:val="none"/>
                <w:lang w:val="en-US" w:eastAsia="zh-CN"/>
              </w:rPr>
              <w:t>，服务年限为0.63年，二期工程分为1#区域与2#区域，其中1#填埋区占地5.182h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，库容78.96万</w:t>
            </w:r>
            <w:r>
              <w:rPr>
                <w:rFonts w:hint="eastAsia" w:cs="Times New Roman"/>
                <w:color w:val="auto"/>
                <w:highlight w:val="none"/>
                <w:lang w:val="en-US" w:eastAsia="zh-CN"/>
              </w:rPr>
              <w:t>m³；</w:t>
            </w:r>
            <w:r>
              <w:rPr>
                <w:rFonts w:hint="default" w:ascii="Times New Roman" w:hAnsi="Times New Roman" w:cs="Times New Roman"/>
                <w:color w:val="auto"/>
                <w:highlight w:val="none"/>
                <w:lang w:val="en-US" w:eastAsia="zh-CN"/>
              </w:rPr>
              <w:t>2#填埋区占地5.318h</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，库容81.04万</w:t>
            </w:r>
            <w:r>
              <w:rPr>
                <w:rFonts w:hint="eastAsia" w:cs="Times New Roman"/>
                <w:color w:val="auto"/>
                <w:highlight w:val="none"/>
                <w:lang w:val="en-US" w:eastAsia="zh-CN"/>
              </w:rPr>
              <w:t>m³，</w:t>
            </w:r>
            <w:r>
              <w:rPr>
                <w:rFonts w:hint="default" w:ascii="Times New Roman" w:hAnsi="Times New Roman" w:cs="Times New Roman"/>
                <w:color w:val="auto"/>
                <w:highlight w:val="none"/>
                <w:lang w:val="en-US" w:eastAsia="zh-CN"/>
              </w:rPr>
              <w:t>服务年限为3.56年。</w:t>
            </w:r>
            <w:r>
              <w:rPr>
                <w:rFonts w:hint="eastAsia" w:cs="Times New Roman"/>
                <w:color w:val="auto"/>
                <w:highlight w:val="none"/>
                <w:lang w:val="en-US" w:eastAsia="zh-CN"/>
              </w:rPr>
              <w:t>三期工程占地面积为8.8h㎡，回填量为180万m³，复垦年限为4a；四期占地面积为11.01h㎡，回填量为230万m³，复垦年限为5.11a，管护期均为3年。该项目回填内容为除尘灰、炉渣、脱硫石膏。该项目四期工程回填量共计为600万m³，复垦年限共计为13.3年，该项目</w:t>
            </w:r>
            <w:r>
              <w:rPr>
                <w:rFonts w:hint="default" w:ascii="Times New Roman" w:hAnsi="Times New Roman" w:cs="Times New Roman"/>
                <w:color w:val="auto"/>
                <w:highlight w:val="none"/>
                <w:lang w:val="en-US" w:eastAsia="zh-CN"/>
              </w:rPr>
              <w:t>域于2020年8月开工建设，</w:t>
            </w:r>
            <w:r>
              <w:rPr>
                <w:rFonts w:hint="eastAsia" w:cs="Times New Roman"/>
                <w:color w:val="auto"/>
                <w:highlight w:val="none"/>
                <w:lang w:val="en-US" w:eastAsia="zh-CN"/>
              </w:rPr>
              <w:t>2033年封场，现阶段回填量共计为275万m³，尚有余量。</w:t>
            </w:r>
          </w:p>
          <w:p w14:paraId="650C5194">
            <w:pPr>
              <w:bidi w:val="0"/>
              <w:rPr>
                <w:rFonts w:hint="default"/>
                <w:color w:val="auto"/>
                <w:highlight w:val="none"/>
                <w:lang w:val="en-US" w:eastAsia="zh-CN"/>
              </w:rPr>
            </w:pPr>
            <w:r>
              <w:rPr>
                <w:rFonts w:hint="eastAsia"/>
                <w:color w:val="auto"/>
                <w:highlight w:val="none"/>
                <w:lang w:val="en-US" w:eastAsia="zh-CN"/>
              </w:rPr>
              <w:t>故</w:t>
            </w:r>
            <w:r>
              <w:rPr>
                <w:rFonts w:hint="default"/>
                <w:color w:val="auto"/>
                <w:highlight w:val="none"/>
                <w:lang w:val="en-US" w:eastAsia="zh-CN"/>
              </w:rPr>
              <w:t>本项目产生的炉渣（产生量1791.76t/a）、脱硫石膏（产生量275.92t/a）、除尘灰（产生量605t/a）</w:t>
            </w:r>
            <w:r>
              <w:rPr>
                <w:rFonts w:hint="eastAsia"/>
                <w:color w:val="auto"/>
                <w:highlight w:val="none"/>
                <w:lang w:val="en-US" w:eastAsia="zh-CN"/>
              </w:rPr>
              <w:t>，定期拉运至</w:t>
            </w:r>
            <w:r>
              <w:rPr>
                <w:rFonts w:hint="eastAsia" w:cs="Times New Roman"/>
                <w:color w:val="auto"/>
                <w:highlight w:val="none"/>
                <w:lang w:val="en-US" w:eastAsia="zh-CN"/>
              </w:rPr>
              <w:t>鄂尔多斯市东胜区环保管理有限公司东胜区东部一般工业固体废物综合利用项目进行回填处理是可行的。</w:t>
            </w:r>
          </w:p>
          <w:p w14:paraId="5A7380F2">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（4）废离子交换树脂</w:t>
            </w:r>
          </w:p>
          <w:p w14:paraId="5DD6741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依据《固体废物分类与代码目录》（2024年版），纯水制备系统产生的废离子交换树脂属于一般固废，SW59（其他工业固体废物），废物代码为900-099-S59，废离子交换树脂3年更换一次，产生量为2t/3a，定期由厂家更换，不在厂区内暂存，由厂家回收处置。</w:t>
            </w:r>
          </w:p>
          <w:p w14:paraId="11DBCE1C">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B.危险废物</w:t>
            </w:r>
          </w:p>
          <w:p w14:paraId="09660556">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（1）废催化剂</w:t>
            </w:r>
          </w:p>
          <w:p w14:paraId="54CB37F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脱硝系统使用脱硝催化剂（钒钛系蜂窝状催化剂）属于危险废物，根据《国家危险废物名录》（2025年版），属于HW50类，危险废物代码为772-007-50，废催化剂3年更换一次，产生量为3.5t/3a，收集后暂存选煤厂现有危废库后送有资质单位处置。</w:t>
            </w:r>
          </w:p>
          <w:p w14:paraId="15A71AD6">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（2）废矿物油、废油桶</w:t>
            </w:r>
          </w:p>
          <w:p w14:paraId="7D08019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进行设备维修会产生少量废矿物油、废油桶，废矿物油产生总量为0.1t/a，根据《国家危险废物名录》（2025年版），本项目产生的废油属于危废类别为HW08废矿物油的危险废物，废物代码为900-214-08，其危险性为T（毒性）、I（易燃性）。废油桶产生量为0.1t/a，属于HW49项“其他废物”中“900-041-49含有或沾染毒性、感染性危险废物的废弃包装物、容器、过滤吸附介质”，废矿物油、废油桶暂存于现有危险废物暂存间，定期交由资质单位处置。厂区内设60㎡危废暂存间，项目产生的废油应暂存于厂区危废间废物油桶中，达到一定储量后，交有资质的单位处置。</w:t>
            </w:r>
          </w:p>
          <w:p w14:paraId="7F074C69">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五、地下水和土壤环境</w:t>
            </w:r>
          </w:p>
          <w:p w14:paraId="73AE4ED5">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参</w:t>
            </w:r>
            <w:r>
              <w:rPr>
                <w:rFonts w:hint="eastAsia" w:ascii="Times New Roman" w:hAnsi="Times New Roman" w:cs="Times New Roman"/>
                <w:color w:val="auto"/>
                <w:highlight w:val="none"/>
                <w:lang w:val="en-US" w:eastAsia="zh-CN"/>
              </w:rPr>
              <w:t>照</w:t>
            </w:r>
            <w:r>
              <w:rPr>
                <w:rFonts w:hint="default" w:ascii="Times New Roman" w:hAnsi="Times New Roman" w:cs="Times New Roman"/>
                <w:color w:val="auto"/>
                <w:highlight w:val="none"/>
                <w:lang w:val="en-US" w:eastAsia="zh-CN"/>
              </w:rPr>
              <w:t>《环境影响评价技术导则地下水环境》（HJ610-2016）</w:t>
            </w:r>
            <w:r>
              <w:rPr>
                <w:rFonts w:hint="eastAsia" w:ascii="Times New Roman" w:hAnsi="Times New Roman" w:cs="Times New Roman"/>
                <w:color w:val="auto"/>
                <w:highlight w:val="none"/>
                <w:lang w:val="en-US" w:eastAsia="zh-CN"/>
              </w:rPr>
              <w:t>标准划分防渗区，</w:t>
            </w:r>
            <w:r>
              <w:rPr>
                <w:rFonts w:hint="default" w:ascii="Times New Roman" w:hAnsi="Times New Roman" w:cs="Times New Roman"/>
                <w:color w:val="auto"/>
                <w:highlight w:val="none"/>
                <w:lang w:val="en-US" w:eastAsia="zh-CN"/>
              </w:rPr>
              <w:t>本项</w:t>
            </w:r>
            <w:r>
              <w:rPr>
                <w:rFonts w:hint="default" w:ascii="Times New Roman" w:hAnsi="Times New Roman" w:cs="Times New Roman"/>
                <w:color w:val="auto"/>
                <w:highlight w:val="none"/>
              </w:rPr>
              <w:t>目拟采取的防渗措施情况见表4-</w:t>
            </w:r>
            <w:r>
              <w:rPr>
                <w:rFonts w:hint="eastAsia" w:cs="Times New Roman"/>
                <w:color w:val="auto"/>
                <w:highlight w:val="none"/>
                <w:lang w:val="en-US" w:eastAsia="zh-CN"/>
              </w:rPr>
              <w:t>6</w:t>
            </w:r>
            <w:r>
              <w:rPr>
                <w:rFonts w:hint="default" w:ascii="Times New Roman" w:hAnsi="Times New Roman" w:cs="Times New Roman"/>
                <w:color w:val="auto"/>
                <w:highlight w:val="none"/>
              </w:rPr>
              <w:t>。</w:t>
            </w:r>
            <w:r>
              <w:rPr>
                <w:rFonts w:hint="eastAsia" w:cs="Times New Roman"/>
                <w:color w:val="auto"/>
                <w:highlight w:val="none"/>
                <w:lang w:val="en-US" w:eastAsia="zh-CN"/>
              </w:rPr>
              <w:t>依托现有防渗层措施。</w:t>
            </w:r>
          </w:p>
          <w:p w14:paraId="2FF1DD42">
            <w:pPr>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w:t>
            </w:r>
            <w:r>
              <w:rPr>
                <w:rFonts w:hint="eastAsia" w:cs="Times New Roman"/>
                <w:b/>
                <w:bCs/>
                <w:color w:val="auto"/>
                <w:highlight w:val="none"/>
                <w:lang w:val="en-US" w:eastAsia="zh-CN"/>
              </w:rPr>
              <w:t>6</w:t>
            </w:r>
            <w:r>
              <w:rPr>
                <w:rFonts w:hint="default" w:ascii="Times New Roman" w:hAnsi="Times New Roman" w:cs="Times New Roman"/>
                <w:b/>
                <w:bCs/>
                <w:color w:val="auto"/>
                <w:highlight w:val="none"/>
              </w:rPr>
              <w:t>项目区域分区防渗表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32"/>
              <w:gridCol w:w="1603"/>
              <w:gridCol w:w="4098"/>
            </w:tblGrid>
            <w:tr w14:paraId="0038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pct"/>
                  <w:noWrap w:val="0"/>
                  <w:vAlign w:val="center"/>
                </w:tcPr>
                <w:p w14:paraId="48A35F3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序号</w:t>
                  </w:r>
                </w:p>
              </w:tc>
              <w:tc>
                <w:tcPr>
                  <w:tcW w:w="965" w:type="pct"/>
                  <w:noWrap w:val="0"/>
                  <w:vAlign w:val="center"/>
                </w:tcPr>
                <w:p w14:paraId="785812F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防渗分区</w:t>
                  </w:r>
                </w:p>
              </w:tc>
              <w:tc>
                <w:tcPr>
                  <w:tcW w:w="1009" w:type="pct"/>
                  <w:noWrap w:val="0"/>
                  <w:vAlign w:val="center"/>
                </w:tcPr>
                <w:p w14:paraId="71D9DF3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项目分区</w:t>
                  </w:r>
                </w:p>
              </w:tc>
              <w:tc>
                <w:tcPr>
                  <w:tcW w:w="2581" w:type="pct"/>
                  <w:noWrap w:val="0"/>
                  <w:vAlign w:val="center"/>
                </w:tcPr>
                <w:p w14:paraId="0AA07F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具体措施</w:t>
                  </w:r>
                </w:p>
              </w:tc>
            </w:tr>
            <w:tr w14:paraId="7770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pct"/>
                  <w:noWrap w:val="0"/>
                  <w:vAlign w:val="center"/>
                </w:tcPr>
                <w:p w14:paraId="1547F99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default"/>
                      <w:color w:val="auto"/>
                      <w:highlight w:val="none"/>
                    </w:rPr>
                    <w:t>1</w:t>
                  </w:r>
                </w:p>
              </w:tc>
              <w:tc>
                <w:tcPr>
                  <w:tcW w:w="965" w:type="pct"/>
                  <w:noWrap w:val="0"/>
                  <w:vAlign w:val="center"/>
                </w:tcPr>
                <w:p w14:paraId="6AB0BC1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重点防渗区</w:t>
                  </w:r>
                </w:p>
              </w:tc>
              <w:tc>
                <w:tcPr>
                  <w:tcW w:w="1009" w:type="pct"/>
                  <w:noWrap w:val="0"/>
                  <w:vAlign w:val="center"/>
                </w:tcPr>
                <w:p w14:paraId="586767D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化学药剂存储区、浓水池</w:t>
                  </w:r>
                </w:p>
              </w:tc>
              <w:tc>
                <w:tcPr>
                  <w:tcW w:w="2581" w:type="pct"/>
                  <w:noWrap w:val="0"/>
                  <w:vAlign w:val="center"/>
                </w:tcPr>
                <w:p w14:paraId="2BC2E2E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eastAsia"/>
                      <w:color w:val="auto"/>
                      <w:highlight w:val="none"/>
                      <w:lang w:val="en-US" w:eastAsia="zh-CN"/>
                    </w:rPr>
                    <w:t>等效黏土防渗层Mb≥6.0m，渗透系数K≤1.0×10</w:t>
                  </w:r>
                  <w:r>
                    <w:rPr>
                      <w:rFonts w:hint="eastAsia"/>
                      <w:color w:val="auto"/>
                      <w:highlight w:val="none"/>
                      <w:vertAlign w:val="superscript"/>
                      <w:lang w:val="en-US" w:eastAsia="zh-CN"/>
                    </w:rPr>
                    <w:t>-7</w:t>
                  </w:r>
                  <w:r>
                    <w:rPr>
                      <w:rFonts w:hint="eastAsia"/>
                      <w:color w:val="auto"/>
                      <w:highlight w:val="none"/>
                      <w:lang w:val="en-US" w:eastAsia="zh-CN"/>
                    </w:rPr>
                    <w:t>cm/s。</w:t>
                  </w:r>
                </w:p>
              </w:tc>
            </w:tr>
            <w:tr w14:paraId="3488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2" w:type="pct"/>
                  <w:noWrap w:val="0"/>
                  <w:vAlign w:val="center"/>
                </w:tcPr>
                <w:p w14:paraId="48D7C01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highlight w:val="none"/>
                      <w:lang w:val="en-US" w:eastAsia="zh-CN"/>
                    </w:rPr>
                  </w:pPr>
                  <w:r>
                    <w:rPr>
                      <w:rFonts w:hint="eastAsia"/>
                      <w:color w:val="auto"/>
                      <w:highlight w:val="none"/>
                      <w:lang w:val="en-US" w:eastAsia="zh-CN"/>
                    </w:rPr>
                    <w:t>2</w:t>
                  </w:r>
                </w:p>
              </w:tc>
              <w:tc>
                <w:tcPr>
                  <w:tcW w:w="965" w:type="pct"/>
                  <w:noWrap w:val="0"/>
                  <w:vAlign w:val="center"/>
                </w:tcPr>
                <w:p w14:paraId="6EEC37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eastAsia"/>
                      <w:color w:val="auto"/>
                      <w:highlight w:val="none"/>
                      <w:lang w:val="en-US" w:eastAsia="zh-CN"/>
                    </w:rPr>
                    <w:t>一般防渗区</w:t>
                  </w:r>
                </w:p>
              </w:tc>
              <w:tc>
                <w:tcPr>
                  <w:tcW w:w="1009" w:type="pct"/>
                  <w:noWrap w:val="0"/>
                  <w:vAlign w:val="center"/>
                </w:tcPr>
                <w:p w14:paraId="46132D6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lang w:val="en-US" w:eastAsia="zh-CN"/>
                    </w:rPr>
                  </w:pPr>
                  <w:r>
                    <w:rPr>
                      <w:rFonts w:hint="default"/>
                      <w:color w:val="auto"/>
                      <w:highlight w:val="none"/>
                      <w:lang w:val="en-US" w:eastAsia="zh-CN"/>
                    </w:rPr>
                    <w:t>脱硫区（脱硫塔、循环水池）、一般固废暂存间、锅炉房地面、纯水制备区，</w:t>
                  </w:r>
                </w:p>
              </w:tc>
              <w:tc>
                <w:tcPr>
                  <w:tcW w:w="2581" w:type="pct"/>
                  <w:noWrap w:val="0"/>
                  <w:vAlign w:val="center"/>
                </w:tcPr>
                <w:p w14:paraId="2972D7D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olor w:val="auto"/>
                      <w:highlight w:val="none"/>
                    </w:rPr>
                  </w:pPr>
                  <w:r>
                    <w:rPr>
                      <w:rFonts w:hint="eastAsia"/>
                      <w:color w:val="auto"/>
                      <w:highlight w:val="none"/>
                      <w:lang w:val="en-US" w:eastAsia="zh-CN"/>
                    </w:rPr>
                    <w:t>采用Mb≥1.5m，渗透系数K≤1.0×10</w:t>
                  </w:r>
                  <w:r>
                    <w:rPr>
                      <w:rFonts w:hint="eastAsia"/>
                      <w:color w:val="auto"/>
                      <w:highlight w:val="none"/>
                      <w:vertAlign w:val="superscript"/>
                      <w:lang w:val="en-US" w:eastAsia="zh-CN"/>
                    </w:rPr>
                    <w:t>-7</w:t>
                  </w:r>
                  <w:r>
                    <w:rPr>
                      <w:rFonts w:hint="eastAsia"/>
                      <w:color w:val="auto"/>
                      <w:highlight w:val="none"/>
                      <w:lang w:val="en-US" w:eastAsia="zh-CN"/>
                    </w:rPr>
                    <w:t>cm/s。</w:t>
                  </w:r>
                </w:p>
              </w:tc>
            </w:tr>
          </w:tbl>
          <w:p w14:paraId="7AF4C0B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本项目投产运营后，通过落实各项环保治理措施，杜绝各种污水下渗造成的污染。本项目建设对地下水、土壤环境影响较小。</w:t>
            </w:r>
          </w:p>
          <w:p w14:paraId="05836F41">
            <w:pPr>
              <w:adjustRightInd w:val="0"/>
              <w:snapToGrid w:val="0"/>
              <w:rPr>
                <w:rFonts w:hint="default" w:ascii="Times New Roman" w:hAnsi="Times New Roman" w:cs="Times New Roman"/>
                <w:b/>
                <w:bCs w:val="0"/>
                <w:color w:val="auto"/>
                <w:spacing w:val="-10"/>
                <w:sz w:val="24"/>
                <w:szCs w:val="24"/>
                <w:highlight w:val="none"/>
                <w:lang w:val="en-US" w:eastAsia="zh-CN"/>
              </w:rPr>
            </w:pPr>
            <w:r>
              <w:rPr>
                <w:rFonts w:hint="default" w:ascii="Times New Roman" w:hAnsi="Times New Roman" w:cs="Times New Roman"/>
                <w:b/>
                <w:bCs w:val="0"/>
                <w:color w:val="auto"/>
                <w:spacing w:val="-10"/>
                <w:sz w:val="24"/>
                <w:szCs w:val="24"/>
                <w:highlight w:val="none"/>
                <w:lang w:val="en-US" w:eastAsia="zh-CN"/>
              </w:rPr>
              <w:t>六、环境风险</w:t>
            </w:r>
          </w:p>
          <w:p w14:paraId="39BD436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1、环境风险潜势初判</w:t>
            </w:r>
          </w:p>
          <w:p w14:paraId="70FADED7">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根据《建设项目环境风险评价技术导则》（HJ169-2018）附录B作为识别标准，本项目不涉及环境风险物质。（Q）=0（＜1），不存在重大风险源。</w:t>
            </w:r>
          </w:p>
          <w:p w14:paraId="5B8D84AE">
            <w:p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2、拟采取的防范措施</w:t>
            </w:r>
          </w:p>
          <w:p w14:paraId="58ED98A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项目拟依托厂区现有的风险防范措施：</w:t>
            </w:r>
          </w:p>
          <w:p w14:paraId="4F40ED7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企业已制定应急预案，配备了足够的应急设施，并进行定期演练；</w:t>
            </w:r>
          </w:p>
          <w:p w14:paraId="6EADE34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2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厂区目前已按照《建筑设计防火规范》（GBJ16-87）设防，建设了完善的消防系统，包括应急、消防栓及灭火器等，消防系统采用消火栓，可覆盖整个厂区，生产车间、锅炉房等均配置已配置灭火器；</w:t>
            </w:r>
          </w:p>
          <w:p w14:paraId="1B629E1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3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厂区制定了严格的应急管理体系，对物料进行严格管理，防止发生泄露等，并定期对厂内锅炉房、电路等进行检修，维护锅炉及用电安全；</w:t>
            </w:r>
          </w:p>
          <w:p w14:paraId="3DBCC39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环评在上述措施的前提下，建议企业在燃料储存区位置设立严禁烟火、禁火区等警戒标语和标牌。禁止携带火种进入厂区内，从源头减小火灾风险。企业只要严格执行国家有关法律法规，落实各项安全措施，做好防火工作，确保安全生产，造成环境污染的安全、环境事故的概率很低。项目单位应采取得当的风险防范措施，并按要求修订切实可行的应急预案，在采取各项降低风险措施前提下，项目环境风险可接受。</w:t>
            </w:r>
          </w:p>
          <w:p w14:paraId="45BA0A86">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七</w:t>
            </w:r>
            <w:r>
              <w:rPr>
                <w:rFonts w:hint="default" w:ascii="Times New Roman" w:hAnsi="Times New Roman" w:cs="Times New Roman"/>
                <w:b/>
                <w:bCs/>
                <w:color w:val="auto"/>
                <w:highlight w:val="none"/>
              </w:rPr>
              <w:t>、环保投资</w:t>
            </w:r>
          </w:p>
          <w:p w14:paraId="22F1AA2F">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本项目总投资</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700</w:t>
            </w:r>
            <w:r>
              <w:rPr>
                <w:rFonts w:hint="default" w:ascii="Times New Roman" w:hAnsi="Times New Roman" w:cs="Times New Roman"/>
                <w:color w:val="auto"/>
                <w:highlight w:val="none"/>
              </w:rPr>
              <w:t>万元，其中环保总投资</w:t>
            </w:r>
            <w:r>
              <w:rPr>
                <w:rFonts w:hint="default" w:ascii="Times New Roman" w:hAnsi="Times New Roman" w:cs="Times New Roman"/>
                <w:color w:val="auto"/>
                <w:highlight w:val="none"/>
                <w:lang w:val="en-US" w:eastAsia="zh-CN"/>
              </w:rPr>
              <w:t>732</w:t>
            </w:r>
            <w:r>
              <w:rPr>
                <w:rFonts w:hint="default" w:ascii="Times New Roman" w:hAnsi="Times New Roman" w:cs="Times New Roman"/>
                <w:color w:val="auto"/>
                <w:highlight w:val="none"/>
              </w:rPr>
              <w:t>万元，环保投资占投资总额的</w:t>
            </w:r>
            <w:r>
              <w:rPr>
                <w:rFonts w:hint="eastAsia" w:cs="Times New Roman"/>
                <w:color w:val="auto"/>
                <w:highlight w:val="none"/>
                <w:lang w:val="en-US" w:eastAsia="zh-CN"/>
              </w:rPr>
              <w:t>27.11%</w:t>
            </w:r>
            <w:r>
              <w:rPr>
                <w:rFonts w:hint="default" w:ascii="Times New Roman" w:hAnsi="Times New Roman" w:cs="Times New Roman"/>
                <w:color w:val="auto"/>
                <w:highlight w:val="none"/>
              </w:rPr>
              <w:t>，环保治理措施及环保投资见下表：</w:t>
            </w:r>
          </w:p>
          <w:p w14:paraId="0286F501">
            <w:pPr>
              <w:bidi w:val="0"/>
              <w:jc w:val="center"/>
              <w:rPr>
                <w:rFonts w:hint="default"/>
                <w:b/>
                <w:bCs/>
                <w:color w:val="auto"/>
                <w:highlight w:val="none"/>
              </w:rPr>
            </w:pPr>
            <w:r>
              <w:rPr>
                <w:rFonts w:hint="default"/>
                <w:b/>
                <w:bCs/>
                <w:color w:val="auto"/>
                <w:highlight w:val="none"/>
              </w:rPr>
              <w:t>表</w:t>
            </w:r>
            <w:r>
              <w:rPr>
                <w:rFonts w:hint="default"/>
                <w:b/>
                <w:bCs/>
                <w:color w:val="auto"/>
                <w:highlight w:val="none"/>
                <w:lang w:val="en-US" w:eastAsia="zh-CN"/>
              </w:rPr>
              <w:t>4-</w:t>
            </w:r>
            <w:r>
              <w:rPr>
                <w:rFonts w:hint="eastAsia"/>
                <w:b/>
                <w:bCs/>
                <w:color w:val="auto"/>
                <w:highlight w:val="none"/>
                <w:lang w:val="en-US" w:eastAsia="zh-CN"/>
              </w:rPr>
              <w:t>7</w:t>
            </w:r>
            <w:r>
              <w:rPr>
                <w:rFonts w:hint="default"/>
                <w:b/>
                <w:bCs/>
                <w:color w:val="auto"/>
                <w:highlight w:val="none"/>
              </w:rPr>
              <w:t>环保投资一览表</w:t>
            </w:r>
          </w:p>
          <w:tbl>
            <w:tblPr>
              <w:tblStyle w:val="64"/>
              <w:tblW w:w="497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3209"/>
              <w:gridCol w:w="2738"/>
              <w:gridCol w:w="1179"/>
            </w:tblGrid>
            <w:tr w14:paraId="728D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4" w:hRule="atLeast"/>
              </w:trPr>
              <w:tc>
                <w:tcPr>
                  <w:tcW w:w="488" w:type="pct"/>
                  <w:tcBorders>
                    <w:tl2br w:val="nil"/>
                    <w:tr2bl w:val="nil"/>
                  </w:tcBorders>
                  <w:shd w:val="clear" w:color="auto" w:fill="FFFFFF"/>
                  <w:noWrap w:val="0"/>
                  <w:vAlign w:val="center"/>
                </w:tcPr>
                <w:p w14:paraId="61BE9B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w:t>
                  </w:r>
                </w:p>
              </w:tc>
              <w:tc>
                <w:tcPr>
                  <w:tcW w:w="2031" w:type="pct"/>
                  <w:tcBorders>
                    <w:tl2br w:val="nil"/>
                    <w:tr2bl w:val="nil"/>
                  </w:tcBorders>
                  <w:shd w:val="clear" w:color="auto" w:fill="FFFFFF"/>
                  <w:noWrap w:val="0"/>
                  <w:vAlign w:val="center"/>
                </w:tcPr>
                <w:p w14:paraId="7AB6A1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环保设施及处理规模</w:t>
                  </w:r>
                </w:p>
              </w:tc>
              <w:tc>
                <w:tcPr>
                  <w:tcW w:w="1733" w:type="pct"/>
                  <w:tcBorders>
                    <w:tl2br w:val="nil"/>
                    <w:tr2bl w:val="nil"/>
                  </w:tcBorders>
                  <w:shd w:val="clear" w:color="auto" w:fill="FFFFFF"/>
                  <w:noWrap w:val="0"/>
                  <w:vAlign w:val="center"/>
                </w:tcPr>
                <w:p w14:paraId="6E9A18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治理效果</w:t>
                  </w:r>
                </w:p>
              </w:tc>
              <w:tc>
                <w:tcPr>
                  <w:tcW w:w="746" w:type="pct"/>
                  <w:tcBorders>
                    <w:tl2br w:val="nil"/>
                    <w:tr2bl w:val="nil"/>
                  </w:tcBorders>
                  <w:shd w:val="clear" w:color="auto" w:fill="FFFFFF"/>
                  <w:noWrap w:val="0"/>
                  <w:vAlign w:val="center"/>
                </w:tcPr>
                <w:p w14:paraId="2B7552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环保投资（万元）</w:t>
                  </w:r>
                </w:p>
              </w:tc>
            </w:tr>
            <w:tr w14:paraId="1746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88" w:type="pct"/>
                  <w:vMerge w:val="restart"/>
                  <w:tcBorders>
                    <w:tl2br w:val="nil"/>
                    <w:tr2bl w:val="nil"/>
                  </w:tcBorders>
                  <w:noWrap w:val="0"/>
                  <w:vAlign w:val="center"/>
                </w:tcPr>
                <w:p w14:paraId="010E6D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废气</w:t>
                  </w:r>
                </w:p>
              </w:tc>
              <w:tc>
                <w:tcPr>
                  <w:tcW w:w="2031" w:type="pct"/>
                  <w:tcBorders>
                    <w:tl2br w:val="nil"/>
                    <w:tr2bl w:val="nil"/>
                  </w:tcBorders>
                  <w:noWrap w:val="0"/>
                  <w:vAlign w:val="center"/>
                </w:tcPr>
                <w:p w14:paraId="51AD58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SNCR＋SCR联合法脱硝+布袋除尘器处理+双碱法脱硫</w:t>
                  </w:r>
                </w:p>
              </w:tc>
              <w:tc>
                <w:tcPr>
                  <w:tcW w:w="1733" w:type="pct"/>
                  <w:tcBorders>
                    <w:tl2br w:val="nil"/>
                    <w:tr2bl w:val="nil"/>
                  </w:tcBorders>
                  <w:noWrap w:val="0"/>
                  <w:vAlign w:val="center"/>
                </w:tcPr>
                <w:p w14:paraId="6AE062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《锅炉大气污染物排放标准》（GB13271-2014）中表</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大气污染物</w:t>
                  </w:r>
                  <w:r>
                    <w:rPr>
                      <w:rFonts w:hint="default" w:ascii="Times New Roman" w:hAnsi="Times New Roman" w:cs="Times New Roman"/>
                      <w:color w:val="auto"/>
                      <w:highlight w:val="none"/>
                      <w:lang w:val="en-US" w:eastAsia="zh-CN"/>
                    </w:rPr>
                    <w:t>特别</w:t>
                  </w:r>
                  <w:r>
                    <w:rPr>
                      <w:rFonts w:hint="default" w:ascii="Times New Roman" w:hAnsi="Times New Roman" w:cs="Times New Roman"/>
                      <w:color w:val="auto"/>
                      <w:highlight w:val="none"/>
                    </w:rPr>
                    <w:t>排放限值要求</w:t>
                  </w:r>
                </w:p>
              </w:tc>
              <w:tc>
                <w:tcPr>
                  <w:tcW w:w="746" w:type="pct"/>
                  <w:tcBorders>
                    <w:tl2br w:val="nil"/>
                    <w:tr2bl w:val="nil"/>
                  </w:tcBorders>
                  <w:noWrap w:val="0"/>
                  <w:vAlign w:val="center"/>
                </w:tcPr>
                <w:p w14:paraId="1DB1BC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600</w:t>
                  </w:r>
                </w:p>
              </w:tc>
            </w:tr>
            <w:tr w14:paraId="50FE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5" w:hRule="atLeast"/>
              </w:trPr>
              <w:tc>
                <w:tcPr>
                  <w:tcW w:w="488" w:type="pct"/>
                  <w:vMerge w:val="continue"/>
                  <w:tcBorders>
                    <w:tl2br w:val="nil"/>
                    <w:tr2bl w:val="nil"/>
                  </w:tcBorders>
                  <w:noWrap w:val="0"/>
                  <w:vAlign w:val="center"/>
                </w:tcPr>
                <w:p w14:paraId="5B7789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2031" w:type="pct"/>
                  <w:tcBorders>
                    <w:tl2br w:val="nil"/>
                    <w:tr2bl w:val="nil"/>
                  </w:tcBorders>
                  <w:noWrap w:val="0"/>
                  <w:vAlign w:val="center"/>
                </w:tcPr>
                <w:p w14:paraId="79DE82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安装烟气连续在线监测装置</w:t>
                  </w:r>
                  <w:r>
                    <w:rPr>
                      <w:rFonts w:hint="default" w:ascii="Times New Roman" w:hAnsi="Times New Roman" w:cs="Times New Roman"/>
                      <w:color w:val="auto"/>
                      <w:highlight w:val="none"/>
                      <w:lang w:eastAsia="zh-CN"/>
                    </w:rPr>
                    <w:t>（二氧化硫、氮氧化物、氧含量、烟气流速、烟气温度、烟气含湿量、烟气量）</w:t>
                  </w:r>
                </w:p>
              </w:tc>
              <w:tc>
                <w:tcPr>
                  <w:tcW w:w="1733" w:type="pct"/>
                  <w:tcBorders>
                    <w:tl2br w:val="nil"/>
                    <w:tr2bl w:val="nil"/>
                  </w:tcBorders>
                  <w:noWrap w:val="0"/>
                  <w:vAlign w:val="center"/>
                </w:tcPr>
                <w:p w14:paraId="5BF893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零废液产生，绿色环保</w:t>
                  </w:r>
                </w:p>
              </w:tc>
              <w:tc>
                <w:tcPr>
                  <w:tcW w:w="746" w:type="pct"/>
                  <w:tcBorders>
                    <w:tl2br w:val="nil"/>
                    <w:tr2bl w:val="nil"/>
                  </w:tcBorders>
                  <w:noWrap w:val="0"/>
                  <w:vAlign w:val="center"/>
                </w:tcPr>
                <w:p w14:paraId="6B43EA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0</w:t>
                  </w:r>
                </w:p>
              </w:tc>
            </w:tr>
            <w:tr w14:paraId="6D83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88" w:type="pct"/>
                  <w:tcBorders>
                    <w:tl2br w:val="nil"/>
                    <w:tr2bl w:val="nil"/>
                  </w:tcBorders>
                  <w:noWrap w:val="0"/>
                  <w:vAlign w:val="center"/>
                </w:tcPr>
                <w:p w14:paraId="5D04A7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2031" w:type="pct"/>
                  <w:tcBorders>
                    <w:tl2br w:val="nil"/>
                    <w:tr2bl w:val="nil"/>
                  </w:tcBorders>
                  <w:noWrap w:val="0"/>
                  <w:vAlign w:val="center"/>
                </w:tcPr>
                <w:p w14:paraId="3E2FF01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锅炉系统排污废水：</w:t>
                  </w:r>
                  <w:r>
                    <w:rPr>
                      <w:rFonts w:hint="eastAsia" w:ascii="Times New Roman" w:hAnsi="Times New Roman" w:cs="Times New Roman"/>
                      <w:color w:val="auto"/>
                      <w:highlight w:val="none"/>
                      <w:lang w:val="en-US" w:eastAsia="zh-CN"/>
                    </w:rPr>
                    <w:t>回用于脱硫系统补水</w:t>
                  </w:r>
                  <w:r>
                    <w:rPr>
                      <w:rFonts w:hint="default" w:ascii="Times New Roman" w:hAnsi="Times New Roman" w:cs="Times New Roman"/>
                      <w:color w:val="auto"/>
                      <w:highlight w:val="none"/>
                      <w:lang w:val="en-US" w:eastAsia="zh-CN"/>
                    </w:rPr>
                    <w:t>。</w:t>
                  </w:r>
                </w:p>
                <w:p w14:paraId="3A198E9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软化水系统排污废水浓水池（100m³）暂存后，定期交由有浓水处理资质的单位进行处置。</w:t>
                  </w:r>
                </w:p>
                <w:p w14:paraId="044FFA8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脱硝系统废水：全部蒸发散失。</w:t>
                  </w:r>
                </w:p>
                <w:p w14:paraId="02C09CA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脱硫系统排污废水：循环使用不外排。</w:t>
                  </w:r>
                </w:p>
              </w:tc>
              <w:tc>
                <w:tcPr>
                  <w:tcW w:w="1733" w:type="pct"/>
                  <w:tcBorders>
                    <w:tl2br w:val="nil"/>
                    <w:tr2bl w:val="nil"/>
                  </w:tcBorders>
                  <w:noWrap w:val="0"/>
                  <w:vAlign w:val="center"/>
                </w:tcPr>
                <w:p w14:paraId="6A6B3F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746" w:type="pct"/>
                  <w:tcBorders>
                    <w:tl2br w:val="nil"/>
                    <w:tr2bl w:val="nil"/>
                  </w:tcBorders>
                  <w:noWrap w:val="0"/>
                  <w:vAlign w:val="center"/>
                </w:tcPr>
                <w:p w14:paraId="52A12C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r>
            <w:tr w14:paraId="089B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6" w:hRule="atLeast"/>
              </w:trPr>
              <w:tc>
                <w:tcPr>
                  <w:tcW w:w="488" w:type="pct"/>
                  <w:tcBorders>
                    <w:tl2br w:val="nil"/>
                    <w:tr2bl w:val="nil"/>
                  </w:tcBorders>
                  <w:noWrap w:val="0"/>
                  <w:vAlign w:val="center"/>
                </w:tcPr>
                <w:p w14:paraId="7901FD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2031" w:type="pct"/>
                  <w:tcBorders>
                    <w:tl2br w:val="nil"/>
                    <w:tr2bl w:val="nil"/>
                  </w:tcBorders>
                  <w:noWrap w:val="0"/>
                  <w:vAlign w:val="center"/>
                </w:tcPr>
                <w:p w14:paraId="42C0AA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优先选购低噪声设备，针对主要高噪声设备采取减振、隔声、消声等降噪措施</w:t>
                  </w:r>
                </w:p>
              </w:tc>
              <w:tc>
                <w:tcPr>
                  <w:tcW w:w="1733" w:type="pct"/>
                  <w:tcBorders>
                    <w:tl2br w:val="nil"/>
                    <w:tr2bl w:val="nil"/>
                  </w:tcBorders>
                  <w:noWrap w:val="0"/>
                  <w:vAlign w:val="center"/>
                </w:tcPr>
                <w:p w14:paraId="70AE652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厂界满足《工业企业厂界环境噪声排放标准》（GB12348-2008）中</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类区标准要求</w:t>
                  </w:r>
                </w:p>
              </w:tc>
              <w:tc>
                <w:tcPr>
                  <w:tcW w:w="746" w:type="pct"/>
                  <w:tcBorders>
                    <w:tl2br w:val="nil"/>
                    <w:tr2bl w:val="nil"/>
                  </w:tcBorders>
                  <w:noWrap w:val="0"/>
                  <w:vAlign w:val="center"/>
                </w:tcPr>
                <w:p w14:paraId="55824A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w:t>
                  </w:r>
                </w:p>
              </w:tc>
            </w:tr>
            <w:tr w14:paraId="103B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488" w:type="pct"/>
                  <w:vMerge w:val="restart"/>
                  <w:tcBorders>
                    <w:tl2br w:val="nil"/>
                    <w:tr2bl w:val="nil"/>
                  </w:tcBorders>
                  <w:noWrap w:val="0"/>
                  <w:vAlign w:val="center"/>
                </w:tcPr>
                <w:p w14:paraId="07E20DE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固体废物</w:t>
                  </w:r>
                </w:p>
              </w:tc>
              <w:tc>
                <w:tcPr>
                  <w:tcW w:w="2031" w:type="pct"/>
                  <w:tcBorders>
                    <w:tl2br w:val="nil"/>
                    <w:tr2bl w:val="nil"/>
                  </w:tcBorders>
                  <w:noWrap w:val="0"/>
                  <w:vAlign w:val="center"/>
                </w:tcPr>
                <w:p w14:paraId="75123DE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锅炉炉渣、</w:t>
                  </w:r>
                  <w:r>
                    <w:rPr>
                      <w:rFonts w:hint="eastAsia" w:ascii="Times New Roman" w:hAnsi="Times New Roman" w:cs="Times New Roman"/>
                      <w:color w:val="auto"/>
                      <w:highlight w:val="none"/>
                      <w:lang w:val="en-US" w:eastAsia="zh-CN"/>
                    </w:rPr>
                    <w:t>脱硫石膏、</w:t>
                  </w:r>
                  <w:r>
                    <w:rPr>
                      <w:rFonts w:hint="default" w:ascii="Times New Roman" w:hAnsi="Times New Roman" w:cs="Times New Roman"/>
                      <w:color w:val="auto"/>
                      <w:highlight w:val="none"/>
                      <w:lang w:val="en-US" w:eastAsia="zh-CN"/>
                    </w:rPr>
                    <w:t>除尘灰暂存至一般固废暂存间内，定期拉运至</w:t>
                  </w:r>
                  <w:r>
                    <w:rPr>
                      <w:rFonts w:hint="eastAsia" w:cs="Times New Roman"/>
                      <w:color w:val="auto"/>
                      <w:highlight w:val="none"/>
                      <w:lang w:val="en-US" w:eastAsia="zh-CN"/>
                    </w:rPr>
                    <w:t>《鄂尔多斯市东胜区环保管理有限公司东胜区东部一般工业固体废物综合利用项目》进行处理</w:t>
                  </w:r>
                  <w:r>
                    <w:rPr>
                      <w:rFonts w:hint="default" w:ascii="Times New Roman" w:hAnsi="Times New Roman" w:cs="Times New Roman"/>
                      <w:color w:val="auto"/>
                      <w:highlight w:val="none"/>
                      <w:lang w:val="en-US" w:eastAsia="zh-CN"/>
                    </w:rPr>
                    <w:t>。产生的废离子交换树脂由厂家定期回收处置，不在厂区内暂存。</w:t>
                  </w:r>
                </w:p>
              </w:tc>
              <w:tc>
                <w:tcPr>
                  <w:tcW w:w="1733" w:type="pct"/>
                  <w:tcBorders>
                    <w:tl2br w:val="nil"/>
                    <w:tr2bl w:val="nil"/>
                  </w:tcBorders>
                  <w:noWrap w:val="0"/>
                  <w:vAlign w:val="center"/>
                </w:tcPr>
                <w:p w14:paraId="0FDB4B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综合利用率100%</w:t>
                  </w:r>
                </w:p>
              </w:tc>
              <w:tc>
                <w:tcPr>
                  <w:tcW w:w="746" w:type="pct"/>
                  <w:tcBorders>
                    <w:tl2br w:val="nil"/>
                    <w:tr2bl w:val="nil"/>
                  </w:tcBorders>
                  <w:noWrap w:val="0"/>
                  <w:vAlign w:val="center"/>
                </w:tcPr>
                <w:p w14:paraId="3B017B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38D5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4" w:hRule="atLeast"/>
              </w:trPr>
              <w:tc>
                <w:tcPr>
                  <w:tcW w:w="488" w:type="pct"/>
                  <w:vMerge w:val="continue"/>
                  <w:tcBorders>
                    <w:tl2br w:val="nil"/>
                    <w:tr2bl w:val="nil"/>
                  </w:tcBorders>
                  <w:noWrap w:val="0"/>
                  <w:vAlign w:val="center"/>
                </w:tcPr>
                <w:p w14:paraId="45BD71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rPr>
                  </w:pPr>
                </w:p>
              </w:tc>
              <w:tc>
                <w:tcPr>
                  <w:tcW w:w="2031" w:type="pct"/>
                  <w:tcBorders>
                    <w:tl2br w:val="nil"/>
                    <w:tr2bl w:val="nil"/>
                  </w:tcBorders>
                  <w:noWrap w:val="0"/>
                  <w:vAlign w:val="center"/>
                </w:tcPr>
                <w:p w14:paraId="07358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废矿物油、废油桶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废催化剂</w:t>
                  </w:r>
                  <w:r>
                    <w:rPr>
                      <w:rFonts w:hint="default" w:ascii="Times New Roman" w:hAnsi="Times New Roman" w:cs="Times New Roman"/>
                      <w:color w:val="auto"/>
                      <w:highlight w:val="none"/>
                    </w:rPr>
                    <w:t>暂存于</w:t>
                  </w:r>
                  <w:r>
                    <w:rPr>
                      <w:rFonts w:hint="default" w:ascii="Times New Roman" w:hAnsi="Times New Roman" w:cs="Times New Roman"/>
                      <w:color w:val="auto"/>
                      <w:highlight w:val="none"/>
                      <w:lang w:val="en-US" w:eastAsia="zh-CN"/>
                    </w:rPr>
                    <w:t>选煤厂</w:t>
                  </w:r>
                  <w:r>
                    <w:rPr>
                      <w:rFonts w:hint="default" w:ascii="Times New Roman" w:hAnsi="Times New Roman" w:cs="Times New Roman"/>
                      <w:color w:val="auto"/>
                      <w:highlight w:val="none"/>
                    </w:rPr>
                    <w:t>现有危险废物暂存间，定期</w:t>
                  </w:r>
                  <w:r>
                    <w:rPr>
                      <w:rFonts w:hint="default" w:ascii="Times New Roman" w:hAnsi="Times New Roman" w:cs="Times New Roman"/>
                      <w:color w:val="auto"/>
                      <w:highlight w:val="none"/>
                      <w:lang w:eastAsia="zh-CN"/>
                    </w:rPr>
                    <w:t>交由</w:t>
                  </w:r>
                  <w:r>
                    <w:rPr>
                      <w:rFonts w:hint="default" w:ascii="Times New Roman" w:hAnsi="Times New Roman" w:cs="Times New Roman"/>
                      <w:color w:val="auto"/>
                      <w:highlight w:val="none"/>
                    </w:rPr>
                    <w:t>资质单位处置</w:t>
                  </w:r>
                </w:p>
              </w:tc>
              <w:tc>
                <w:tcPr>
                  <w:tcW w:w="1733" w:type="pct"/>
                  <w:tcBorders>
                    <w:tl2br w:val="nil"/>
                    <w:tr2bl w:val="nil"/>
                  </w:tcBorders>
                  <w:noWrap w:val="0"/>
                  <w:vAlign w:val="center"/>
                </w:tcPr>
                <w:p w14:paraId="0D72C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危废管理台账和转移联单</w:t>
                  </w:r>
                </w:p>
              </w:tc>
              <w:tc>
                <w:tcPr>
                  <w:tcW w:w="746" w:type="pct"/>
                  <w:tcBorders>
                    <w:tl2br w:val="nil"/>
                    <w:tr2bl w:val="nil"/>
                  </w:tcBorders>
                  <w:noWrap w:val="0"/>
                  <w:vAlign w:val="center"/>
                </w:tcPr>
                <w:p w14:paraId="758E9C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r>
            <w:tr w14:paraId="54CC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253" w:type="pct"/>
                  <w:gridSpan w:val="3"/>
                  <w:tcBorders>
                    <w:tl2br w:val="nil"/>
                    <w:tr2bl w:val="nil"/>
                  </w:tcBorders>
                  <w:noWrap w:val="0"/>
                  <w:vAlign w:val="center"/>
                </w:tcPr>
                <w:p w14:paraId="0411C1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合计</w:t>
                  </w:r>
                </w:p>
              </w:tc>
              <w:tc>
                <w:tcPr>
                  <w:tcW w:w="746" w:type="pct"/>
                  <w:tcBorders>
                    <w:tl2br w:val="nil"/>
                    <w:tr2bl w:val="nil"/>
                  </w:tcBorders>
                  <w:noWrap w:val="0"/>
                  <w:vAlign w:val="center"/>
                </w:tcPr>
                <w:p w14:paraId="4345BF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sum(D2:D11)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732</w:t>
                  </w:r>
                  <w:r>
                    <w:rPr>
                      <w:rFonts w:hint="default" w:ascii="Times New Roman" w:hAnsi="Times New Roman" w:cs="Times New Roman"/>
                      <w:color w:val="auto"/>
                      <w:highlight w:val="none"/>
                      <w:lang w:val="en-US" w:eastAsia="zh-CN"/>
                    </w:rPr>
                    <w:fldChar w:fldCharType="end"/>
                  </w:r>
                </w:p>
              </w:tc>
            </w:tr>
          </w:tbl>
          <w:p w14:paraId="0A8CF25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本项目通过环保投资，使项目产生的“三废”得到有效治理，明显减少了环境污染，降低了其对周围环境的危害，达到了保护环境的最终目标。</w:t>
            </w:r>
          </w:p>
        </w:tc>
      </w:tr>
    </w:tbl>
    <w:p w14:paraId="2B6C705D">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A912674">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五、</w:t>
      </w:r>
      <w:bookmarkStart w:id="3" w:name="_Hlk54167917"/>
      <w:r>
        <w:rPr>
          <w:rFonts w:hint="default" w:ascii="Times New Roman" w:hAnsi="Times New Roman" w:eastAsia="黑体" w:cs="Times New Roman"/>
          <w:snapToGrid w:val="0"/>
          <w:color w:val="auto"/>
          <w:sz w:val="30"/>
          <w:szCs w:val="30"/>
          <w:highlight w:val="none"/>
        </w:rPr>
        <w:t>环境保护措施监督检查清单</w:t>
      </w:r>
      <w:bookmarkEnd w:id="3"/>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43C5B3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noWrap w:val="0"/>
            <w:vAlign w:val="top"/>
          </w:tcPr>
          <w:p w14:paraId="364A0886">
            <w:pPr>
              <w:keepNext w:val="0"/>
              <w:keepLines w:val="0"/>
              <w:pageBreakBefore w:val="0"/>
              <w:widowControl w:val="0"/>
              <w:kinsoku/>
              <w:wordWrap/>
              <w:overflowPunct/>
              <w:topLinePunct w:val="0"/>
              <w:autoSpaceDE/>
              <w:autoSpaceDN/>
              <w:bidi w:val="0"/>
              <w:adjustRightInd w:val="0"/>
              <w:snapToGrid w:val="0"/>
              <w:spacing w:line="240" w:lineRule="auto"/>
              <w:ind w:firstLine="960" w:firstLineChars="4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内容</w:t>
            </w:r>
          </w:p>
          <w:p w14:paraId="740280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要素</w:t>
            </w:r>
          </w:p>
        </w:tc>
        <w:tc>
          <w:tcPr>
            <w:tcW w:w="1755" w:type="dxa"/>
            <w:noWrap w:val="0"/>
            <w:vAlign w:val="center"/>
          </w:tcPr>
          <w:p w14:paraId="6DC916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排放口</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编号、名称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污染源</w:t>
            </w:r>
          </w:p>
        </w:tc>
        <w:tc>
          <w:tcPr>
            <w:tcW w:w="1755" w:type="dxa"/>
            <w:noWrap w:val="0"/>
            <w:vAlign w:val="center"/>
          </w:tcPr>
          <w:p w14:paraId="018666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污染物项目</w:t>
            </w:r>
          </w:p>
        </w:tc>
        <w:tc>
          <w:tcPr>
            <w:tcW w:w="1755" w:type="dxa"/>
            <w:noWrap w:val="0"/>
            <w:vAlign w:val="center"/>
          </w:tcPr>
          <w:p w14:paraId="74D54F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环境保护措施</w:t>
            </w:r>
          </w:p>
        </w:tc>
        <w:tc>
          <w:tcPr>
            <w:tcW w:w="1757" w:type="dxa"/>
            <w:noWrap w:val="0"/>
            <w:vAlign w:val="center"/>
          </w:tcPr>
          <w:p w14:paraId="605D39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执行标准</w:t>
            </w:r>
          </w:p>
        </w:tc>
      </w:tr>
      <w:tr w14:paraId="449599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26E813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大气环境</w:t>
            </w:r>
          </w:p>
        </w:tc>
        <w:tc>
          <w:tcPr>
            <w:tcW w:w="1755" w:type="dxa"/>
            <w:noWrap w:val="0"/>
            <w:vAlign w:val="center"/>
          </w:tcPr>
          <w:p w14:paraId="5DAE8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锅炉排气烟囱</w:t>
            </w:r>
          </w:p>
        </w:tc>
        <w:tc>
          <w:tcPr>
            <w:tcW w:w="1755" w:type="dxa"/>
            <w:noWrap w:val="0"/>
            <w:vAlign w:val="center"/>
          </w:tcPr>
          <w:p w14:paraId="605684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olor w:val="auto"/>
                <w:szCs w:val="21"/>
                <w:highlight w:val="none"/>
              </w:rPr>
              <w:t>颗粒物、二氧化硫、氮氧化物、</w:t>
            </w:r>
            <w:r>
              <w:rPr>
                <w:rFonts w:hint="eastAsia"/>
                <w:color w:val="auto"/>
                <w:highlight w:val="none"/>
              </w:rPr>
              <w:t>汞</w:t>
            </w:r>
            <w:r>
              <w:rPr>
                <w:rFonts w:hint="eastAsia"/>
                <w:color w:val="auto"/>
                <w:szCs w:val="21"/>
                <w:highlight w:val="none"/>
              </w:rPr>
              <w:t>及其化合物、林格曼黑度</w:t>
            </w:r>
          </w:p>
        </w:tc>
        <w:tc>
          <w:tcPr>
            <w:tcW w:w="1755" w:type="dxa"/>
            <w:noWrap w:val="0"/>
            <w:vAlign w:val="center"/>
          </w:tcPr>
          <w:p w14:paraId="05BFE0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rPr>
            </w:pPr>
            <w:r>
              <w:rPr>
                <w:rFonts w:hint="default"/>
                <w:color w:val="auto"/>
                <w:highlight w:val="none"/>
                <w:lang w:val="en-US" w:eastAsia="zh-CN"/>
              </w:rPr>
              <w:t>SNCR＋SCR联合法脱硝+布</w:t>
            </w:r>
            <w:r>
              <w:rPr>
                <w:rFonts w:hint="default"/>
                <w:color w:val="auto"/>
                <w:szCs w:val="21"/>
                <w:highlight w:val="none"/>
                <w:lang w:val="en-US" w:eastAsia="zh-CN"/>
              </w:rPr>
              <w:t>袋除尘器处理+</w:t>
            </w:r>
            <w:r>
              <w:rPr>
                <w:rFonts w:hint="eastAsia"/>
                <w:color w:val="auto"/>
                <w:szCs w:val="21"/>
                <w:highlight w:val="none"/>
                <w:lang w:val="en-US" w:eastAsia="zh-CN"/>
              </w:rPr>
              <w:t>双碱法脱硫+50m高的烟囱排</w:t>
            </w:r>
            <w:r>
              <w:rPr>
                <w:rFonts w:hint="eastAsia"/>
                <w:color w:val="auto"/>
                <w:highlight w:val="none"/>
                <w:lang w:val="en-US" w:eastAsia="zh-CN"/>
              </w:rPr>
              <w:t>放</w:t>
            </w:r>
          </w:p>
        </w:tc>
        <w:tc>
          <w:tcPr>
            <w:tcW w:w="1757" w:type="dxa"/>
            <w:noWrap w:val="0"/>
            <w:vAlign w:val="center"/>
          </w:tcPr>
          <w:p w14:paraId="51AAC3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color w:val="auto"/>
                <w:highlight w:val="none"/>
              </w:rPr>
              <w:t>《锅炉大气污染物排放标准》（GB13271-2014）中表</w:t>
            </w:r>
            <w:r>
              <w:rPr>
                <w:rFonts w:hint="default"/>
                <w:color w:val="auto"/>
                <w:highlight w:val="none"/>
                <w:lang w:val="en-US" w:eastAsia="zh-CN"/>
              </w:rPr>
              <w:t>3</w:t>
            </w:r>
            <w:r>
              <w:rPr>
                <w:rFonts w:hint="default"/>
                <w:color w:val="auto"/>
                <w:highlight w:val="none"/>
              </w:rPr>
              <w:t>大气污染物</w:t>
            </w:r>
            <w:r>
              <w:rPr>
                <w:rFonts w:hint="default"/>
                <w:color w:val="auto"/>
                <w:highlight w:val="none"/>
                <w:lang w:val="en-US" w:eastAsia="zh-CN"/>
              </w:rPr>
              <w:t>特别</w:t>
            </w:r>
            <w:r>
              <w:rPr>
                <w:rFonts w:hint="default"/>
                <w:color w:val="auto"/>
                <w:highlight w:val="none"/>
              </w:rPr>
              <w:t>排放限值要求</w:t>
            </w:r>
          </w:p>
        </w:tc>
      </w:tr>
      <w:tr w14:paraId="411371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6DC14C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地表水环境</w:t>
            </w:r>
          </w:p>
        </w:tc>
        <w:tc>
          <w:tcPr>
            <w:tcW w:w="1755" w:type="dxa"/>
            <w:noWrap w:val="0"/>
            <w:vAlign w:val="center"/>
          </w:tcPr>
          <w:p w14:paraId="20D695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6887AD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1636D7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7" w:type="dxa"/>
            <w:noWrap w:val="0"/>
            <w:vAlign w:val="center"/>
          </w:tcPr>
          <w:p w14:paraId="0A0344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7B95B1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1B4804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声环境</w:t>
            </w:r>
          </w:p>
        </w:tc>
        <w:tc>
          <w:tcPr>
            <w:tcW w:w="1755" w:type="dxa"/>
            <w:noWrap w:val="0"/>
            <w:vAlign w:val="center"/>
          </w:tcPr>
          <w:p w14:paraId="3B8680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运行设备</w:t>
            </w:r>
          </w:p>
        </w:tc>
        <w:tc>
          <w:tcPr>
            <w:tcW w:w="1755" w:type="dxa"/>
            <w:noWrap w:val="0"/>
            <w:vAlign w:val="center"/>
          </w:tcPr>
          <w:p w14:paraId="2BBE40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olor w:val="auto"/>
                <w:highlight w:val="none"/>
              </w:rPr>
              <w:t>设备噪声</w:t>
            </w:r>
          </w:p>
        </w:tc>
        <w:tc>
          <w:tcPr>
            <w:tcW w:w="1755" w:type="dxa"/>
            <w:noWrap w:val="0"/>
            <w:vAlign w:val="center"/>
          </w:tcPr>
          <w:p w14:paraId="3C41E1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color w:val="auto"/>
                <w:highlight w:val="none"/>
              </w:rPr>
              <w:t>优先选购低噪声设备，针对主要高噪声设备采取减振、隔声、消声等降噪措施</w:t>
            </w:r>
          </w:p>
        </w:tc>
        <w:tc>
          <w:tcPr>
            <w:tcW w:w="1757" w:type="dxa"/>
            <w:noWrap w:val="0"/>
            <w:vAlign w:val="center"/>
          </w:tcPr>
          <w:p w14:paraId="69DC91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rFonts w:hint="default"/>
                <w:color w:val="auto"/>
                <w:highlight w:val="none"/>
              </w:rPr>
              <w:t>厂界满足《工业企业厂界环境噪声排放标准》（GB12348-2008）中</w:t>
            </w:r>
            <w:r>
              <w:rPr>
                <w:rFonts w:hint="eastAsia"/>
                <w:color w:val="auto"/>
                <w:highlight w:val="none"/>
                <w:lang w:val="en-US" w:eastAsia="zh-CN"/>
              </w:rPr>
              <w:t>2</w:t>
            </w:r>
            <w:r>
              <w:rPr>
                <w:rFonts w:hint="default"/>
                <w:color w:val="auto"/>
                <w:highlight w:val="none"/>
              </w:rPr>
              <w:t>类区标准要求</w:t>
            </w:r>
          </w:p>
        </w:tc>
      </w:tr>
      <w:tr w14:paraId="4B4B3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noWrap w:val="0"/>
            <w:vAlign w:val="center"/>
          </w:tcPr>
          <w:p w14:paraId="4FB785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电磁辐射</w:t>
            </w:r>
          </w:p>
        </w:tc>
        <w:tc>
          <w:tcPr>
            <w:tcW w:w="1755" w:type="dxa"/>
            <w:noWrap w:val="0"/>
            <w:vAlign w:val="center"/>
          </w:tcPr>
          <w:p w14:paraId="47EF7D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751788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5" w:type="dxa"/>
            <w:noWrap w:val="0"/>
            <w:vAlign w:val="center"/>
          </w:tcPr>
          <w:p w14:paraId="0221E4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c>
          <w:tcPr>
            <w:tcW w:w="1757" w:type="dxa"/>
            <w:noWrap w:val="0"/>
            <w:vAlign w:val="center"/>
          </w:tcPr>
          <w:p w14:paraId="49A13C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2FE8E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26E91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固体废物</w:t>
            </w:r>
          </w:p>
        </w:tc>
        <w:tc>
          <w:tcPr>
            <w:tcW w:w="7022" w:type="dxa"/>
            <w:gridSpan w:val="4"/>
            <w:noWrap w:val="0"/>
            <w:vAlign w:val="center"/>
          </w:tcPr>
          <w:p w14:paraId="48FC15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color w:val="auto"/>
                <w:highlight w:val="none"/>
                <w:lang w:val="en-US" w:eastAsia="zh-CN"/>
              </w:rPr>
            </w:pPr>
            <w:r>
              <w:rPr>
                <w:rFonts w:hint="default"/>
                <w:color w:val="auto"/>
                <w:highlight w:val="none"/>
                <w:lang w:val="en-US" w:eastAsia="zh-CN"/>
              </w:rPr>
              <w:t>一般固废：</w:t>
            </w:r>
            <w:r>
              <w:rPr>
                <w:rFonts w:hint="eastAsia"/>
                <w:color w:val="auto"/>
                <w:highlight w:val="none"/>
                <w:lang w:val="en-US" w:eastAsia="zh-CN"/>
              </w:rPr>
              <w:t>锅炉炉渣、脱硫石膏、除尘灰暂存至一般固废暂存间内，定期拉运至《鄂尔多斯市东胜区环保管理有限公司东胜区东部一般工业固体废物综合利用项目》进行处理。</w:t>
            </w:r>
            <w:r>
              <w:rPr>
                <w:rFonts w:hint="eastAsia" w:ascii="Times New Roman" w:hAnsi="Times New Roman" w:eastAsia="宋体" w:cs="Times New Roman"/>
                <w:color w:val="auto"/>
                <w:highlight w:val="none"/>
                <w:lang w:val="en-US" w:eastAsia="zh-CN"/>
              </w:rPr>
              <w:t>产生的废离子交换树脂由厂家定期回收处置，不在厂区内暂存。</w:t>
            </w:r>
          </w:p>
          <w:p w14:paraId="62B63D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rFonts w:hint="default"/>
                <w:color w:val="auto"/>
                <w:highlight w:val="none"/>
                <w:lang w:val="en-US" w:eastAsia="zh-CN"/>
              </w:rPr>
              <w:t>危险废物：本项目运行产生的废矿物油、废油桶</w:t>
            </w:r>
            <w:r>
              <w:rPr>
                <w:rFonts w:hint="eastAsia"/>
                <w:color w:val="auto"/>
                <w:highlight w:val="none"/>
                <w:lang w:val="en-US" w:eastAsia="zh-CN"/>
              </w:rPr>
              <w:t>、废催化剂</w:t>
            </w:r>
            <w:r>
              <w:rPr>
                <w:rFonts w:hint="default"/>
                <w:color w:val="auto"/>
                <w:highlight w:val="none"/>
                <w:lang w:val="en-US" w:eastAsia="zh-CN"/>
              </w:rPr>
              <w:t>暂存于</w:t>
            </w:r>
            <w:r>
              <w:rPr>
                <w:rFonts w:hint="eastAsia"/>
                <w:color w:val="auto"/>
                <w:highlight w:val="none"/>
                <w:lang w:val="en-US" w:eastAsia="zh-CN"/>
              </w:rPr>
              <w:t>选煤厂</w:t>
            </w:r>
            <w:r>
              <w:rPr>
                <w:rFonts w:hint="default"/>
                <w:color w:val="auto"/>
                <w:highlight w:val="none"/>
                <w:lang w:val="en-US" w:eastAsia="zh-CN"/>
              </w:rPr>
              <w:t>内现有的危废库内，定期交由有资质单位进行处置。</w:t>
            </w:r>
          </w:p>
        </w:tc>
      </w:tr>
      <w:tr w14:paraId="4D1744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778" w:type="dxa"/>
            <w:noWrap w:val="0"/>
            <w:vAlign w:val="center"/>
          </w:tcPr>
          <w:p w14:paraId="7F64ED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土壤及地下水</w:t>
            </w:r>
          </w:p>
          <w:p w14:paraId="7775BB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污染防治措施</w:t>
            </w:r>
          </w:p>
        </w:tc>
        <w:tc>
          <w:tcPr>
            <w:tcW w:w="7022" w:type="dxa"/>
            <w:gridSpan w:val="4"/>
            <w:noWrap w:val="0"/>
            <w:vAlign w:val="center"/>
          </w:tcPr>
          <w:p w14:paraId="078FD2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eastAsia"/>
                <w:color w:val="auto"/>
                <w:highlight w:val="none"/>
                <w:lang w:val="en-US" w:eastAsia="zh-CN"/>
              </w:rPr>
              <w:t>/</w:t>
            </w:r>
          </w:p>
        </w:tc>
      </w:tr>
      <w:tr w14:paraId="147341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778" w:type="dxa"/>
            <w:noWrap w:val="0"/>
            <w:vAlign w:val="center"/>
          </w:tcPr>
          <w:p w14:paraId="5AE2B9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生态保护措施</w:t>
            </w:r>
          </w:p>
        </w:tc>
        <w:tc>
          <w:tcPr>
            <w:tcW w:w="7022" w:type="dxa"/>
            <w:gridSpan w:val="4"/>
            <w:noWrap w:val="0"/>
            <w:vAlign w:val="center"/>
          </w:tcPr>
          <w:p w14:paraId="011597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项目无新增占地。通过采取污染防治措施并加强管理可减少对生态环境的影响。</w:t>
            </w:r>
          </w:p>
        </w:tc>
      </w:tr>
      <w:tr w14:paraId="46145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noWrap w:val="0"/>
            <w:vAlign w:val="center"/>
          </w:tcPr>
          <w:p w14:paraId="0830E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环境风险</w:t>
            </w:r>
          </w:p>
          <w:p w14:paraId="5AA8AB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防范措施</w:t>
            </w:r>
          </w:p>
        </w:tc>
        <w:tc>
          <w:tcPr>
            <w:tcW w:w="7022" w:type="dxa"/>
            <w:gridSpan w:val="4"/>
            <w:noWrap w:val="0"/>
            <w:vAlign w:val="center"/>
          </w:tcPr>
          <w:p w14:paraId="494D1C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color w:val="auto"/>
                <w:sz w:val="24"/>
                <w:szCs w:val="24"/>
                <w:highlight w:val="none"/>
              </w:rPr>
            </w:pPr>
            <w:r>
              <w:rPr>
                <w:color w:val="auto"/>
                <w:szCs w:val="21"/>
                <w:highlight w:val="none"/>
              </w:rPr>
              <w:t>加大安全、环保设施的投入：在强化安全、环保教育，提高安全、环保意识的同时，企业保证预警、监控设施到位。配备救护设备；危险作业增设监护人员并为其配备通信、救援等设备；按照国家、地方和相关部门要求，编制突发环境事件应急预案；企业根据实际情况，不断充实和完善应急预案的各项措施，并定期组织演练。</w:t>
            </w:r>
          </w:p>
        </w:tc>
      </w:tr>
      <w:tr w14:paraId="2648E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noWrap w:val="0"/>
            <w:vAlign w:val="center"/>
          </w:tcPr>
          <w:p w14:paraId="2F3215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其他环境</w:t>
            </w:r>
          </w:p>
          <w:p w14:paraId="46C8A7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管理要求</w:t>
            </w:r>
          </w:p>
        </w:tc>
        <w:tc>
          <w:tcPr>
            <w:tcW w:w="7022" w:type="dxa"/>
            <w:gridSpan w:val="4"/>
            <w:noWrap w:val="0"/>
            <w:vAlign w:val="center"/>
          </w:tcPr>
          <w:p w14:paraId="30B624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4"/>
                <w:szCs w:val="24"/>
                <w:highlight w:val="none"/>
                <w:lang w:val="en-US"/>
              </w:rPr>
            </w:pPr>
            <w:r>
              <w:rPr>
                <w:rFonts w:hint="eastAsia"/>
                <w:color w:val="auto"/>
                <w:szCs w:val="21"/>
                <w:highlight w:val="none"/>
                <w:lang w:val="en-US" w:eastAsia="zh-CN"/>
              </w:rPr>
              <w:t>/</w:t>
            </w:r>
          </w:p>
        </w:tc>
      </w:tr>
    </w:tbl>
    <w:p w14:paraId="733E5F67">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r>
        <w:rPr>
          <w:rFonts w:hint="default" w:ascii="Times New Roman" w:hAnsi="Times New Roman" w:eastAsia="黑体" w:cs="Times New Roman"/>
          <w:snapToGrid w:val="0"/>
          <w:color w:val="auto"/>
          <w:sz w:val="30"/>
          <w:szCs w:val="30"/>
          <w:highlight w:val="none"/>
        </w:rPr>
        <w:t>六、结论</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F718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7BABF056">
            <w:pPr>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的建设符合国家和地方产业政策；选址合理；采取的污染治理措施可行可靠，可有效实现污染物达标排放，对周围环境的影响较小，环境风险在可接受程度内。综上所述，本项目在认真贯彻执行国家的环保法律、法规，严格落实所有本评价提出的污染防治措施的基础上，从环境保护的角度出发，本项目建设是可行的。</w:t>
            </w:r>
          </w:p>
        </w:tc>
      </w:tr>
    </w:tbl>
    <w:p w14:paraId="243B70BF">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511AC676">
      <w:pPr>
        <w:pStyle w:val="22"/>
        <w:adjustRightInd w:val="0"/>
        <w:snapToGrid w:val="0"/>
        <w:spacing w:before="0" w:beforeAutospacing="0" w:after="0" w:afterAutospacing="0" w:line="648" w:lineRule="auto"/>
        <w:outlineLvl w:val="0"/>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p>
    <w:p w14:paraId="7CDE67F4">
      <w:pPr>
        <w:pStyle w:val="22"/>
        <w:adjustRightInd w:val="0"/>
        <w:snapToGrid w:val="0"/>
        <w:spacing w:before="0" w:beforeAutospacing="0" w:after="0" w:afterAutospacing="0" w:line="552" w:lineRule="auto"/>
        <w:jc w:val="center"/>
        <w:outlineLvl w:val="0"/>
        <w:rPr>
          <w:rFonts w:hint="default" w:ascii="Times New Roman" w:hAnsi="Times New Roman" w:eastAsia="方正小标宋_GBK" w:cs="Times New Roman"/>
          <w:snapToGrid w:val="0"/>
          <w:color w:val="auto"/>
          <w:sz w:val="38"/>
          <w:szCs w:val="38"/>
          <w:highlight w:val="none"/>
        </w:rPr>
      </w:pP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2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773"/>
        <w:gridCol w:w="1012"/>
      </w:tblGrid>
      <w:tr w14:paraId="1B772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2397F90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righ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E883ED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417" w:type="dxa"/>
            <w:noWrap w:val="0"/>
            <w:tcMar>
              <w:left w:w="28" w:type="dxa"/>
              <w:right w:w="28" w:type="dxa"/>
            </w:tcMar>
            <w:vAlign w:val="center"/>
          </w:tcPr>
          <w:p w14:paraId="7BFA486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701" w:type="dxa"/>
            <w:noWrap w:val="0"/>
            <w:tcMar>
              <w:left w:w="28" w:type="dxa"/>
              <w:right w:w="28" w:type="dxa"/>
            </w:tcMar>
            <w:vAlign w:val="center"/>
          </w:tcPr>
          <w:p w14:paraId="5388507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EEBEBD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76" w:type="dxa"/>
            <w:noWrap w:val="0"/>
            <w:tcMar>
              <w:left w:w="28" w:type="dxa"/>
              <w:right w:w="28" w:type="dxa"/>
            </w:tcMar>
            <w:vAlign w:val="center"/>
          </w:tcPr>
          <w:p w14:paraId="4D74D0D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67F671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5F0C6A6E">
            <w:pPr>
              <w:pStyle w:val="45"/>
              <w:keepNext w:val="0"/>
              <w:keepLines w:val="0"/>
              <w:pageBreakBefore w:val="0"/>
              <w:widowControl w:val="0"/>
              <w:kinsoku/>
              <w:wordWrap/>
              <w:overflowPunct/>
              <w:topLinePunct w:val="0"/>
              <w:autoSpaceDE/>
              <w:autoSpaceDN/>
              <w:bidi w:val="0"/>
              <w:adjustRightInd w:val="0"/>
              <w:snapToGrid w:val="0"/>
              <w:spacing w:beforeLines="0" w:afterLines="0"/>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7BA3648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318275D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59" w:type="dxa"/>
            <w:noWrap w:val="0"/>
            <w:tcMar>
              <w:left w:w="28" w:type="dxa"/>
              <w:right w:w="28" w:type="dxa"/>
            </w:tcMar>
            <w:vAlign w:val="center"/>
          </w:tcPr>
          <w:p w14:paraId="4C4016C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632ACAA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61" w:type="dxa"/>
            <w:noWrap w:val="0"/>
            <w:tcMar>
              <w:left w:w="28" w:type="dxa"/>
              <w:right w:w="28" w:type="dxa"/>
            </w:tcMar>
            <w:vAlign w:val="center"/>
          </w:tcPr>
          <w:p w14:paraId="0CE619C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1B530F8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773" w:type="dxa"/>
            <w:noWrap w:val="0"/>
            <w:tcMar>
              <w:left w:w="28" w:type="dxa"/>
              <w:right w:w="28" w:type="dxa"/>
            </w:tcMar>
            <w:vAlign w:val="center"/>
          </w:tcPr>
          <w:p w14:paraId="7BA0842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45935E1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012" w:type="dxa"/>
            <w:noWrap w:val="0"/>
            <w:tcMar>
              <w:left w:w="28" w:type="dxa"/>
              <w:right w:w="28" w:type="dxa"/>
            </w:tcMar>
            <w:vAlign w:val="center"/>
          </w:tcPr>
          <w:p w14:paraId="36CCB71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1D39D09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60B9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542708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417" w:type="dxa"/>
            <w:noWrap w:val="0"/>
            <w:vAlign w:val="center"/>
          </w:tcPr>
          <w:p w14:paraId="179BF2D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颗粒物</w:t>
            </w:r>
          </w:p>
        </w:tc>
        <w:tc>
          <w:tcPr>
            <w:tcW w:w="1701" w:type="dxa"/>
            <w:noWrap w:val="0"/>
            <w:vAlign w:val="center"/>
          </w:tcPr>
          <w:p w14:paraId="3A925AF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36.81t/a</w:t>
            </w:r>
          </w:p>
        </w:tc>
        <w:tc>
          <w:tcPr>
            <w:tcW w:w="1276" w:type="dxa"/>
            <w:noWrap w:val="0"/>
            <w:vAlign w:val="center"/>
          </w:tcPr>
          <w:p w14:paraId="243DB48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476FF83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0DFB8BD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6.11</w:t>
            </w:r>
            <w:r>
              <w:rPr>
                <w:rFonts w:hint="default" w:ascii="Times New Roman" w:hAnsi="Times New Roman" w:cs="Times New Roman"/>
                <w:color w:val="auto"/>
                <w:highlight w:val="none"/>
                <w:lang w:val="en-US" w:eastAsia="zh-CN"/>
              </w:rPr>
              <w:t>t/a</w:t>
            </w:r>
          </w:p>
        </w:tc>
        <w:tc>
          <w:tcPr>
            <w:tcW w:w="1761" w:type="dxa"/>
            <w:noWrap w:val="0"/>
            <w:vAlign w:val="center"/>
          </w:tcPr>
          <w:p w14:paraId="7069DF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03BE804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6.11</w:t>
            </w:r>
            <w:r>
              <w:rPr>
                <w:rFonts w:hint="default" w:ascii="Times New Roman" w:hAnsi="Times New Roman" w:cs="Times New Roman"/>
                <w:color w:val="auto"/>
                <w:highlight w:val="none"/>
                <w:lang w:val="en-US" w:eastAsia="zh-CN"/>
              </w:rPr>
              <w:t>t/a</w:t>
            </w:r>
          </w:p>
        </w:tc>
        <w:tc>
          <w:tcPr>
            <w:tcW w:w="1012" w:type="dxa"/>
            <w:noWrap w:val="0"/>
            <w:vAlign w:val="center"/>
          </w:tcPr>
          <w:p w14:paraId="280DF64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30.7</w:t>
            </w:r>
            <w:r>
              <w:rPr>
                <w:rFonts w:hint="default" w:ascii="Times New Roman" w:hAnsi="Times New Roman" w:cs="Times New Roman"/>
                <w:color w:val="auto"/>
                <w:highlight w:val="none"/>
                <w:lang w:val="en-US" w:eastAsia="zh-CN"/>
              </w:rPr>
              <w:t>t/a</w:t>
            </w:r>
          </w:p>
        </w:tc>
      </w:tr>
      <w:tr w14:paraId="09DA3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9EDFBC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EEA6EA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二氧化硫</w:t>
            </w:r>
          </w:p>
        </w:tc>
        <w:tc>
          <w:tcPr>
            <w:tcW w:w="1701" w:type="dxa"/>
            <w:noWrap w:val="0"/>
            <w:vAlign w:val="center"/>
          </w:tcPr>
          <w:p w14:paraId="1E71026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44.13t/a</w:t>
            </w:r>
          </w:p>
        </w:tc>
        <w:tc>
          <w:tcPr>
            <w:tcW w:w="1276" w:type="dxa"/>
            <w:noWrap w:val="0"/>
            <w:vAlign w:val="center"/>
          </w:tcPr>
          <w:p w14:paraId="55595E2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56625FB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497BD92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8.59t/a</w:t>
            </w:r>
          </w:p>
        </w:tc>
        <w:tc>
          <w:tcPr>
            <w:tcW w:w="1761" w:type="dxa"/>
            <w:noWrap w:val="0"/>
            <w:vAlign w:val="center"/>
          </w:tcPr>
          <w:p w14:paraId="2E991E2D">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188073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8.59t/a</w:t>
            </w:r>
          </w:p>
        </w:tc>
        <w:tc>
          <w:tcPr>
            <w:tcW w:w="1012" w:type="dxa"/>
            <w:noWrap w:val="0"/>
            <w:vAlign w:val="center"/>
          </w:tcPr>
          <w:p w14:paraId="580D24A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highlight w:val="none"/>
                <w:lang w:val="en-US" w:eastAsia="zh-CN"/>
              </w:rPr>
              <w:t>35.91</w:t>
            </w:r>
            <w:r>
              <w:rPr>
                <w:rFonts w:hint="default" w:ascii="Times New Roman" w:hAnsi="Times New Roman" w:cs="Times New Roman"/>
                <w:color w:val="auto"/>
                <w:highlight w:val="none"/>
                <w:lang w:val="en-US" w:eastAsia="zh-CN"/>
              </w:rPr>
              <w:t>t/a</w:t>
            </w:r>
          </w:p>
        </w:tc>
      </w:tr>
      <w:tr w14:paraId="6DB68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719111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0898181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氮氧化物</w:t>
            </w:r>
          </w:p>
        </w:tc>
        <w:tc>
          <w:tcPr>
            <w:tcW w:w="1701" w:type="dxa"/>
            <w:noWrap w:val="0"/>
            <w:vAlign w:val="center"/>
          </w:tcPr>
          <w:p w14:paraId="26DB427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57.92t/a</w:t>
            </w:r>
          </w:p>
        </w:tc>
        <w:tc>
          <w:tcPr>
            <w:tcW w:w="1276" w:type="dxa"/>
            <w:noWrap w:val="0"/>
            <w:vAlign w:val="center"/>
          </w:tcPr>
          <w:p w14:paraId="27262A5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A5C11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3BF252B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kern w:val="2"/>
                <w:sz w:val="24"/>
                <w:szCs w:val="24"/>
                <w:highlight w:val="none"/>
                <w:lang w:val="en-US" w:eastAsia="zh-CN"/>
              </w:rPr>
              <w:t>28.30t/a</w:t>
            </w:r>
          </w:p>
        </w:tc>
        <w:tc>
          <w:tcPr>
            <w:tcW w:w="1761" w:type="dxa"/>
            <w:noWrap w:val="0"/>
            <w:vAlign w:val="center"/>
          </w:tcPr>
          <w:p w14:paraId="1EE5118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2330E1C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kern w:val="2"/>
                <w:sz w:val="24"/>
                <w:szCs w:val="24"/>
                <w:highlight w:val="none"/>
                <w:lang w:val="en-US" w:eastAsia="zh-CN"/>
              </w:rPr>
              <w:t>28.30t/a</w:t>
            </w:r>
          </w:p>
        </w:tc>
        <w:tc>
          <w:tcPr>
            <w:tcW w:w="1012" w:type="dxa"/>
            <w:noWrap w:val="0"/>
            <w:vAlign w:val="center"/>
          </w:tcPr>
          <w:p w14:paraId="1B66787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color w:val="auto"/>
                <w:kern w:val="2"/>
                <w:sz w:val="24"/>
                <w:szCs w:val="24"/>
                <w:highlight w:val="none"/>
                <w:lang w:val="en-US" w:eastAsia="zh-CN"/>
              </w:rPr>
              <w:t>29.62</w:t>
            </w:r>
            <w:r>
              <w:rPr>
                <w:rFonts w:hint="default" w:ascii="Times New Roman" w:hAnsi="Times New Roman" w:cs="Times New Roman"/>
                <w:color w:val="auto"/>
                <w:kern w:val="2"/>
                <w:sz w:val="24"/>
                <w:szCs w:val="24"/>
                <w:highlight w:val="none"/>
              </w:rPr>
              <w:t>t/a</w:t>
            </w:r>
          </w:p>
        </w:tc>
      </w:tr>
      <w:tr w14:paraId="44B1F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588" w:type="dxa"/>
            <w:vMerge w:val="continue"/>
            <w:noWrap w:val="0"/>
            <w:vAlign w:val="center"/>
          </w:tcPr>
          <w:p w14:paraId="7AF39A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6A607A5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cs="Times New Roman"/>
                <w:snapToGrid w:val="0"/>
                <w:color w:val="auto"/>
                <w:kern w:val="21"/>
                <w:szCs w:val="21"/>
                <w:highlight w:val="none"/>
                <w:lang w:val="en-US" w:eastAsia="zh-CN"/>
              </w:rPr>
            </w:pPr>
            <w:r>
              <w:rPr>
                <w:rFonts w:hint="default" w:ascii="Times New Roman" w:hAnsi="Times New Roman" w:cs="Times New Roman"/>
                <w:color w:val="auto"/>
                <w:highlight w:val="none"/>
                <w:lang w:val="en-US" w:eastAsia="zh-CN"/>
              </w:rPr>
              <w:t>汞及其化合物</w:t>
            </w:r>
          </w:p>
        </w:tc>
        <w:tc>
          <w:tcPr>
            <w:tcW w:w="1701" w:type="dxa"/>
            <w:noWrap w:val="0"/>
            <w:vAlign w:val="center"/>
          </w:tcPr>
          <w:p w14:paraId="79B7FA9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37553F2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729F32A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4AC826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highlight w:val="none"/>
                <w:lang w:val="en-US" w:eastAsia="zh-CN"/>
              </w:rPr>
              <w:t>0.001</w:t>
            </w:r>
            <w:r>
              <w:rPr>
                <w:rFonts w:hint="eastAsia" w:ascii="Times New Roman" w:cs="Times New Roman"/>
                <w:color w:val="auto"/>
                <w:highlight w:val="none"/>
                <w:lang w:val="en-US" w:eastAsia="zh-CN"/>
              </w:rPr>
              <w:t>7</w:t>
            </w:r>
            <w:r>
              <w:rPr>
                <w:rFonts w:hint="default" w:ascii="Times New Roman" w:hAnsi="Times New Roman" w:cs="Times New Roman"/>
                <w:color w:val="auto"/>
                <w:highlight w:val="none"/>
                <w:lang w:val="en-US" w:eastAsia="zh-CN"/>
              </w:rPr>
              <w:t>t/a</w:t>
            </w:r>
          </w:p>
        </w:tc>
        <w:tc>
          <w:tcPr>
            <w:tcW w:w="1761" w:type="dxa"/>
            <w:noWrap w:val="0"/>
            <w:vAlign w:val="center"/>
          </w:tcPr>
          <w:p w14:paraId="32D5886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734E65B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highlight w:val="none"/>
                <w:lang w:val="en-US" w:eastAsia="zh-CN"/>
              </w:rPr>
              <w:t>0.001</w:t>
            </w:r>
            <w:r>
              <w:rPr>
                <w:rFonts w:hint="eastAsia" w:ascii="Times New Roman" w:cs="Times New Roman"/>
                <w:color w:val="auto"/>
                <w:highlight w:val="none"/>
                <w:lang w:val="en-US" w:eastAsia="zh-CN"/>
              </w:rPr>
              <w:t>7</w:t>
            </w:r>
            <w:r>
              <w:rPr>
                <w:rFonts w:hint="default" w:ascii="Times New Roman" w:hAnsi="Times New Roman" w:cs="Times New Roman"/>
                <w:color w:val="auto"/>
                <w:highlight w:val="none"/>
                <w:lang w:val="en-US" w:eastAsia="zh-CN"/>
              </w:rPr>
              <w:t>t/a</w:t>
            </w:r>
          </w:p>
        </w:tc>
        <w:tc>
          <w:tcPr>
            <w:tcW w:w="1012" w:type="dxa"/>
            <w:noWrap w:val="0"/>
            <w:vAlign w:val="center"/>
          </w:tcPr>
          <w:p w14:paraId="59816EF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highlight w:val="none"/>
                <w:lang w:val="en-US" w:eastAsia="zh-CN"/>
              </w:rPr>
              <w:t>0.001</w:t>
            </w:r>
            <w:r>
              <w:rPr>
                <w:rFonts w:hint="eastAsia" w:ascii="Times New Roman" w:cs="Times New Roman"/>
                <w:color w:val="auto"/>
                <w:highlight w:val="none"/>
                <w:lang w:val="en-US" w:eastAsia="zh-CN"/>
              </w:rPr>
              <w:t>7</w:t>
            </w:r>
            <w:r>
              <w:rPr>
                <w:rFonts w:hint="default" w:ascii="Times New Roman" w:hAnsi="Times New Roman" w:cs="Times New Roman"/>
                <w:color w:val="auto"/>
                <w:highlight w:val="none"/>
                <w:lang w:val="en-US" w:eastAsia="zh-CN"/>
              </w:rPr>
              <w:t>t/a</w:t>
            </w:r>
          </w:p>
        </w:tc>
      </w:tr>
      <w:tr w14:paraId="132835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5A7CC77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417" w:type="dxa"/>
            <w:noWrap w:val="0"/>
            <w:vAlign w:val="center"/>
          </w:tcPr>
          <w:p w14:paraId="7A3E4E9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1A231F9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6EF64BE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4587E55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1528503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61" w:type="dxa"/>
            <w:noWrap w:val="0"/>
            <w:vAlign w:val="center"/>
          </w:tcPr>
          <w:p w14:paraId="3440D9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3A9E8AD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012" w:type="dxa"/>
            <w:noWrap w:val="0"/>
            <w:vAlign w:val="center"/>
          </w:tcPr>
          <w:p w14:paraId="5B57ED7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r>
      <w:tr w14:paraId="1AD8D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6FF6CCC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2201399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417" w:type="dxa"/>
            <w:noWrap w:val="0"/>
            <w:vAlign w:val="center"/>
          </w:tcPr>
          <w:p w14:paraId="3FE6B74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锅炉炉渣</w:t>
            </w:r>
          </w:p>
        </w:tc>
        <w:tc>
          <w:tcPr>
            <w:tcW w:w="1701" w:type="dxa"/>
            <w:noWrap w:val="0"/>
            <w:vAlign w:val="center"/>
          </w:tcPr>
          <w:p w14:paraId="4FB8FF5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3715.2t/a</w:t>
            </w:r>
          </w:p>
        </w:tc>
        <w:tc>
          <w:tcPr>
            <w:tcW w:w="1276" w:type="dxa"/>
            <w:noWrap w:val="0"/>
            <w:vAlign w:val="center"/>
          </w:tcPr>
          <w:p w14:paraId="24ADE79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407617B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61FC19D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1791.76t/a</w:t>
            </w:r>
          </w:p>
        </w:tc>
        <w:tc>
          <w:tcPr>
            <w:tcW w:w="1761" w:type="dxa"/>
            <w:noWrap w:val="0"/>
            <w:vAlign w:val="center"/>
          </w:tcPr>
          <w:p w14:paraId="07CC42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00C9DFA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1791.76t/a</w:t>
            </w:r>
          </w:p>
        </w:tc>
        <w:tc>
          <w:tcPr>
            <w:tcW w:w="1012" w:type="dxa"/>
            <w:noWrap w:val="0"/>
            <w:vAlign w:val="center"/>
          </w:tcPr>
          <w:p w14:paraId="7262A9F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1923.44</w:t>
            </w:r>
            <w:r>
              <w:rPr>
                <w:rFonts w:hint="default" w:ascii="Times New Roman" w:hAnsi="Times New Roman" w:cs="Times New Roman"/>
                <w:snapToGrid w:val="0"/>
                <w:color w:val="auto"/>
                <w:kern w:val="21"/>
                <w:szCs w:val="21"/>
                <w:highlight w:val="none"/>
                <w:lang w:val="en-US" w:eastAsia="zh-CN"/>
              </w:rPr>
              <w:t>t/a</w:t>
            </w:r>
          </w:p>
        </w:tc>
      </w:tr>
      <w:tr w14:paraId="771D4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368CE8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673A3BC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脱硫石膏</w:t>
            </w:r>
          </w:p>
        </w:tc>
        <w:tc>
          <w:tcPr>
            <w:tcW w:w="1701" w:type="dxa"/>
            <w:noWrap w:val="0"/>
            <w:vAlign w:val="center"/>
          </w:tcPr>
          <w:p w14:paraId="5FF0DD0C">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4AA496C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F6C7C2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6402726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275.92t/a</w:t>
            </w:r>
          </w:p>
        </w:tc>
        <w:tc>
          <w:tcPr>
            <w:tcW w:w="1761" w:type="dxa"/>
            <w:noWrap w:val="0"/>
            <w:vAlign w:val="center"/>
          </w:tcPr>
          <w:p w14:paraId="30ACA8F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4F16A85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275.92t/a</w:t>
            </w:r>
          </w:p>
        </w:tc>
        <w:tc>
          <w:tcPr>
            <w:tcW w:w="1012" w:type="dxa"/>
            <w:noWrap w:val="0"/>
            <w:vAlign w:val="center"/>
          </w:tcPr>
          <w:p w14:paraId="50A2957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275.92t/a</w:t>
            </w:r>
          </w:p>
        </w:tc>
      </w:tr>
      <w:tr w14:paraId="12D21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E9C099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4C9380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除尘灰</w:t>
            </w:r>
          </w:p>
        </w:tc>
        <w:tc>
          <w:tcPr>
            <w:tcW w:w="1701" w:type="dxa"/>
            <w:noWrap w:val="0"/>
            <w:vAlign w:val="center"/>
          </w:tcPr>
          <w:p w14:paraId="1229334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4F8D462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5B76CF6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519933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605</w:t>
            </w:r>
            <w:r>
              <w:rPr>
                <w:rFonts w:hint="default" w:ascii="Times New Roman" w:hAnsi="Times New Roman" w:cs="Times New Roman"/>
                <w:snapToGrid w:val="0"/>
                <w:color w:val="auto"/>
                <w:kern w:val="21"/>
                <w:szCs w:val="21"/>
                <w:highlight w:val="none"/>
                <w:lang w:val="en-US" w:eastAsia="zh-CN"/>
              </w:rPr>
              <w:t>t/a</w:t>
            </w:r>
          </w:p>
        </w:tc>
        <w:tc>
          <w:tcPr>
            <w:tcW w:w="1761" w:type="dxa"/>
            <w:noWrap w:val="0"/>
            <w:vAlign w:val="center"/>
          </w:tcPr>
          <w:p w14:paraId="5B7E563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2542A9C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605</w:t>
            </w:r>
            <w:r>
              <w:rPr>
                <w:rFonts w:hint="default" w:ascii="Times New Roman" w:hAnsi="Times New Roman" w:cs="Times New Roman"/>
                <w:snapToGrid w:val="0"/>
                <w:color w:val="auto"/>
                <w:kern w:val="21"/>
                <w:szCs w:val="21"/>
                <w:highlight w:val="none"/>
                <w:lang w:val="en-US" w:eastAsia="zh-CN"/>
              </w:rPr>
              <w:t>t/a</w:t>
            </w:r>
          </w:p>
        </w:tc>
        <w:tc>
          <w:tcPr>
            <w:tcW w:w="1012" w:type="dxa"/>
            <w:noWrap w:val="0"/>
            <w:vAlign w:val="center"/>
          </w:tcPr>
          <w:p w14:paraId="7E3F9BB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605</w:t>
            </w:r>
            <w:r>
              <w:rPr>
                <w:rFonts w:hint="default" w:ascii="Times New Roman" w:hAnsi="Times New Roman" w:cs="Times New Roman"/>
                <w:snapToGrid w:val="0"/>
                <w:color w:val="auto"/>
                <w:kern w:val="21"/>
                <w:szCs w:val="21"/>
                <w:highlight w:val="none"/>
                <w:lang w:val="en-US" w:eastAsia="zh-CN"/>
              </w:rPr>
              <w:t>t/a</w:t>
            </w:r>
          </w:p>
        </w:tc>
      </w:tr>
      <w:tr w14:paraId="571A8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82C96A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41E80F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废离子交换树脂</w:t>
            </w:r>
          </w:p>
        </w:tc>
        <w:tc>
          <w:tcPr>
            <w:tcW w:w="1701" w:type="dxa"/>
            <w:noWrap w:val="0"/>
            <w:vAlign w:val="center"/>
          </w:tcPr>
          <w:p w14:paraId="63F0477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78498A5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5310732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BB4E88F">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2t/3a</w:t>
            </w:r>
          </w:p>
        </w:tc>
        <w:tc>
          <w:tcPr>
            <w:tcW w:w="1761" w:type="dxa"/>
            <w:noWrap w:val="0"/>
            <w:vAlign w:val="center"/>
          </w:tcPr>
          <w:p w14:paraId="5D7EEAD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19FA0E50">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2t/3a</w:t>
            </w:r>
          </w:p>
        </w:tc>
        <w:tc>
          <w:tcPr>
            <w:tcW w:w="1012" w:type="dxa"/>
            <w:noWrap w:val="0"/>
            <w:vAlign w:val="center"/>
          </w:tcPr>
          <w:p w14:paraId="2390F333">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2t/3a</w:t>
            </w:r>
          </w:p>
        </w:tc>
      </w:tr>
      <w:tr w14:paraId="3A286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324F304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417" w:type="dxa"/>
            <w:noWrap w:val="0"/>
            <w:vAlign w:val="center"/>
          </w:tcPr>
          <w:p w14:paraId="035B6D3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废催化剂</w:t>
            </w:r>
          </w:p>
        </w:tc>
        <w:tc>
          <w:tcPr>
            <w:tcW w:w="1701" w:type="dxa"/>
            <w:noWrap w:val="0"/>
            <w:vAlign w:val="center"/>
          </w:tcPr>
          <w:p w14:paraId="4B65B68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w:t>
            </w:r>
          </w:p>
        </w:tc>
        <w:tc>
          <w:tcPr>
            <w:tcW w:w="1276" w:type="dxa"/>
            <w:noWrap w:val="0"/>
            <w:vAlign w:val="center"/>
          </w:tcPr>
          <w:p w14:paraId="78744E2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616D768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0F8133A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eastAsia="宋体" w:cs="Times New Roman"/>
                <w:snapToGrid w:val="0"/>
                <w:color w:val="auto"/>
                <w:kern w:val="21"/>
                <w:szCs w:val="21"/>
                <w:highlight w:val="none"/>
                <w:lang w:val="en-US" w:eastAsia="zh-CN"/>
              </w:rPr>
              <w:t>3.5t/3a</w:t>
            </w:r>
          </w:p>
        </w:tc>
        <w:tc>
          <w:tcPr>
            <w:tcW w:w="1761" w:type="dxa"/>
            <w:noWrap w:val="0"/>
            <w:vAlign w:val="center"/>
          </w:tcPr>
          <w:p w14:paraId="0B9FC5C1">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0CDD428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3.5t/3a</w:t>
            </w:r>
          </w:p>
        </w:tc>
        <w:tc>
          <w:tcPr>
            <w:tcW w:w="1012" w:type="dxa"/>
            <w:noWrap w:val="0"/>
            <w:vAlign w:val="center"/>
          </w:tcPr>
          <w:p w14:paraId="5ACF762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lang w:val="en-US" w:eastAsia="zh-CN"/>
              </w:rPr>
              <w:t>3.5t/3a</w:t>
            </w:r>
          </w:p>
        </w:tc>
      </w:tr>
      <w:tr w14:paraId="2D9FFB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88C5D6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35EDFCC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废矿物油</w:t>
            </w:r>
          </w:p>
        </w:tc>
        <w:tc>
          <w:tcPr>
            <w:tcW w:w="1701" w:type="dxa"/>
            <w:noWrap w:val="0"/>
            <w:vAlign w:val="center"/>
          </w:tcPr>
          <w:p w14:paraId="646C238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0.1t/a</w:t>
            </w:r>
          </w:p>
        </w:tc>
        <w:tc>
          <w:tcPr>
            <w:tcW w:w="1276" w:type="dxa"/>
            <w:noWrap w:val="0"/>
            <w:vAlign w:val="center"/>
          </w:tcPr>
          <w:p w14:paraId="535154F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78528D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5FE0426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761" w:type="dxa"/>
            <w:noWrap w:val="0"/>
            <w:vAlign w:val="center"/>
          </w:tcPr>
          <w:p w14:paraId="27122E3E">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29248F3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012" w:type="dxa"/>
            <w:noWrap w:val="0"/>
            <w:vAlign w:val="center"/>
          </w:tcPr>
          <w:p w14:paraId="23F28B74">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w:t>
            </w:r>
          </w:p>
        </w:tc>
      </w:tr>
      <w:tr w14:paraId="01BAA3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A9E6916">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417" w:type="dxa"/>
            <w:noWrap w:val="0"/>
            <w:vAlign w:val="center"/>
          </w:tcPr>
          <w:p w14:paraId="57FF9B9B">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废油桶</w:t>
            </w:r>
          </w:p>
        </w:tc>
        <w:tc>
          <w:tcPr>
            <w:tcW w:w="1701" w:type="dxa"/>
            <w:noWrap w:val="0"/>
            <w:vAlign w:val="center"/>
          </w:tcPr>
          <w:p w14:paraId="62F4AB9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0.1t/a</w:t>
            </w:r>
          </w:p>
        </w:tc>
        <w:tc>
          <w:tcPr>
            <w:tcW w:w="1276" w:type="dxa"/>
            <w:noWrap w:val="0"/>
            <w:vAlign w:val="center"/>
          </w:tcPr>
          <w:p w14:paraId="1884C139">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01" w:type="dxa"/>
            <w:noWrap w:val="0"/>
            <w:vAlign w:val="center"/>
          </w:tcPr>
          <w:p w14:paraId="1344ADA5">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559" w:type="dxa"/>
            <w:noWrap w:val="0"/>
            <w:vAlign w:val="center"/>
          </w:tcPr>
          <w:p w14:paraId="18F1CEB8">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761" w:type="dxa"/>
            <w:noWrap w:val="0"/>
            <w:vAlign w:val="center"/>
          </w:tcPr>
          <w:p w14:paraId="0DB7D04A">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p>
        </w:tc>
        <w:tc>
          <w:tcPr>
            <w:tcW w:w="1773" w:type="dxa"/>
            <w:noWrap w:val="0"/>
            <w:vAlign w:val="center"/>
          </w:tcPr>
          <w:p w14:paraId="5301AAB2">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0.1t/a</w:t>
            </w:r>
          </w:p>
        </w:tc>
        <w:tc>
          <w:tcPr>
            <w:tcW w:w="1012" w:type="dxa"/>
            <w:noWrap w:val="0"/>
            <w:vAlign w:val="center"/>
          </w:tcPr>
          <w:p w14:paraId="47E4A1F7">
            <w:pPr>
              <w:pStyle w:val="45"/>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w:t>
            </w:r>
          </w:p>
        </w:tc>
      </w:tr>
    </w:tbl>
    <w:p w14:paraId="2477D735">
      <w:pPr>
        <w:pStyle w:val="45"/>
        <w:spacing w:before="192" w:beforeLines="80" w:after="24"/>
        <w:jc w:val="lef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31478195">
      <w:pPr>
        <w:rPr>
          <w:rFonts w:hint="default" w:ascii="Times New Roman" w:hAnsi="Times New Roman" w:cs="Times New Roman"/>
          <w:color w:val="auto"/>
          <w:highlight w:val="none"/>
        </w:rPr>
      </w:pPr>
    </w:p>
    <w:p w14:paraId="2347E03C">
      <w:pPr>
        <w:rPr>
          <w:rFonts w:hint="default" w:ascii="Times New Roman" w:hAnsi="Times New Roman" w:cs="Times New Roman"/>
          <w:color w:val="auto"/>
          <w:highlight w:val="none"/>
        </w:rPr>
        <w:sectPr>
          <w:footerReference r:id="rId11"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367F317">
      <w:pPr>
        <w:pStyle w:val="8"/>
        <w:bidi w:val="0"/>
        <w:rPr>
          <w:rFonts w:hint="eastAsia"/>
          <w:color w:val="auto"/>
          <w:highlight w:val="none"/>
          <w:lang w:val="en-US" w:eastAsia="zh-CN"/>
        </w:rPr>
      </w:pPr>
      <w:r>
        <w:rPr>
          <w:rFonts w:hint="eastAsia"/>
          <w:color w:val="auto"/>
          <w:highlight w:val="none"/>
          <w:lang w:val="en-US" w:eastAsia="zh-CN"/>
        </w:rPr>
        <w:t>附件1委托书</w:t>
      </w:r>
    </w:p>
    <w:p w14:paraId="43668FEF">
      <w:pPr>
        <w:rPr>
          <w:rFonts w:hint="eastAsia" w:ascii="Times New Roman" w:hAnsi="Times New Roman" w:eastAsia="黑体" w:cs="Times New Roman"/>
          <w:color w:val="auto"/>
          <w:highlight w:val="none"/>
          <w:lang w:val="en-US" w:eastAsia="zh-CN"/>
        </w:rPr>
      </w:pPr>
      <w:r>
        <w:drawing>
          <wp:inline distT="0" distB="0" distL="114300" distR="114300">
            <wp:extent cx="5419725" cy="7162800"/>
            <wp:effectExtent l="0" t="0" r="9525" b="0"/>
            <wp:docPr id="18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4"/>
                    <pic:cNvPicPr>
                      <a:picLocks noChangeAspect="1"/>
                    </pic:cNvPicPr>
                  </pic:nvPicPr>
                  <pic:blipFill>
                    <a:blip r:embed="rId55"/>
                    <a:stretch>
                      <a:fillRect/>
                    </a:stretch>
                  </pic:blipFill>
                  <pic:spPr>
                    <a:xfrm>
                      <a:off x="0" y="0"/>
                      <a:ext cx="5419725" cy="7162800"/>
                    </a:xfrm>
                    <a:prstGeom prst="rect">
                      <a:avLst/>
                    </a:prstGeom>
                    <a:noFill/>
                    <a:ln>
                      <a:noFill/>
                    </a:ln>
                  </pic:spPr>
                </pic:pic>
              </a:graphicData>
            </a:graphic>
          </wp:inline>
        </w:drawing>
      </w:r>
    </w:p>
    <w:p w14:paraId="4F959145">
      <w:pPr>
        <w:rPr>
          <w:rFonts w:hint="eastAsia" w:ascii="Times New Roman" w:hAnsi="Times New Roman" w:eastAsia="黑体" w:cs="Times New Roman"/>
          <w:color w:val="auto"/>
          <w:highlight w:val="none"/>
          <w:lang w:val="en-US" w:eastAsia="zh-CN"/>
        </w:rPr>
      </w:pPr>
    </w:p>
    <w:p w14:paraId="552C73C3">
      <w:pPr>
        <w:pStyle w:val="2"/>
        <w:rPr>
          <w:rFonts w:hint="eastAsia"/>
          <w:color w:val="auto"/>
          <w:highlight w:val="none"/>
          <w:lang w:val="en-US" w:eastAsia="zh-CN"/>
        </w:rPr>
        <w:sectPr>
          <w:footerReference r:id="rId12"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5B7E3E76">
      <w:pPr>
        <w:pStyle w:val="8"/>
        <w:bidi w:val="0"/>
        <w:rPr>
          <w:rFonts w:hint="eastAsia"/>
          <w:color w:val="auto"/>
          <w:highlight w:val="none"/>
          <w:lang w:val="en-US" w:eastAsia="zh-CN"/>
        </w:rPr>
      </w:pPr>
      <w:r>
        <w:rPr>
          <w:rFonts w:hint="eastAsia"/>
          <w:color w:val="auto"/>
          <w:highlight w:val="none"/>
          <w:lang w:val="en-US" w:eastAsia="zh-CN"/>
        </w:rPr>
        <w:t>附件2现有项目的环保手续履行情况</w:t>
      </w:r>
    </w:p>
    <w:p w14:paraId="4E6FFD51">
      <w:pPr>
        <w:pStyle w:val="12"/>
        <w:ind w:left="0" w:leftChars="0" w:firstLine="0" w:firstLineChars="0"/>
        <w:rPr>
          <w:color w:val="auto"/>
          <w:highlight w:val="none"/>
        </w:rPr>
      </w:pPr>
      <w:r>
        <w:rPr>
          <w:color w:val="auto"/>
          <w:highlight w:val="none"/>
        </w:rPr>
        <w:drawing>
          <wp:inline distT="0" distB="0" distL="114300" distR="114300">
            <wp:extent cx="5612130" cy="7801610"/>
            <wp:effectExtent l="0" t="0" r="7620" b="8890"/>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pic:cNvPicPr>
                      <a:picLocks noChangeAspect="1"/>
                    </pic:cNvPicPr>
                  </pic:nvPicPr>
                  <pic:blipFill>
                    <a:blip r:embed="rId56"/>
                    <a:stretch>
                      <a:fillRect/>
                    </a:stretch>
                  </pic:blipFill>
                  <pic:spPr>
                    <a:xfrm>
                      <a:off x="0" y="0"/>
                      <a:ext cx="5612130" cy="7801610"/>
                    </a:xfrm>
                    <a:prstGeom prst="rect">
                      <a:avLst/>
                    </a:prstGeom>
                    <a:noFill/>
                    <a:ln>
                      <a:noFill/>
                    </a:ln>
                  </pic:spPr>
                </pic:pic>
              </a:graphicData>
            </a:graphic>
          </wp:inline>
        </w:drawing>
      </w:r>
      <w:r>
        <w:rPr>
          <w:color w:val="auto"/>
          <w:highlight w:val="none"/>
        </w:rPr>
        <w:drawing>
          <wp:inline distT="0" distB="0" distL="114300" distR="114300">
            <wp:extent cx="5610860" cy="7932420"/>
            <wp:effectExtent l="0" t="0" r="8890" b="11430"/>
            <wp:docPr id="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pic:cNvPicPr>
                      <a:picLocks noChangeAspect="1"/>
                    </pic:cNvPicPr>
                  </pic:nvPicPr>
                  <pic:blipFill>
                    <a:blip r:embed="rId57"/>
                    <a:stretch>
                      <a:fillRect/>
                    </a:stretch>
                  </pic:blipFill>
                  <pic:spPr>
                    <a:xfrm>
                      <a:off x="0" y="0"/>
                      <a:ext cx="5610860" cy="7932420"/>
                    </a:xfrm>
                    <a:prstGeom prst="rect">
                      <a:avLst/>
                    </a:prstGeom>
                    <a:noFill/>
                    <a:ln>
                      <a:noFill/>
                    </a:ln>
                  </pic:spPr>
                </pic:pic>
              </a:graphicData>
            </a:graphic>
          </wp:inline>
        </w:drawing>
      </w:r>
      <w:r>
        <w:rPr>
          <w:color w:val="auto"/>
          <w:highlight w:val="none"/>
        </w:rPr>
        <w:drawing>
          <wp:inline distT="0" distB="0" distL="114300" distR="114300">
            <wp:extent cx="5615940" cy="7823200"/>
            <wp:effectExtent l="0" t="0" r="3810" b="6350"/>
            <wp:docPr id="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2"/>
                    <pic:cNvPicPr>
                      <a:picLocks noChangeAspect="1"/>
                    </pic:cNvPicPr>
                  </pic:nvPicPr>
                  <pic:blipFill>
                    <a:blip r:embed="rId58"/>
                    <a:stretch>
                      <a:fillRect/>
                    </a:stretch>
                  </pic:blipFill>
                  <pic:spPr>
                    <a:xfrm>
                      <a:off x="0" y="0"/>
                      <a:ext cx="5615940" cy="7823200"/>
                    </a:xfrm>
                    <a:prstGeom prst="rect">
                      <a:avLst/>
                    </a:prstGeom>
                    <a:noFill/>
                    <a:ln>
                      <a:noFill/>
                    </a:ln>
                  </pic:spPr>
                </pic:pic>
              </a:graphicData>
            </a:graphic>
          </wp:inline>
        </w:drawing>
      </w:r>
      <w:r>
        <w:rPr>
          <w:color w:val="auto"/>
          <w:highlight w:val="none"/>
        </w:rPr>
        <w:drawing>
          <wp:inline distT="0" distB="0" distL="114300" distR="114300">
            <wp:extent cx="5608955" cy="7577455"/>
            <wp:effectExtent l="0" t="0" r="10795" b="4445"/>
            <wp:docPr id="1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3"/>
                    <pic:cNvPicPr>
                      <a:picLocks noChangeAspect="1"/>
                    </pic:cNvPicPr>
                  </pic:nvPicPr>
                  <pic:blipFill>
                    <a:blip r:embed="rId59"/>
                    <a:stretch>
                      <a:fillRect/>
                    </a:stretch>
                  </pic:blipFill>
                  <pic:spPr>
                    <a:xfrm>
                      <a:off x="0" y="0"/>
                      <a:ext cx="5608955" cy="7577455"/>
                    </a:xfrm>
                    <a:prstGeom prst="rect">
                      <a:avLst/>
                    </a:prstGeom>
                    <a:noFill/>
                    <a:ln>
                      <a:noFill/>
                    </a:ln>
                  </pic:spPr>
                </pic:pic>
              </a:graphicData>
            </a:graphic>
          </wp:inline>
        </w:drawing>
      </w:r>
      <w:r>
        <w:rPr>
          <w:color w:val="auto"/>
          <w:highlight w:val="none"/>
        </w:rPr>
        <w:drawing>
          <wp:inline distT="0" distB="0" distL="114300" distR="114300">
            <wp:extent cx="5612765" cy="7968615"/>
            <wp:effectExtent l="0" t="0" r="6985" b="13335"/>
            <wp:docPr id="1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4"/>
                    <pic:cNvPicPr>
                      <a:picLocks noChangeAspect="1"/>
                    </pic:cNvPicPr>
                  </pic:nvPicPr>
                  <pic:blipFill>
                    <a:blip r:embed="rId60"/>
                    <a:stretch>
                      <a:fillRect/>
                    </a:stretch>
                  </pic:blipFill>
                  <pic:spPr>
                    <a:xfrm>
                      <a:off x="0" y="0"/>
                      <a:ext cx="5612765" cy="7968615"/>
                    </a:xfrm>
                    <a:prstGeom prst="rect">
                      <a:avLst/>
                    </a:prstGeom>
                    <a:noFill/>
                    <a:ln>
                      <a:noFill/>
                    </a:ln>
                  </pic:spPr>
                </pic:pic>
              </a:graphicData>
            </a:graphic>
          </wp:inline>
        </w:drawing>
      </w:r>
      <w:r>
        <w:rPr>
          <w:color w:val="auto"/>
          <w:highlight w:val="none"/>
        </w:rPr>
        <w:drawing>
          <wp:inline distT="0" distB="0" distL="114300" distR="114300">
            <wp:extent cx="5609590" cy="7574280"/>
            <wp:effectExtent l="0" t="0" r="10160" b="7620"/>
            <wp:docPr id="1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5"/>
                    <pic:cNvPicPr>
                      <a:picLocks noChangeAspect="1"/>
                    </pic:cNvPicPr>
                  </pic:nvPicPr>
                  <pic:blipFill>
                    <a:blip r:embed="rId61"/>
                    <a:stretch>
                      <a:fillRect/>
                    </a:stretch>
                  </pic:blipFill>
                  <pic:spPr>
                    <a:xfrm>
                      <a:off x="0" y="0"/>
                      <a:ext cx="5609590" cy="7574280"/>
                    </a:xfrm>
                    <a:prstGeom prst="rect">
                      <a:avLst/>
                    </a:prstGeom>
                    <a:noFill/>
                    <a:ln>
                      <a:noFill/>
                    </a:ln>
                  </pic:spPr>
                </pic:pic>
              </a:graphicData>
            </a:graphic>
          </wp:inline>
        </w:drawing>
      </w:r>
      <w:r>
        <w:rPr>
          <w:color w:val="auto"/>
          <w:highlight w:val="none"/>
        </w:rPr>
        <w:drawing>
          <wp:inline distT="0" distB="0" distL="114300" distR="114300">
            <wp:extent cx="5609590" cy="7631430"/>
            <wp:effectExtent l="0" t="0" r="10160" b="7620"/>
            <wp:docPr id="1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6"/>
                    <pic:cNvPicPr>
                      <a:picLocks noChangeAspect="1"/>
                    </pic:cNvPicPr>
                  </pic:nvPicPr>
                  <pic:blipFill>
                    <a:blip r:embed="rId62"/>
                    <a:stretch>
                      <a:fillRect/>
                    </a:stretch>
                  </pic:blipFill>
                  <pic:spPr>
                    <a:xfrm>
                      <a:off x="0" y="0"/>
                      <a:ext cx="5609590" cy="7631430"/>
                    </a:xfrm>
                    <a:prstGeom prst="rect">
                      <a:avLst/>
                    </a:prstGeom>
                    <a:noFill/>
                    <a:ln>
                      <a:noFill/>
                    </a:ln>
                  </pic:spPr>
                </pic:pic>
              </a:graphicData>
            </a:graphic>
          </wp:inline>
        </w:drawing>
      </w:r>
      <w:r>
        <w:rPr>
          <w:color w:val="auto"/>
          <w:highlight w:val="none"/>
        </w:rPr>
        <w:drawing>
          <wp:inline distT="0" distB="0" distL="114300" distR="114300">
            <wp:extent cx="5612765" cy="7809230"/>
            <wp:effectExtent l="0" t="0" r="6985" b="1270"/>
            <wp:docPr id="1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7"/>
                    <pic:cNvPicPr>
                      <a:picLocks noChangeAspect="1"/>
                    </pic:cNvPicPr>
                  </pic:nvPicPr>
                  <pic:blipFill>
                    <a:blip r:embed="rId63"/>
                    <a:stretch>
                      <a:fillRect/>
                    </a:stretch>
                  </pic:blipFill>
                  <pic:spPr>
                    <a:xfrm>
                      <a:off x="0" y="0"/>
                      <a:ext cx="5612765" cy="7809230"/>
                    </a:xfrm>
                    <a:prstGeom prst="rect">
                      <a:avLst/>
                    </a:prstGeom>
                    <a:noFill/>
                    <a:ln>
                      <a:noFill/>
                    </a:ln>
                  </pic:spPr>
                </pic:pic>
              </a:graphicData>
            </a:graphic>
          </wp:inline>
        </w:drawing>
      </w:r>
      <w:r>
        <w:rPr>
          <w:color w:val="auto"/>
          <w:highlight w:val="none"/>
        </w:rPr>
        <w:drawing>
          <wp:inline distT="0" distB="0" distL="114300" distR="114300">
            <wp:extent cx="5610860" cy="7451090"/>
            <wp:effectExtent l="0" t="0" r="8890" b="16510"/>
            <wp:docPr id="2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8"/>
                    <pic:cNvPicPr>
                      <a:picLocks noChangeAspect="1"/>
                    </pic:cNvPicPr>
                  </pic:nvPicPr>
                  <pic:blipFill>
                    <a:blip r:embed="rId64"/>
                    <a:stretch>
                      <a:fillRect/>
                    </a:stretch>
                  </pic:blipFill>
                  <pic:spPr>
                    <a:xfrm>
                      <a:off x="0" y="0"/>
                      <a:ext cx="5610860" cy="7451090"/>
                    </a:xfrm>
                    <a:prstGeom prst="rect">
                      <a:avLst/>
                    </a:prstGeom>
                    <a:noFill/>
                    <a:ln>
                      <a:noFill/>
                    </a:ln>
                  </pic:spPr>
                </pic:pic>
              </a:graphicData>
            </a:graphic>
          </wp:inline>
        </w:drawing>
      </w:r>
      <w:r>
        <w:rPr>
          <w:color w:val="auto"/>
          <w:highlight w:val="none"/>
        </w:rPr>
        <w:drawing>
          <wp:inline distT="0" distB="0" distL="114300" distR="114300">
            <wp:extent cx="5610860" cy="7816850"/>
            <wp:effectExtent l="0" t="0" r="8890" b="12700"/>
            <wp:docPr id="2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7"/>
                    <pic:cNvPicPr>
                      <a:picLocks noChangeAspect="1"/>
                    </pic:cNvPicPr>
                  </pic:nvPicPr>
                  <pic:blipFill>
                    <a:blip r:embed="rId65"/>
                    <a:stretch>
                      <a:fillRect/>
                    </a:stretch>
                  </pic:blipFill>
                  <pic:spPr>
                    <a:xfrm>
                      <a:off x="0" y="0"/>
                      <a:ext cx="5610860" cy="7816850"/>
                    </a:xfrm>
                    <a:prstGeom prst="rect">
                      <a:avLst/>
                    </a:prstGeom>
                    <a:noFill/>
                    <a:ln>
                      <a:noFill/>
                    </a:ln>
                  </pic:spPr>
                </pic:pic>
              </a:graphicData>
            </a:graphic>
          </wp:inline>
        </w:drawing>
      </w:r>
      <w:r>
        <w:rPr>
          <w:color w:val="auto"/>
          <w:highlight w:val="none"/>
        </w:rPr>
        <w:drawing>
          <wp:inline distT="0" distB="0" distL="114300" distR="114300">
            <wp:extent cx="5612130" cy="7519035"/>
            <wp:effectExtent l="0" t="0" r="7620" b="5715"/>
            <wp:docPr id="2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8"/>
                    <pic:cNvPicPr>
                      <a:picLocks noChangeAspect="1"/>
                    </pic:cNvPicPr>
                  </pic:nvPicPr>
                  <pic:blipFill>
                    <a:blip r:embed="rId66"/>
                    <a:stretch>
                      <a:fillRect/>
                    </a:stretch>
                  </pic:blipFill>
                  <pic:spPr>
                    <a:xfrm>
                      <a:off x="0" y="0"/>
                      <a:ext cx="5612130" cy="7519035"/>
                    </a:xfrm>
                    <a:prstGeom prst="rect">
                      <a:avLst/>
                    </a:prstGeom>
                    <a:noFill/>
                    <a:ln>
                      <a:noFill/>
                    </a:ln>
                  </pic:spPr>
                </pic:pic>
              </a:graphicData>
            </a:graphic>
          </wp:inline>
        </w:drawing>
      </w:r>
      <w:r>
        <w:rPr>
          <w:color w:val="auto"/>
          <w:highlight w:val="none"/>
        </w:rPr>
        <w:drawing>
          <wp:inline distT="0" distB="0" distL="114300" distR="114300">
            <wp:extent cx="5613400" cy="7891780"/>
            <wp:effectExtent l="0" t="0" r="6350" b="13970"/>
            <wp:docPr id="2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9"/>
                    <pic:cNvPicPr>
                      <a:picLocks noChangeAspect="1"/>
                    </pic:cNvPicPr>
                  </pic:nvPicPr>
                  <pic:blipFill>
                    <a:blip r:embed="rId67"/>
                    <a:stretch>
                      <a:fillRect/>
                    </a:stretch>
                  </pic:blipFill>
                  <pic:spPr>
                    <a:xfrm>
                      <a:off x="0" y="0"/>
                      <a:ext cx="5613400" cy="7891780"/>
                    </a:xfrm>
                    <a:prstGeom prst="rect">
                      <a:avLst/>
                    </a:prstGeom>
                    <a:noFill/>
                    <a:ln>
                      <a:noFill/>
                    </a:ln>
                  </pic:spPr>
                </pic:pic>
              </a:graphicData>
            </a:graphic>
          </wp:inline>
        </w:drawing>
      </w:r>
      <w:r>
        <w:rPr>
          <w:color w:val="auto"/>
          <w:highlight w:val="none"/>
        </w:rPr>
        <w:drawing>
          <wp:inline distT="0" distB="0" distL="114300" distR="114300">
            <wp:extent cx="5610860" cy="7684135"/>
            <wp:effectExtent l="0" t="0" r="8890" b="12065"/>
            <wp:docPr id="2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0"/>
                    <pic:cNvPicPr>
                      <a:picLocks noChangeAspect="1"/>
                    </pic:cNvPicPr>
                  </pic:nvPicPr>
                  <pic:blipFill>
                    <a:blip r:embed="rId68"/>
                    <a:stretch>
                      <a:fillRect/>
                    </a:stretch>
                  </pic:blipFill>
                  <pic:spPr>
                    <a:xfrm>
                      <a:off x="0" y="0"/>
                      <a:ext cx="5610860" cy="7684135"/>
                    </a:xfrm>
                    <a:prstGeom prst="rect">
                      <a:avLst/>
                    </a:prstGeom>
                    <a:noFill/>
                    <a:ln>
                      <a:noFill/>
                    </a:ln>
                  </pic:spPr>
                </pic:pic>
              </a:graphicData>
            </a:graphic>
          </wp:inline>
        </w:drawing>
      </w:r>
      <w:r>
        <w:rPr>
          <w:color w:val="auto"/>
          <w:highlight w:val="none"/>
        </w:rPr>
        <w:drawing>
          <wp:inline distT="0" distB="0" distL="114300" distR="114300">
            <wp:extent cx="5612765" cy="7748270"/>
            <wp:effectExtent l="0" t="0" r="6985" b="5080"/>
            <wp:docPr id="2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1"/>
                    <pic:cNvPicPr>
                      <a:picLocks noChangeAspect="1"/>
                    </pic:cNvPicPr>
                  </pic:nvPicPr>
                  <pic:blipFill>
                    <a:blip r:embed="rId69"/>
                    <a:stretch>
                      <a:fillRect/>
                    </a:stretch>
                  </pic:blipFill>
                  <pic:spPr>
                    <a:xfrm>
                      <a:off x="0" y="0"/>
                      <a:ext cx="5612765" cy="7748270"/>
                    </a:xfrm>
                    <a:prstGeom prst="rect">
                      <a:avLst/>
                    </a:prstGeom>
                    <a:noFill/>
                    <a:ln>
                      <a:noFill/>
                    </a:ln>
                  </pic:spPr>
                </pic:pic>
              </a:graphicData>
            </a:graphic>
          </wp:inline>
        </w:drawing>
      </w:r>
      <w:r>
        <w:rPr>
          <w:color w:val="auto"/>
          <w:highlight w:val="none"/>
        </w:rPr>
        <w:drawing>
          <wp:inline distT="0" distB="0" distL="114300" distR="114300">
            <wp:extent cx="5615940" cy="7604125"/>
            <wp:effectExtent l="0" t="0" r="3810" b="15875"/>
            <wp:docPr id="26"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2"/>
                    <pic:cNvPicPr>
                      <a:picLocks noChangeAspect="1"/>
                    </pic:cNvPicPr>
                  </pic:nvPicPr>
                  <pic:blipFill>
                    <a:blip r:embed="rId70"/>
                    <a:stretch>
                      <a:fillRect/>
                    </a:stretch>
                  </pic:blipFill>
                  <pic:spPr>
                    <a:xfrm>
                      <a:off x="0" y="0"/>
                      <a:ext cx="5615940" cy="7604125"/>
                    </a:xfrm>
                    <a:prstGeom prst="rect">
                      <a:avLst/>
                    </a:prstGeom>
                    <a:noFill/>
                    <a:ln>
                      <a:noFill/>
                    </a:ln>
                  </pic:spPr>
                </pic:pic>
              </a:graphicData>
            </a:graphic>
          </wp:inline>
        </w:drawing>
      </w:r>
      <w:r>
        <w:rPr>
          <w:color w:val="auto"/>
          <w:highlight w:val="none"/>
        </w:rPr>
        <w:drawing>
          <wp:inline distT="0" distB="0" distL="114300" distR="114300">
            <wp:extent cx="5610860" cy="7801610"/>
            <wp:effectExtent l="0" t="0" r="8890" b="8890"/>
            <wp:docPr id="2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3"/>
                    <pic:cNvPicPr>
                      <a:picLocks noChangeAspect="1"/>
                    </pic:cNvPicPr>
                  </pic:nvPicPr>
                  <pic:blipFill>
                    <a:blip r:embed="rId71"/>
                    <a:stretch>
                      <a:fillRect/>
                    </a:stretch>
                  </pic:blipFill>
                  <pic:spPr>
                    <a:xfrm>
                      <a:off x="0" y="0"/>
                      <a:ext cx="5610860" cy="7801610"/>
                    </a:xfrm>
                    <a:prstGeom prst="rect">
                      <a:avLst/>
                    </a:prstGeom>
                    <a:noFill/>
                    <a:ln>
                      <a:noFill/>
                    </a:ln>
                  </pic:spPr>
                </pic:pic>
              </a:graphicData>
            </a:graphic>
          </wp:inline>
        </w:drawing>
      </w:r>
    </w:p>
    <w:p w14:paraId="49FA3357">
      <w:pPr>
        <w:pStyle w:val="12"/>
        <w:ind w:left="0" w:leftChars="0" w:firstLine="0" w:firstLineChars="0"/>
        <w:rPr>
          <w:rFonts w:hint="default"/>
          <w:color w:val="auto"/>
          <w:highlight w:val="none"/>
          <w:lang w:val="en-US" w:eastAsia="zh-CN"/>
        </w:rPr>
      </w:pPr>
    </w:p>
    <w:p w14:paraId="6B360956">
      <w:pPr>
        <w:ind w:left="0" w:leftChars="0" w:firstLine="0" w:firstLineChars="0"/>
        <w:rPr>
          <w:rFonts w:hint="eastAsia" w:ascii="Times New Roman" w:hAnsi="Times New Roman" w:eastAsia="黑体" w:cs="Times New Roman"/>
          <w:color w:val="auto"/>
          <w:highlight w:val="none"/>
          <w:lang w:val="en-US" w:eastAsia="zh-CN"/>
        </w:rPr>
      </w:pPr>
      <w:r>
        <w:rPr>
          <w:color w:val="auto"/>
          <w:highlight w:val="none"/>
        </w:rPr>
        <w:drawing>
          <wp:inline distT="0" distB="0" distL="114300" distR="114300">
            <wp:extent cx="5429250" cy="767715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72"/>
                    <a:stretch>
                      <a:fillRect/>
                    </a:stretch>
                  </pic:blipFill>
                  <pic:spPr>
                    <a:xfrm>
                      <a:off x="0" y="0"/>
                      <a:ext cx="5429250" cy="7677150"/>
                    </a:xfrm>
                    <a:prstGeom prst="rect">
                      <a:avLst/>
                    </a:prstGeom>
                    <a:noFill/>
                    <a:ln>
                      <a:noFill/>
                    </a:ln>
                  </pic:spPr>
                </pic:pic>
              </a:graphicData>
            </a:graphic>
          </wp:inline>
        </w:drawing>
      </w:r>
      <w:r>
        <w:rPr>
          <w:color w:val="auto"/>
          <w:highlight w:val="none"/>
        </w:rPr>
        <w:drawing>
          <wp:inline distT="0" distB="0" distL="114300" distR="114300">
            <wp:extent cx="5448300" cy="769620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
                    <pic:cNvPicPr>
                      <a:picLocks noChangeAspect="1"/>
                    </pic:cNvPicPr>
                  </pic:nvPicPr>
                  <pic:blipFill>
                    <a:blip r:embed="rId73"/>
                    <a:stretch>
                      <a:fillRect/>
                    </a:stretch>
                  </pic:blipFill>
                  <pic:spPr>
                    <a:xfrm>
                      <a:off x="0" y="0"/>
                      <a:ext cx="5448300" cy="7696200"/>
                    </a:xfrm>
                    <a:prstGeom prst="rect">
                      <a:avLst/>
                    </a:prstGeom>
                    <a:noFill/>
                    <a:ln>
                      <a:noFill/>
                    </a:ln>
                  </pic:spPr>
                </pic:pic>
              </a:graphicData>
            </a:graphic>
          </wp:inline>
        </w:drawing>
      </w:r>
      <w:r>
        <w:rPr>
          <w:color w:val="auto"/>
          <w:highlight w:val="none"/>
        </w:rPr>
        <w:drawing>
          <wp:inline distT="0" distB="0" distL="114300" distR="114300">
            <wp:extent cx="5334000" cy="7600950"/>
            <wp:effectExtent l="0" t="0" r="0" b="0"/>
            <wp:docPr id="4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6"/>
                    <pic:cNvPicPr>
                      <a:picLocks noChangeAspect="1"/>
                    </pic:cNvPicPr>
                  </pic:nvPicPr>
                  <pic:blipFill>
                    <a:blip r:embed="rId74"/>
                    <a:stretch>
                      <a:fillRect/>
                    </a:stretch>
                  </pic:blipFill>
                  <pic:spPr>
                    <a:xfrm>
                      <a:off x="0" y="0"/>
                      <a:ext cx="5334000" cy="7600950"/>
                    </a:xfrm>
                    <a:prstGeom prst="rect">
                      <a:avLst/>
                    </a:prstGeom>
                    <a:noFill/>
                    <a:ln>
                      <a:noFill/>
                    </a:ln>
                  </pic:spPr>
                </pic:pic>
              </a:graphicData>
            </a:graphic>
          </wp:inline>
        </w:drawing>
      </w:r>
      <w:r>
        <w:rPr>
          <w:color w:val="auto"/>
          <w:highlight w:val="none"/>
        </w:rPr>
        <w:drawing>
          <wp:inline distT="0" distB="0" distL="114300" distR="114300">
            <wp:extent cx="5381625" cy="7572375"/>
            <wp:effectExtent l="0" t="0" r="9525" b="9525"/>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75"/>
                    <a:stretch>
                      <a:fillRect/>
                    </a:stretch>
                  </pic:blipFill>
                  <pic:spPr>
                    <a:xfrm>
                      <a:off x="0" y="0"/>
                      <a:ext cx="5381625" cy="7572375"/>
                    </a:xfrm>
                    <a:prstGeom prst="rect">
                      <a:avLst/>
                    </a:prstGeom>
                    <a:noFill/>
                    <a:ln>
                      <a:noFill/>
                    </a:ln>
                  </pic:spPr>
                </pic:pic>
              </a:graphicData>
            </a:graphic>
          </wp:inline>
        </w:drawing>
      </w:r>
      <w:r>
        <w:rPr>
          <w:color w:val="auto"/>
          <w:highlight w:val="none"/>
        </w:rPr>
        <w:drawing>
          <wp:inline distT="0" distB="0" distL="114300" distR="114300">
            <wp:extent cx="5419725" cy="7658100"/>
            <wp:effectExtent l="0" t="0" r="9525" b="0"/>
            <wp:docPr id="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pic:cNvPicPr>
                      <a:picLocks noChangeAspect="1"/>
                    </pic:cNvPicPr>
                  </pic:nvPicPr>
                  <pic:blipFill>
                    <a:blip r:embed="rId76"/>
                    <a:stretch>
                      <a:fillRect/>
                    </a:stretch>
                  </pic:blipFill>
                  <pic:spPr>
                    <a:xfrm>
                      <a:off x="0" y="0"/>
                      <a:ext cx="5419725" cy="7658100"/>
                    </a:xfrm>
                    <a:prstGeom prst="rect">
                      <a:avLst/>
                    </a:prstGeom>
                    <a:noFill/>
                    <a:ln>
                      <a:noFill/>
                    </a:ln>
                  </pic:spPr>
                </pic:pic>
              </a:graphicData>
            </a:graphic>
          </wp:inline>
        </w:drawing>
      </w:r>
      <w:r>
        <w:rPr>
          <w:color w:val="auto"/>
          <w:highlight w:val="none"/>
        </w:rPr>
        <w:drawing>
          <wp:inline distT="0" distB="0" distL="114300" distR="114300">
            <wp:extent cx="5400675" cy="7696200"/>
            <wp:effectExtent l="0" t="0" r="9525"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pic:cNvPicPr>
                      <a:picLocks noChangeAspect="1"/>
                    </pic:cNvPicPr>
                  </pic:nvPicPr>
                  <pic:blipFill>
                    <a:blip r:embed="rId77"/>
                    <a:stretch>
                      <a:fillRect/>
                    </a:stretch>
                  </pic:blipFill>
                  <pic:spPr>
                    <a:xfrm>
                      <a:off x="0" y="0"/>
                      <a:ext cx="5400675" cy="7696200"/>
                    </a:xfrm>
                    <a:prstGeom prst="rect">
                      <a:avLst/>
                    </a:prstGeom>
                    <a:noFill/>
                    <a:ln>
                      <a:noFill/>
                    </a:ln>
                  </pic:spPr>
                </pic:pic>
              </a:graphicData>
            </a:graphic>
          </wp:inline>
        </w:drawing>
      </w:r>
      <w:r>
        <w:rPr>
          <w:color w:val="auto"/>
          <w:highlight w:val="none"/>
        </w:rPr>
        <w:drawing>
          <wp:inline distT="0" distB="0" distL="114300" distR="114300">
            <wp:extent cx="5514975" cy="7753350"/>
            <wp:effectExtent l="0" t="0" r="9525"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0"/>
                    <pic:cNvPicPr>
                      <a:picLocks noChangeAspect="1"/>
                    </pic:cNvPicPr>
                  </pic:nvPicPr>
                  <pic:blipFill>
                    <a:blip r:embed="rId78"/>
                    <a:stretch>
                      <a:fillRect/>
                    </a:stretch>
                  </pic:blipFill>
                  <pic:spPr>
                    <a:xfrm>
                      <a:off x="0" y="0"/>
                      <a:ext cx="5514975" cy="7753350"/>
                    </a:xfrm>
                    <a:prstGeom prst="rect">
                      <a:avLst/>
                    </a:prstGeom>
                    <a:noFill/>
                    <a:ln>
                      <a:noFill/>
                    </a:ln>
                  </pic:spPr>
                </pic:pic>
              </a:graphicData>
            </a:graphic>
          </wp:inline>
        </w:drawing>
      </w:r>
      <w:r>
        <w:rPr>
          <w:color w:val="auto"/>
          <w:highlight w:val="none"/>
        </w:rPr>
        <w:drawing>
          <wp:inline distT="0" distB="0" distL="114300" distR="114300">
            <wp:extent cx="5524500" cy="7791450"/>
            <wp:effectExtent l="0" t="0" r="0" b="0"/>
            <wp:docPr id="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1"/>
                    <pic:cNvPicPr>
                      <a:picLocks noChangeAspect="1"/>
                    </pic:cNvPicPr>
                  </pic:nvPicPr>
                  <pic:blipFill>
                    <a:blip r:embed="rId79"/>
                    <a:stretch>
                      <a:fillRect/>
                    </a:stretch>
                  </pic:blipFill>
                  <pic:spPr>
                    <a:xfrm>
                      <a:off x="0" y="0"/>
                      <a:ext cx="5524500" cy="7791450"/>
                    </a:xfrm>
                    <a:prstGeom prst="rect">
                      <a:avLst/>
                    </a:prstGeom>
                    <a:noFill/>
                    <a:ln>
                      <a:noFill/>
                    </a:ln>
                  </pic:spPr>
                </pic:pic>
              </a:graphicData>
            </a:graphic>
          </wp:inline>
        </w:drawing>
      </w:r>
      <w:r>
        <w:rPr>
          <w:color w:val="auto"/>
          <w:highlight w:val="none"/>
        </w:rPr>
        <w:drawing>
          <wp:inline distT="0" distB="0" distL="114300" distR="114300">
            <wp:extent cx="5505450" cy="7848600"/>
            <wp:effectExtent l="0" t="0" r="0" b="0"/>
            <wp:docPr id="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2"/>
                    <pic:cNvPicPr>
                      <a:picLocks noChangeAspect="1"/>
                    </pic:cNvPicPr>
                  </pic:nvPicPr>
                  <pic:blipFill>
                    <a:blip r:embed="rId80"/>
                    <a:stretch>
                      <a:fillRect/>
                    </a:stretch>
                  </pic:blipFill>
                  <pic:spPr>
                    <a:xfrm>
                      <a:off x="0" y="0"/>
                      <a:ext cx="5505450" cy="7848600"/>
                    </a:xfrm>
                    <a:prstGeom prst="rect">
                      <a:avLst/>
                    </a:prstGeom>
                    <a:noFill/>
                    <a:ln>
                      <a:noFill/>
                    </a:ln>
                  </pic:spPr>
                </pic:pic>
              </a:graphicData>
            </a:graphic>
          </wp:inline>
        </w:drawing>
      </w:r>
      <w:r>
        <w:rPr>
          <w:color w:val="auto"/>
          <w:highlight w:val="none"/>
        </w:rPr>
        <w:drawing>
          <wp:inline distT="0" distB="0" distL="114300" distR="114300">
            <wp:extent cx="5495925" cy="7743825"/>
            <wp:effectExtent l="0" t="0" r="9525" b="9525"/>
            <wp:docPr id="5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3"/>
                    <pic:cNvPicPr>
                      <a:picLocks noChangeAspect="1"/>
                    </pic:cNvPicPr>
                  </pic:nvPicPr>
                  <pic:blipFill>
                    <a:blip r:embed="rId81"/>
                    <a:stretch>
                      <a:fillRect/>
                    </a:stretch>
                  </pic:blipFill>
                  <pic:spPr>
                    <a:xfrm>
                      <a:off x="0" y="0"/>
                      <a:ext cx="5495925" cy="7743825"/>
                    </a:xfrm>
                    <a:prstGeom prst="rect">
                      <a:avLst/>
                    </a:prstGeom>
                    <a:noFill/>
                    <a:ln>
                      <a:noFill/>
                    </a:ln>
                  </pic:spPr>
                </pic:pic>
              </a:graphicData>
            </a:graphic>
          </wp:inline>
        </w:drawing>
      </w:r>
      <w:r>
        <w:rPr>
          <w:color w:val="auto"/>
          <w:highlight w:val="none"/>
        </w:rPr>
        <w:drawing>
          <wp:inline distT="0" distB="0" distL="114300" distR="114300">
            <wp:extent cx="5514975" cy="7829550"/>
            <wp:effectExtent l="0" t="0" r="9525" b="0"/>
            <wp:docPr id="5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4"/>
                    <pic:cNvPicPr>
                      <a:picLocks noChangeAspect="1"/>
                    </pic:cNvPicPr>
                  </pic:nvPicPr>
                  <pic:blipFill>
                    <a:blip r:embed="rId82"/>
                    <a:stretch>
                      <a:fillRect/>
                    </a:stretch>
                  </pic:blipFill>
                  <pic:spPr>
                    <a:xfrm>
                      <a:off x="0" y="0"/>
                      <a:ext cx="5514975" cy="7829550"/>
                    </a:xfrm>
                    <a:prstGeom prst="rect">
                      <a:avLst/>
                    </a:prstGeom>
                    <a:noFill/>
                    <a:ln>
                      <a:noFill/>
                    </a:ln>
                  </pic:spPr>
                </pic:pic>
              </a:graphicData>
            </a:graphic>
          </wp:inline>
        </w:drawing>
      </w:r>
      <w:r>
        <w:rPr>
          <w:color w:val="auto"/>
          <w:highlight w:val="none"/>
        </w:rPr>
        <w:drawing>
          <wp:inline distT="0" distB="0" distL="114300" distR="114300">
            <wp:extent cx="5495925" cy="7734300"/>
            <wp:effectExtent l="0" t="0" r="9525" b="0"/>
            <wp:docPr id="5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5"/>
                    <pic:cNvPicPr>
                      <a:picLocks noChangeAspect="1"/>
                    </pic:cNvPicPr>
                  </pic:nvPicPr>
                  <pic:blipFill>
                    <a:blip r:embed="rId83"/>
                    <a:stretch>
                      <a:fillRect/>
                    </a:stretch>
                  </pic:blipFill>
                  <pic:spPr>
                    <a:xfrm>
                      <a:off x="0" y="0"/>
                      <a:ext cx="5495925" cy="7734300"/>
                    </a:xfrm>
                    <a:prstGeom prst="rect">
                      <a:avLst/>
                    </a:prstGeom>
                    <a:noFill/>
                    <a:ln>
                      <a:noFill/>
                    </a:ln>
                  </pic:spPr>
                </pic:pic>
              </a:graphicData>
            </a:graphic>
          </wp:inline>
        </w:drawing>
      </w:r>
      <w:r>
        <w:rPr>
          <w:color w:val="auto"/>
          <w:highlight w:val="none"/>
        </w:rPr>
        <w:drawing>
          <wp:inline distT="0" distB="0" distL="114300" distR="114300">
            <wp:extent cx="5524500" cy="7753350"/>
            <wp:effectExtent l="0" t="0" r="0" b="0"/>
            <wp:docPr id="5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6"/>
                    <pic:cNvPicPr>
                      <a:picLocks noChangeAspect="1"/>
                    </pic:cNvPicPr>
                  </pic:nvPicPr>
                  <pic:blipFill>
                    <a:blip r:embed="rId84"/>
                    <a:stretch>
                      <a:fillRect/>
                    </a:stretch>
                  </pic:blipFill>
                  <pic:spPr>
                    <a:xfrm>
                      <a:off x="0" y="0"/>
                      <a:ext cx="5524500" cy="7753350"/>
                    </a:xfrm>
                    <a:prstGeom prst="rect">
                      <a:avLst/>
                    </a:prstGeom>
                    <a:noFill/>
                    <a:ln>
                      <a:noFill/>
                    </a:ln>
                  </pic:spPr>
                </pic:pic>
              </a:graphicData>
            </a:graphic>
          </wp:inline>
        </w:drawing>
      </w:r>
      <w:r>
        <w:rPr>
          <w:color w:val="auto"/>
          <w:highlight w:val="none"/>
        </w:rPr>
        <w:drawing>
          <wp:inline distT="0" distB="0" distL="114300" distR="114300">
            <wp:extent cx="5534025" cy="7791450"/>
            <wp:effectExtent l="0" t="0" r="9525" b="0"/>
            <wp:docPr id="5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7"/>
                    <pic:cNvPicPr>
                      <a:picLocks noChangeAspect="1"/>
                    </pic:cNvPicPr>
                  </pic:nvPicPr>
                  <pic:blipFill>
                    <a:blip r:embed="rId85"/>
                    <a:stretch>
                      <a:fillRect/>
                    </a:stretch>
                  </pic:blipFill>
                  <pic:spPr>
                    <a:xfrm>
                      <a:off x="0" y="0"/>
                      <a:ext cx="5534025" cy="7791450"/>
                    </a:xfrm>
                    <a:prstGeom prst="rect">
                      <a:avLst/>
                    </a:prstGeom>
                    <a:noFill/>
                    <a:ln>
                      <a:noFill/>
                    </a:ln>
                  </pic:spPr>
                </pic:pic>
              </a:graphicData>
            </a:graphic>
          </wp:inline>
        </w:drawing>
      </w:r>
      <w:r>
        <w:rPr>
          <w:color w:val="auto"/>
          <w:highlight w:val="none"/>
        </w:rPr>
        <w:drawing>
          <wp:inline distT="0" distB="0" distL="114300" distR="114300">
            <wp:extent cx="5467350" cy="7791450"/>
            <wp:effectExtent l="0" t="0" r="0" b="0"/>
            <wp:docPr id="5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6"/>
                    <pic:cNvPicPr>
                      <a:picLocks noChangeAspect="1"/>
                    </pic:cNvPicPr>
                  </pic:nvPicPr>
                  <pic:blipFill>
                    <a:blip r:embed="rId86"/>
                    <a:stretch>
                      <a:fillRect/>
                    </a:stretch>
                  </pic:blipFill>
                  <pic:spPr>
                    <a:xfrm>
                      <a:off x="0" y="0"/>
                      <a:ext cx="5467350" cy="7791450"/>
                    </a:xfrm>
                    <a:prstGeom prst="rect">
                      <a:avLst/>
                    </a:prstGeom>
                    <a:noFill/>
                    <a:ln>
                      <a:noFill/>
                    </a:ln>
                  </pic:spPr>
                </pic:pic>
              </a:graphicData>
            </a:graphic>
          </wp:inline>
        </w:drawing>
      </w:r>
      <w:r>
        <w:rPr>
          <w:color w:val="auto"/>
          <w:highlight w:val="none"/>
        </w:rPr>
        <w:drawing>
          <wp:inline distT="0" distB="0" distL="114300" distR="114300">
            <wp:extent cx="5572125" cy="7848600"/>
            <wp:effectExtent l="0" t="0" r="9525" b="0"/>
            <wp:docPr id="6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7"/>
                    <pic:cNvPicPr>
                      <a:picLocks noChangeAspect="1"/>
                    </pic:cNvPicPr>
                  </pic:nvPicPr>
                  <pic:blipFill>
                    <a:blip r:embed="rId87"/>
                    <a:stretch>
                      <a:fillRect/>
                    </a:stretch>
                  </pic:blipFill>
                  <pic:spPr>
                    <a:xfrm>
                      <a:off x="0" y="0"/>
                      <a:ext cx="5572125" cy="7848600"/>
                    </a:xfrm>
                    <a:prstGeom prst="rect">
                      <a:avLst/>
                    </a:prstGeom>
                    <a:noFill/>
                    <a:ln>
                      <a:noFill/>
                    </a:ln>
                  </pic:spPr>
                </pic:pic>
              </a:graphicData>
            </a:graphic>
          </wp:inline>
        </w:drawing>
      </w:r>
      <w:r>
        <w:rPr>
          <w:color w:val="auto"/>
          <w:highlight w:val="none"/>
        </w:rPr>
        <w:drawing>
          <wp:inline distT="0" distB="0" distL="114300" distR="114300">
            <wp:extent cx="5514975" cy="7800975"/>
            <wp:effectExtent l="0" t="0" r="9525" b="952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88"/>
                    <a:stretch>
                      <a:fillRect/>
                    </a:stretch>
                  </pic:blipFill>
                  <pic:spPr>
                    <a:xfrm>
                      <a:off x="0" y="0"/>
                      <a:ext cx="5514975" cy="7800975"/>
                    </a:xfrm>
                    <a:prstGeom prst="rect">
                      <a:avLst/>
                    </a:prstGeom>
                    <a:noFill/>
                    <a:ln>
                      <a:noFill/>
                    </a:ln>
                  </pic:spPr>
                </pic:pic>
              </a:graphicData>
            </a:graphic>
          </wp:inline>
        </w:drawing>
      </w:r>
      <w:r>
        <w:rPr>
          <w:color w:val="auto"/>
          <w:highlight w:val="none"/>
        </w:rPr>
        <w:drawing>
          <wp:inline distT="0" distB="0" distL="114300" distR="114300">
            <wp:extent cx="5476875" cy="7839075"/>
            <wp:effectExtent l="0" t="0" r="9525" b="952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89"/>
                    <a:stretch>
                      <a:fillRect/>
                    </a:stretch>
                  </pic:blipFill>
                  <pic:spPr>
                    <a:xfrm>
                      <a:off x="0" y="0"/>
                      <a:ext cx="5476875" cy="7839075"/>
                    </a:xfrm>
                    <a:prstGeom prst="rect">
                      <a:avLst/>
                    </a:prstGeom>
                    <a:noFill/>
                    <a:ln>
                      <a:noFill/>
                    </a:ln>
                  </pic:spPr>
                </pic:pic>
              </a:graphicData>
            </a:graphic>
          </wp:inline>
        </w:drawing>
      </w:r>
    </w:p>
    <w:p w14:paraId="6CB4B96A">
      <w:pPr>
        <w:rPr>
          <w:rFonts w:hint="eastAsia" w:ascii="Times New Roman" w:hAnsi="Times New Roman" w:eastAsia="黑体" w:cs="Times New Roman"/>
          <w:color w:val="auto"/>
          <w:highlight w:val="none"/>
          <w:lang w:val="en-US" w:eastAsia="zh-CN"/>
        </w:rPr>
      </w:pPr>
    </w:p>
    <w:p w14:paraId="46550CF7">
      <w:pPr>
        <w:pStyle w:val="8"/>
        <w:bidi w:val="0"/>
        <w:rPr>
          <w:rFonts w:hint="eastAsia"/>
          <w:color w:val="auto"/>
          <w:highlight w:val="none"/>
          <w:lang w:val="en-US" w:eastAsia="zh-CN"/>
        </w:rPr>
      </w:pPr>
      <w:r>
        <w:rPr>
          <w:rFonts w:hint="eastAsia"/>
          <w:color w:val="auto"/>
          <w:highlight w:val="none"/>
          <w:lang w:val="en-US" w:eastAsia="zh-CN"/>
        </w:rPr>
        <w:t>附件3现有工程总量文件</w:t>
      </w:r>
    </w:p>
    <w:p w14:paraId="7E1B7BEE">
      <w:pPr>
        <w:ind w:left="0" w:leftChars="0" w:firstLine="0" w:firstLineChars="0"/>
        <w:jc w:val="center"/>
        <w:rPr>
          <w:rFonts w:hint="default"/>
          <w:color w:val="auto"/>
          <w:highlight w:val="none"/>
          <w:lang w:val="en-US" w:eastAsia="zh-CN"/>
        </w:rPr>
      </w:pPr>
      <w:r>
        <w:rPr>
          <w:color w:val="auto"/>
          <w:highlight w:val="none"/>
        </w:rPr>
        <w:drawing>
          <wp:inline distT="0" distB="0" distL="114300" distR="114300">
            <wp:extent cx="5581650" cy="7515225"/>
            <wp:effectExtent l="0" t="0" r="0" b="9525"/>
            <wp:docPr id="2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8"/>
                    <pic:cNvPicPr>
                      <a:picLocks noChangeAspect="1"/>
                    </pic:cNvPicPr>
                  </pic:nvPicPr>
                  <pic:blipFill>
                    <a:blip r:embed="rId90"/>
                    <a:stretch>
                      <a:fillRect/>
                    </a:stretch>
                  </pic:blipFill>
                  <pic:spPr>
                    <a:xfrm>
                      <a:off x="0" y="0"/>
                      <a:ext cx="5581650" cy="7515225"/>
                    </a:xfrm>
                    <a:prstGeom prst="rect">
                      <a:avLst/>
                    </a:prstGeom>
                    <a:noFill/>
                    <a:ln>
                      <a:noFill/>
                    </a:ln>
                  </pic:spPr>
                </pic:pic>
              </a:graphicData>
            </a:graphic>
          </wp:inline>
        </w:drawing>
      </w:r>
      <w:r>
        <w:rPr>
          <w:color w:val="auto"/>
          <w:highlight w:val="none"/>
        </w:rPr>
        <w:drawing>
          <wp:inline distT="0" distB="0" distL="114300" distR="114300">
            <wp:extent cx="5591175" cy="7839075"/>
            <wp:effectExtent l="0" t="0" r="9525" b="9525"/>
            <wp:docPr id="2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9"/>
                    <pic:cNvPicPr>
                      <a:picLocks noChangeAspect="1"/>
                    </pic:cNvPicPr>
                  </pic:nvPicPr>
                  <pic:blipFill>
                    <a:blip r:embed="rId91"/>
                    <a:stretch>
                      <a:fillRect/>
                    </a:stretch>
                  </pic:blipFill>
                  <pic:spPr>
                    <a:xfrm>
                      <a:off x="0" y="0"/>
                      <a:ext cx="5591175" cy="7839075"/>
                    </a:xfrm>
                    <a:prstGeom prst="rect">
                      <a:avLst/>
                    </a:prstGeom>
                    <a:noFill/>
                    <a:ln>
                      <a:noFill/>
                    </a:ln>
                  </pic:spPr>
                </pic:pic>
              </a:graphicData>
            </a:graphic>
          </wp:inline>
        </w:drawing>
      </w:r>
    </w:p>
    <w:p w14:paraId="1B835686">
      <w:pPr>
        <w:pStyle w:val="2"/>
        <w:rPr>
          <w:rFonts w:hint="eastAsia" w:ascii="Times New Roman" w:hAnsi="Times New Roman" w:eastAsia="黑体" w:cs="Times New Roman"/>
          <w:color w:val="auto"/>
          <w:highlight w:val="none"/>
          <w:lang w:val="en-US" w:eastAsia="zh-CN"/>
        </w:rPr>
      </w:pPr>
    </w:p>
    <w:p w14:paraId="090FEED4">
      <w:pPr>
        <w:pStyle w:val="4"/>
        <w:rPr>
          <w:rFonts w:hint="eastAsia" w:ascii="Times New Roman" w:hAnsi="Times New Roman" w:eastAsia="黑体" w:cs="Times New Roman"/>
          <w:color w:val="auto"/>
          <w:highlight w:val="none"/>
          <w:lang w:val="en-US" w:eastAsia="zh-CN"/>
        </w:rPr>
      </w:pPr>
    </w:p>
    <w:p w14:paraId="0B6CF833">
      <w:pPr>
        <w:rPr>
          <w:rFonts w:hint="eastAsia" w:ascii="Times New Roman" w:hAnsi="Times New Roman" w:eastAsia="黑体" w:cs="Times New Roman"/>
          <w:color w:val="auto"/>
          <w:highlight w:val="none"/>
          <w:lang w:val="en-US" w:eastAsia="zh-CN"/>
        </w:rPr>
      </w:pPr>
    </w:p>
    <w:p w14:paraId="6FCECBD7">
      <w:pPr>
        <w:pStyle w:val="8"/>
        <w:bidi w:val="0"/>
        <w:rPr>
          <w:rFonts w:hint="eastAsia"/>
          <w:color w:val="auto"/>
          <w:highlight w:val="none"/>
          <w:lang w:val="en-US" w:eastAsia="zh-CN"/>
        </w:rPr>
      </w:pPr>
      <w:r>
        <w:rPr>
          <w:rFonts w:hint="eastAsia"/>
          <w:color w:val="auto"/>
          <w:highlight w:val="none"/>
          <w:lang w:val="en-US" w:eastAsia="zh-CN"/>
        </w:rPr>
        <w:t>附件4燃煤煤质化验单</w:t>
      </w:r>
    </w:p>
    <w:p w14:paraId="2DD9D14A">
      <w:pPr>
        <w:ind w:left="0" w:leftChars="0" w:firstLine="0" w:firstLineChars="0"/>
        <w:rPr>
          <w:rFonts w:hint="default"/>
          <w:color w:val="auto"/>
          <w:highlight w:val="none"/>
          <w:lang w:val="en-US" w:eastAsia="zh-CN"/>
        </w:rPr>
      </w:pPr>
      <w:r>
        <w:rPr>
          <w:rFonts w:hint="default"/>
          <w:color w:val="auto"/>
          <w:highlight w:val="none"/>
          <w:lang w:val="en-US" w:eastAsia="zh-CN"/>
        </w:rPr>
        <w:drawing>
          <wp:inline distT="0" distB="0" distL="114300" distR="114300">
            <wp:extent cx="5609590" cy="8001635"/>
            <wp:effectExtent l="0" t="0" r="10160" b="18415"/>
            <wp:docPr id="30" name="图片 47" descr="24aba0fe25d43107686270edab80bf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descr="24aba0fe25d43107686270edab80bf5c"/>
                    <pic:cNvPicPr>
                      <a:picLocks noChangeAspect="1"/>
                    </pic:cNvPicPr>
                  </pic:nvPicPr>
                  <pic:blipFill>
                    <a:blip r:embed="rId92"/>
                    <a:stretch>
                      <a:fillRect/>
                    </a:stretch>
                  </pic:blipFill>
                  <pic:spPr>
                    <a:xfrm>
                      <a:off x="0" y="0"/>
                      <a:ext cx="5609590" cy="8001635"/>
                    </a:xfrm>
                    <a:prstGeom prst="rect">
                      <a:avLst/>
                    </a:prstGeom>
                    <a:noFill/>
                    <a:ln>
                      <a:noFill/>
                    </a:ln>
                  </pic:spPr>
                </pic:pic>
              </a:graphicData>
            </a:graphic>
          </wp:inline>
        </w:drawing>
      </w:r>
      <w:r>
        <w:rPr>
          <w:rFonts w:hint="default"/>
          <w:color w:val="auto"/>
          <w:highlight w:val="none"/>
          <w:lang w:val="en-US" w:eastAsia="zh-CN"/>
        </w:rPr>
        <w:drawing>
          <wp:inline distT="0" distB="0" distL="114300" distR="114300">
            <wp:extent cx="5609590" cy="8001635"/>
            <wp:effectExtent l="0" t="0" r="10160" b="18415"/>
            <wp:docPr id="31" name="图片 49" descr="07b2921ae7a1abb6dc4dbd00695ed0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9" descr="07b2921ae7a1abb6dc4dbd00695ed01c"/>
                    <pic:cNvPicPr>
                      <a:picLocks noChangeAspect="1"/>
                    </pic:cNvPicPr>
                  </pic:nvPicPr>
                  <pic:blipFill>
                    <a:blip r:embed="rId93"/>
                    <a:stretch>
                      <a:fillRect/>
                    </a:stretch>
                  </pic:blipFill>
                  <pic:spPr>
                    <a:xfrm>
                      <a:off x="0" y="0"/>
                      <a:ext cx="5609590" cy="8001635"/>
                    </a:xfrm>
                    <a:prstGeom prst="rect">
                      <a:avLst/>
                    </a:prstGeom>
                    <a:noFill/>
                    <a:ln>
                      <a:noFill/>
                    </a:ln>
                  </pic:spPr>
                </pic:pic>
              </a:graphicData>
            </a:graphic>
          </wp:inline>
        </w:drawing>
      </w:r>
      <w:r>
        <w:rPr>
          <w:rFonts w:hint="default"/>
          <w:color w:val="auto"/>
          <w:highlight w:val="none"/>
          <w:lang w:val="en-US" w:eastAsia="zh-CN"/>
        </w:rPr>
        <w:drawing>
          <wp:inline distT="0" distB="0" distL="114300" distR="114300">
            <wp:extent cx="5609590" cy="8001635"/>
            <wp:effectExtent l="0" t="0" r="10160" b="18415"/>
            <wp:docPr id="32" name="图片 48" descr="9ab465d504258cd89bd863e605d8fe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8" descr="9ab465d504258cd89bd863e605d8fe3b"/>
                    <pic:cNvPicPr>
                      <a:picLocks noChangeAspect="1"/>
                    </pic:cNvPicPr>
                  </pic:nvPicPr>
                  <pic:blipFill>
                    <a:blip r:embed="rId94"/>
                    <a:stretch>
                      <a:fillRect/>
                    </a:stretch>
                  </pic:blipFill>
                  <pic:spPr>
                    <a:xfrm>
                      <a:off x="0" y="0"/>
                      <a:ext cx="5609590" cy="8001635"/>
                    </a:xfrm>
                    <a:prstGeom prst="rect">
                      <a:avLst/>
                    </a:prstGeom>
                    <a:noFill/>
                    <a:ln>
                      <a:noFill/>
                    </a:ln>
                  </pic:spPr>
                </pic:pic>
              </a:graphicData>
            </a:graphic>
          </wp:inline>
        </w:drawing>
      </w:r>
    </w:p>
    <w:p w14:paraId="227B6DB3">
      <w:pPr>
        <w:rPr>
          <w:rFonts w:hint="eastAsia" w:ascii="Times New Roman" w:hAnsi="Times New Roman" w:eastAsia="黑体" w:cs="Times New Roman"/>
          <w:color w:val="auto"/>
          <w:highlight w:val="none"/>
          <w:lang w:val="en-US" w:eastAsia="zh-CN"/>
        </w:rPr>
      </w:pPr>
    </w:p>
    <w:p w14:paraId="6AA1A449">
      <w:pPr>
        <w:pStyle w:val="4"/>
        <w:ind w:left="0" w:leftChars="0" w:firstLine="0" w:firstLineChars="0"/>
        <w:jc w:val="center"/>
        <w:rPr>
          <w:color w:val="auto"/>
          <w:highlight w:val="none"/>
        </w:rPr>
      </w:pPr>
    </w:p>
    <w:p w14:paraId="670B0A84">
      <w:pPr>
        <w:pStyle w:val="8"/>
        <w:bidi w:val="0"/>
        <w:rPr>
          <w:rFonts w:hint="default" w:eastAsia="黑体"/>
          <w:color w:val="auto"/>
          <w:highlight w:val="none"/>
          <w:lang w:val="en-US" w:eastAsia="zh-CN"/>
        </w:rPr>
      </w:pPr>
      <w:r>
        <w:rPr>
          <w:rFonts w:hint="eastAsia"/>
          <w:color w:val="auto"/>
          <w:highlight w:val="none"/>
          <w:lang w:val="en-US" w:eastAsia="zh-CN"/>
        </w:rPr>
        <w:t>附件5凯达煤矿锅炉使用情况说明</w:t>
      </w:r>
    </w:p>
    <w:p w14:paraId="49293DAA">
      <w:pPr>
        <w:pStyle w:val="4"/>
        <w:ind w:left="0" w:leftChars="0" w:firstLine="0" w:firstLineChars="0"/>
        <w:jc w:val="center"/>
        <w:rPr>
          <w:rFonts w:hint="default"/>
          <w:b/>
          <w:bCs/>
          <w:color w:val="auto"/>
          <w:highlight w:val="none"/>
          <w:lang w:val="en-US" w:eastAsia="zh-CN"/>
        </w:rPr>
      </w:pPr>
      <w:r>
        <w:rPr>
          <w:color w:val="auto"/>
          <w:highlight w:val="none"/>
        </w:rPr>
        <w:drawing>
          <wp:inline distT="0" distB="0" distL="114300" distR="114300">
            <wp:extent cx="5019675" cy="7124700"/>
            <wp:effectExtent l="0" t="0" r="9525" b="0"/>
            <wp:docPr id="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4"/>
                    <pic:cNvPicPr>
                      <a:picLocks noChangeAspect="1"/>
                    </pic:cNvPicPr>
                  </pic:nvPicPr>
                  <pic:blipFill>
                    <a:blip r:embed="rId95"/>
                    <a:stretch>
                      <a:fillRect/>
                    </a:stretch>
                  </pic:blipFill>
                  <pic:spPr>
                    <a:xfrm>
                      <a:off x="0" y="0"/>
                      <a:ext cx="5019675" cy="7124700"/>
                    </a:xfrm>
                    <a:prstGeom prst="rect">
                      <a:avLst/>
                    </a:prstGeom>
                    <a:noFill/>
                    <a:ln>
                      <a:noFill/>
                    </a:ln>
                  </pic:spPr>
                </pic:pic>
              </a:graphicData>
            </a:graphic>
          </wp:inline>
        </w:drawing>
      </w:r>
      <w:r>
        <w:rPr>
          <w:color w:val="auto"/>
          <w:highlight w:val="none"/>
        </w:rPr>
        <w:drawing>
          <wp:inline distT="0" distB="0" distL="114300" distR="114300">
            <wp:extent cx="5057775" cy="7115175"/>
            <wp:effectExtent l="0" t="0" r="9525" b="9525"/>
            <wp:docPr id="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5"/>
                    <pic:cNvPicPr>
                      <a:picLocks noChangeAspect="1"/>
                    </pic:cNvPicPr>
                  </pic:nvPicPr>
                  <pic:blipFill>
                    <a:blip r:embed="rId96"/>
                    <a:stretch>
                      <a:fillRect/>
                    </a:stretch>
                  </pic:blipFill>
                  <pic:spPr>
                    <a:xfrm>
                      <a:off x="0" y="0"/>
                      <a:ext cx="5057775" cy="7115175"/>
                    </a:xfrm>
                    <a:prstGeom prst="rect">
                      <a:avLst/>
                    </a:prstGeom>
                    <a:noFill/>
                    <a:ln>
                      <a:noFill/>
                    </a:ln>
                  </pic:spPr>
                </pic:pic>
              </a:graphicData>
            </a:graphic>
          </wp:inline>
        </w:drawing>
      </w:r>
    </w:p>
    <w:p w14:paraId="7275DB26">
      <w:pPr>
        <w:pStyle w:val="4"/>
        <w:rPr>
          <w:rFonts w:hint="eastAsia" w:ascii="Times New Roman" w:hAnsi="Times New Roman" w:eastAsia="黑体" w:cs="Times New Roman"/>
          <w:color w:val="auto"/>
          <w:highlight w:val="none"/>
          <w:lang w:val="en-US" w:eastAsia="zh-CN"/>
        </w:rPr>
      </w:pPr>
    </w:p>
    <w:p w14:paraId="46797986">
      <w:pPr>
        <w:rPr>
          <w:rFonts w:hint="eastAsia"/>
          <w:color w:val="auto"/>
          <w:highlight w:val="none"/>
          <w:lang w:val="en-US" w:eastAsia="zh-CN"/>
        </w:rPr>
      </w:pPr>
    </w:p>
    <w:p w14:paraId="62348AD4">
      <w:pPr>
        <w:pStyle w:val="24"/>
        <w:rPr>
          <w:rFonts w:hint="eastAsia"/>
          <w:color w:val="auto"/>
          <w:highlight w:val="none"/>
          <w:lang w:val="en-US" w:eastAsia="zh-CN"/>
        </w:rPr>
      </w:pPr>
    </w:p>
    <w:p w14:paraId="34944C13">
      <w:pPr>
        <w:rPr>
          <w:rFonts w:hint="eastAsia"/>
          <w:color w:val="auto"/>
          <w:highlight w:val="none"/>
          <w:lang w:val="en-US" w:eastAsia="zh-CN"/>
        </w:rPr>
      </w:pPr>
    </w:p>
    <w:p w14:paraId="0E4C059E">
      <w:pPr>
        <w:pStyle w:val="24"/>
        <w:rPr>
          <w:rFonts w:hint="eastAsia"/>
          <w:color w:val="auto"/>
          <w:highlight w:val="none"/>
          <w:lang w:val="en-US" w:eastAsia="zh-CN"/>
        </w:rPr>
      </w:pPr>
    </w:p>
    <w:p w14:paraId="04BEA1EC">
      <w:pPr>
        <w:rPr>
          <w:rFonts w:hint="eastAsia"/>
          <w:color w:val="auto"/>
          <w:highlight w:val="none"/>
          <w:lang w:val="en-US" w:eastAsia="zh-CN"/>
        </w:rPr>
      </w:pPr>
    </w:p>
    <w:p w14:paraId="592F16F4">
      <w:pPr>
        <w:pStyle w:val="8"/>
        <w:bidi w:val="0"/>
        <w:rPr>
          <w:rFonts w:hint="eastAsia"/>
          <w:color w:val="auto"/>
          <w:highlight w:val="none"/>
          <w:lang w:val="en-US" w:eastAsia="zh-CN"/>
        </w:rPr>
      </w:pPr>
      <w:r>
        <w:rPr>
          <w:rFonts w:hint="eastAsia"/>
          <w:color w:val="auto"/>
          <w:highlight w:val="none"/>
          <w:lang w:val="en-US" w:eastAsia="zh-CN"/>
        </w:rPr>
        <w:t>附件6引用地下水检测报告</w:t>
      </w:r>
    </w:p>
    <w:p w14:paraId="749DB9BE">
      <w:pPr>
        <w:ind w:left="0" w:leftChars="0" w:firstLine="0" w:firstLineChars="0"/>
        <w:rPr>
          <w:rFonts w:hint="default"/>
          <w:color w:val="auto"/>
          <w:highlight w:val="none"/>
          <w:lang w:val="en-US" w:eastAsia="zh-CN"/>
        </w:rPr>
      </w:pPr>
      <w:r>
        <w:rPr>
          <w:color w:val="auto"/>
          <w:highlight w:val="none"/>
        </w:rPr>
        <w:drawing>
          <wp:inline distT="0" distB="0" distL="114300" distR="114300">
            <wp:extent cx="5562600" cy="7848600"/>
            <wp:effectExtent l="0" t="0" r="0" b="0"/>
            <wp:docPr id="6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5"/>
                    <pic:cNvPicPr>
                      <a:picLocks noChangeAspect="1"/>
                    </pic:cNvPicPr>
                  </pic:nvPicPr>
                  <pic:blipFill>
                    <a:blip r:embed="rId97"/>
                    <a:stretch>
                      <a:fillRect/>
                    </a:stretch>
                  </pic:blipFill>
                  <pic:spPr>
                    <a:xfrm>
                      <a:off x="0" y="0"/>
                      <a:ext cx="5562600" cy="7848600"/>
                    </a:xfrm>
                    <a:prstGeom prst="rect">
                      <a:avLst/>
                    </a:prstGeom>
                    <a:noFill/>
                    <a:ln>
                      <a:noFill/>
                    </a:ln>
                  </pic:spPr>
                </pic:pic>
              </a:graphicData>
            </a:graphic>
          </wp:inline>
        </w:drawing>
      </w:r>
      <w:r>
        <w:rPr>
          <w:color w:val="auto"/>
          <w:highlight w:val="none"/>
        </w:rPr>
        <w:drawing>
          <wp:inline distT="0" distB="0" distL="114300" distR="114300">
            <wp:extent cx="5495925" cy="7810500"/>
            <wp:effectExtent l="0" t="0" r="9525" b="0"/>
            <wp:docPr id="6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6"/>
                    <pic:cNvPicPr>
                      <a:picLocks noChangeAspect="1"/>
                    </pic:cNvPicPr>
                  </pic:nvPicPr>
                  <pic:blipFill>
                    <a:blip r:embed="rId98"/>
                    <a:stretch>
                      <a:fillRect/>
                    </a:stretch>
                  </pic:blipFill>
                  <pic:spPr>
                    <a:xfrm>
                      <a:off x="0" y="0"/>
                      <a:ext cx="5495925" cy="7810500"/>
                    </a:xfrm>
                    <a:prstGeom prst="rect">
                      <a:avLst/>
                    </a:prstGeom>
                    <a:noFill/>
                    <a:ln>
                      <a:noFill/>
                    </a:ln>
                  </pic:spPr>
                </pic:pic>
              </a:graphicData>
            </a:graphic>
          </wp:inline>
        </w:drawing>
      </w:r>
      <w:r>
        <w:rPr>
          <w:color w:val="auto"/>
          <w:highlight w:val="none"/>
        </w:rPr>
        <w:drawing>
          <wp:inline distT="0" distB="0" distL="114300" distR="114300">
            <wp:extent cx="5524500" cy="7343775"/>
            <wp:effectExtent l="0" t="0" r="0" b="9525"/>
            <wp:docPr id="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7"/>
                    <pic:cNvPicPr>
                      <a:picLocks noChangeAspect="1"/>
                    </pic:cNvPicPr>
                  </pic:nvPicPr>
                  <pic:blipFill>
                    <a:blip r:embed="rId99"/>
                    <a:stretch>
                      <a:fillRect/>
                    </a:stretch>
                  </pic:blipFill>
                  <pic:spPr>
                    <a:xfrm>
                      <a:off x="0" y="0"/>
                      <a:ext cx="5524500" cy="7343775"/>
                    </a:xfrm>
                    <a:prstGeom prst="rect">
                      <a:avLst/>
                    </a:prstGeom>
                    <a:noFill/>
                    <a:ln>
                      <a:noFill/>
                    </a:ln>
                  </pic:spPr>
                </pic:pic>
              </a:graphicData>
            </a:graphic>
          </wp:inline>
        </w:drawing>
      </w:r>
      <w:r>
        <w:rPr>
          <w:color w:val="auto"/>
          <w:highlight w:val="none"/>
        </w:rPr>
        <w:drawing>
          <wp:inline distT="0" distB="0" distL="114300" distR="114300">
            <wp:extent cx="5495925" cy="7829550"/>
            <wp:effectExtent l="0" t="0" r="9525" b="0"/>
            <wp:docPr id="6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8"/>
                    <pic:cNvPicPr>
                      <a:picLocks noChangeAspect="1"/>
                    </pic:cNvPicPr>
                  </pic:nvPicPr>
                  <pic:blipFill>
                    <a:blip r:embed="rId100"/>
                    <a:stretch>
                      <a:fillRect/>
                    </a:stretch>
                  </pic:blipFill>
                  <pic:spPr>
                    <a:xfrm>
                      <a:off x="0" y="0"/>
                      <a:ext cx="5495925" cy="7829550"/>
                    </a:xfrm>
                    <a:prstGeom prst="rect">
                      <a:avLst/>
                    </a:prstGeom>
                    <a:noFill/>
                    <a:ln>
                      <a:noFill/>
                    </a:ln>
                  </pic:spPr>
                </pic:pic>
              </a:graphicData>
            </a:graphic>
          </wp:inline>
        </w:drawing>
      </w:r>
      <w:r>
        <w:rPr>
          <w:color w:val="auto"/>
          <w:highlight w:val="none"/>
        </w:rPr>
        <w:drawing>
          <wp:inline distT="0" distB="0" distL="114300" distR="114300">
            <wp:extent cx="5495925" cy="7848600"/>
            <wp:effectExtent l="0" t="0" r="9525" b="0"/>
            <wp:docPr id="6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9"/>
                    <pic:cNvPicPr>
                      <a:picLocks noChangeAspect="1"/>
                    </pic:cNvPicPr>
                  </pic:nvPicPr>
                  <pic:blipFill>
                    <a:blip r:embed="rId101"/>
                    <a:stretch>
                      <a:fillRect/>
                    </a:stretch>
                  </pic:blipFill>
                  <pic:spPr>
                    <a:xfrm>
                      <a:off x="0" y="0"/>
                      <a:ext cx="5495925" cy="7848600"/>
                    </a:xfrm>
                    <a:prstGeom prst="rect">
                      <a:avLst/>
                    </a:prstGeom>
                    <a:noFill/>
                    <a:ln>
                      <a:noFill/>
                    </a:ln>
                  </pic:spPr>
                </pic:pic>
              </a:graphicData>
            </a:graphic>
          </wp:inline>
        </w:drawing>
      </w:r>
      <w:r>
        <w:rPr>
          <w:color w:val="auto"/>
          <w:highlight w:val="none"/>
        </w:rPr>
        <w:drawing>
          <wp:inline distT="0" distB="0" distL="114300" distR="114300">
            <wp:extent cx="5553075" cy="7791450"/>
            <wp:effectExtent l="0" t="0" r="9525" b="0"/>
            <wp:docPr id="6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0"/>
                    <pic:cNvPicPr>
                      <a:picLocks noChangeAspect="1"/>
                    </pic:cNvPicPr>
                  </pic:nvPicPr>
                  <pic:blipFill>
                    <a:blip r:embed="rId102"/>
                    <a:stretch>
                      <a:fillRect/>
                    </a:stretch>
                  </pic:blipFill>
                  <pic:spPr>
                    <a:xfrm>
                      <a:off x="0" y="0"/>
                      <a:ext cx="5553075" cy="7791450"/>
                    </a:xfrm>
                    <a:prstGeom prst="rect">
                      <a:avLst/>
                    </a:prstGeom>
                    <a:noFill/>
                    <a:ln>
                      <a:noFill/>
                    </a:ln>
                  </pic:spPr>
                </pic:pic>
              </a:graphicData>
            </a:graphic>
          </wp:inline>
        </w:drawing>
      </w:r>
      <w:r>
        <w:rPr>
          <w:color w:val="auto"/>
          <w:highlight w:val="none"/>
        </w:rPr>
        <w:drawing>
          <wp:inline distT="0" distB="0" distL="114300" distR="114300">
            <wp:extent cx="5486400" cy="7858125"/>
            <wp:effectExtent l="0" t="0" r="0" b="9525"/>
            <wp:docPr id="6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1"/>
                    <pic:cNvPicPr>
                      <a:picLocks noChangeAspect="1"/>
                    </pic:cNvPicPr>
                  </pic:nvPicPr>
                  <pic:blipFill>
                    <a:blip r:embed="rId103"/>
                    <a:stretch>
                      <a:fillRect/>
                    </a:stretch>
                  </pic:blipFill>
                  <pic:spPr>
                    <a:xfrm>
                      <a:off x="0" y="0"/>
                      <a:ext cx="5486400" cy="7858125"/>
                    </a:xfrm>
                    <a:prstGeom prst="rect">
                      <a:avLst/>
                    </a:prstGeom>
                    <a:noFill/>
                    <a:ln>
                      <a:noFill/>
                    </a:ln>
                  </pic:spPr>
                </pic:pic>
              </a:graphicData>
            </a:graphic>
          </wp:inline>
        </w:drawing>
      </w:r>
    </w:p>
    <w:p w14:paraId="09EB65A2">
      <w:pPr>
        <w:rPr>
          <w:rFonts w:hint="eastAsia"/>
          <w:color w:val="auto"/>
          <w:highlight w:val="none"/>
          <w:lang w:val="en-US" w:eastAsia="zh-CN"/>
        </w:rPr>
      </w:pPr>
    </w:p>
    <w:p w14:paraId="743109C9">
      <w:pPr>
        <w:pStyle w:val="24"/>
        <w:rPr>
          <w:rFonts w:hint="eastAsia"/>
          <w:color w:val="auto"/>
          <w:highlight w:val="none"/>
          <w:lang w:val="en-US" w:eastAsia="zh-CN"/>
        </w:rPr>
      </w:pPr>
    </w:p>
    <w:p w14:paraId="120741F2">
      <w:pPr>
        <w:pStyle w:val="8"/>
        <w:bidi w:val="0"/>
        <w:rPr>
          <w:rFonts w:hint="eastAsia"/>
          <w:color w:val="auto"/>
          <w:highlight w:val="none"/>
          <w:lang w:val="en-US" w:eastAsia="zh-CN"/>
        </w:rPr>
      </w:pPr>
      <w:r>
        <w:rPr>
          <w:rFonts w:hint="eastAsia"/>
          <w:color w:val="auto"/>
          <w:highlight w:val="none"/>
          <w:lang w:val="en-US" w:eastAsia="zh-CN"/>
        </w:rPr>
        <w:t>附件6历年自行检测报告（2025年度）</w:t>
      </w:r>
    </w:p>
    <w:p w14:paraId="02CA00F0">
      <w:pPr>
        <w:ind w:left="0" w:leftChars="0" w:firstLine="0" w:firstLineChars="0"/>
        <w:jc w:val="center"/>
        <w:rPr>
          <w:color w:val="auto"/>
          <w:highlight w:val="none"/>
        </w:rPr>
      </w:pPr>
      <w:r>
        <w:rPr>
          <w:color w:val="auto"/>
          <w:highlight w:val="none"/>
        </w:rPr>
        <w:drawing>
          <wp:inline distT="0" distB="0" distL="114300" distR="114300">
            <wp:extent cx="5614670" cy="7981315"/>
            <wp:effectExtent l="0" t="0" r="5080" b="635"/>
            <wp:docPr id="8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5"/>
                    <pic:cNvPicPr>
                      <a:picLocks noChangeAspect="1"/>
                    </pic:cNvPicPr>
                  </pic:nvPicPr>
                  <pic:blipFill>
                    <a:blip r:embed="rId104"/>
                    <a:stretch>
                      <a:fillRect/>
                    </a:stretch>
                  </pic:blipFill>
                  <pic:spPr>
                    <a:xfrm>
                      <a:off x="0" y="0"/>
                      <a:ext cx="5614670" cy="7981315"/>
                    </a:xfrm>
                    <a:prstGeom prst="rect">
                      <a:avLst/>
                    </a:prstGeom>
                    <a:noFill/>
                    <a:ln>
                      <a:noFill/>
                    </a:ln>
                  </pic:spPr>
                </pic:pic>
              </a:graphicData>
            </a:graphic>
          </wp:inline>
        </w:drawing>
      </w:r>
      <w:r>
        <w:rPr>
          <w:color w:val="auto"/>
          <w:highlight w:val="none"/>
        </w:rPr>
        <w:drawing>
          <wp:inline distT="0" distB="0" distL="114300" distR="114300">
            <wp:extent cx="5612765" cy="7889875"/>
            <wp:effectExtent l="0" t="0" r="6985" b="15875"/>
            <wp:docPr id="8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6"/>
                    <pic:cNvPicPr>
                      <a:picLocks noChangeAspect="1"/>
                    </pic:cNvPicPr>
                  </pic:nvPicPr>
                  <pic:blipFill>
                    <a:blip r:embed="rId105"/>
                    <a:stretch>
                      <a:fillRect/>
                    </a:stretch>
                  </pic:blipFill>
                  <pic:spPr>
                    <a:xfrm>
                      <a:off x="0" y="0"/>
                      <a:ext cx="5612765" cy="7889875"/>
                    </a:xfrm>
                    <a:prstGeom prst="rect">
                      <a:avLst/>
                    </a:prstGeom>
                    <a:noFill/>
                    <a:ln>
                      <a:noFill/>
                    </a:ln>
                  </pic:spPr>
                </pic:pic>
              </a:graphicData>
            </a:graphic>
          </wp:inline>
        </w:drawing>
      </w:r>
      <w:r>
        <w:rPr>
          <w:color w:val="auto"/>
          <w:highlight w:val="none"/>
        </w:rPr>
        <w:drawing>
          <wp:inline distT="0" distB="0" distL="114300" distR="114300">
            <wp:extent cx="5610225" cy="8001000"/>
            <wp:effectExtent l="0" t="0" r="9525" b="0"/>
            <wp:docPr id="8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7"/>
                    <pic:cNvPicPr>
                      <a:picLocks noChangeAspect="1"/>
                    </pic:cNvPicPr>
                  </pic:nvPicPr>
                  <pic:blipFill>
                    <a:blip r:embed="rId106"/>
                    <a:stretch>
                      <a:fillRect/>
                    </a:stretch>
                  </pic:blipFill>
                  <pic:spPr>
                    <a:xfrm>
                      <a:off x="0" y="0"/>
                      <a:ext cx="5610225" cy="8001000"/>
                    </a:xfrm>
                    <a:prstGeom prst="rect">
                      <a:avLst/>
                    </a:prstGeom>
                    <a:noFill/>
                    <a:ln>
                      <a:noFill/>
                    </a:ln>
                  </pic:spPr>
                </pic:pic>
              </a:graphicData>
            </a:graphic>
          </wp:inline>
        </w:drawing>
      </w:r>
      <w:r>
        <w:rPr>
          <w:color w:val="auto"/>
          <w:highlight w:val="none"/>
        </w:rPr>
        <w:drawing>
          <wp:inline distT="0" distB="0" distL="114300" distR="114300">
            <wp:extent cx="5614670" cy="7981315"/>
            <wp:effectExtent l="0" t="0" r="5080" b="635"/>
            <wp:docPr id="8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8"/>
                    <pic:cNvPicPr>
                      <a:picLocks noChangeAspect="1"/>
                    </pic:cNvPicPr>
                  </pic:nvPicPr>
                  <pic:blipFill>
                    <a:blip r:embed="rId107"/>
                    <a:stretch>
                      <a:fillRect/>
                    </a:stretch>
                  </pic:blipFill>
                  <pic:spPr>
                    <a:xfrm>
                      <a:off x="0" y="0"/>
                      <a:ext cx="5614670" cy="7981315"/>
                    </a:xfrm>
                    <a:prstGeom prst="rect">
                      <a:avLst/>
                    </a:prstGeom>
                    <a:noFill/>
                    <a:ln>
                      <a:noFill/>
                    </a:ln>
                  </pic:spPr>
                </pic:pic>
              </a:graphicData>
            </a:graphic>
          </wp:inline>
        </w:drawing>
      </w:r>
      <w:r>
        <w:rPr>
          <w:color w:val="auto"/>
          <w:highlight w:val="none"/>
        </w:rPr>
        <w:drawing>
          <wp:inline distT="0" distB="0" distL="114300" distR="114300">
            <wp:extent cx="5610225" cy="7861935"/>
            <wp:effectExtent l="0" t="0" r="9525" b="5715"/>
            <wp:docPr id="8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9"/>
                    <pic:cNvPicPr>
                      <a:picLocks noChangeAspect="1"/>
                    </pic:cNvPicPr>
                  </pic:nvPicPr>
                  <pic:blipFill>
                    <a:blip r:embed="rId108"/>
                    <a:stretch>
                      <a:fillRect/>
                    </a:stretch>
                  </pic:blipFill>
                  <pic:spPr>
                    <a:xfrm>
                      <a:off x="0" y="0"/>
                      <a:ext cx="5610225" cy="7861935"/>
                    </a:xfrm>
                    <a:prstGeom prst="rect">
                      <a:avLst/>
                    </a:prstGeom>
                    <a:noFill/>
                    <a:ln>
                      <a:noFill/>
                    </a:ln>
                  </pic:spPr>
                </pic:pic>
              </a:graphicData>
            </a:graphic>
          </wp:inline>
        </w:drawing>
      </w:r>
      <w:r>
        <w:rPr>
          <w:color w:val="auto"/>
          <w:highlight w:val="none"/>
        </w:rPr>
        <w:drawing>
          <wp:inline distT="0" distB="0" distL="114300" distR="114300">
            <wp:extent cx="5610860" cy="7736840"/>
            <wp:effectExtent l="0" t="0" r="8890" b="16510"/>
            <wp:docPr id="7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0"/>
                    <pic:cNvPicPr>
                      <a:picLocks noChangeAspect="1"/>
                    </pic:cNvPicPr>
                  </pic:nvPicPr>
                  <pic:blipFill>
                    <a:blip r:embed="rId109"/>
                    <a:stretch>
                      <a:fillRect/>
                    </a:stretch>
                  </pic:blipFill>
                  <pic:spPr>
                    <a:xfrm>
                      <a:off x="0" y="0"/>
                      <a:ext cx="5610860" cy="7736840"/>
                    </a:xfrm>
                    <a:prstGeom prst="rect">
                      <a:avLst/>
                    </a:prstGeom>
                    <a:noFill/>
                    <a:ln>
                      <a:noFill/>
                    </a:ln>
                  </pic:spPr>
                </pic:pic>
              </a:graphicData>
            </a:graphic>
          </wp:inline>
        </w:drawing>
      </w:r>
      <w:r>
        <w:rPr>
          <w:color w:val="auto"/>
          <w:highlight w:val="none"/>
        </w:rPr>
        <w:drawing>
          <wp:inline distT="0" distB="0" distL="114300" distR="114300">
            <wp:extent cx="5612765" cy="7890510"/>
            <wp:effectExtent l="0" t="0" r="6985" b="15240"/>
            <wp:docPr id="8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1"/>
                    <pic:cNvPicPr>
                      <a:picLocks noChangeAspect="1"/>
                    </pic:cNvPicPr>
                  </pic:nvPicPr>
                  <pic:blipFill>
                    <a:blip r:embed="rId110"/>
                    <a:stretch>
                      <a:fillRect/>
                    </a:stretch>
                  </pic:blipFill>
                  <pic:spPr>
                    <a:xfrm>
                      <a:off x="0" y="0"/>
                      <a:ext cx="5612765" cy="7890510"/>
                    </a:xfrm>
                    <a:prstGeom prst="rect">
                      <a:avLst/>
                    </a:prstGeom>
                    <a:noFill/>
                    <a:ln>
                      <a:noFill/>
                    </a:ln>
                  </pic:spPr>
                </pic:pic>
              </a:graphicData>
            </a:graphic>
          </wp:inline>
        </w:drawing>
      </w:r>
      <w:r>
        <w:rPr>
          <w:color w:val="auto"/>
          <w:highlight w:val="none"/>
        </w:rPr>
        <w:drawing>
          <wp:inline distT="0" distB="0" distL="114300" distR="114300">
            <wp:extent cx="5615940" cy="7733665"/>
            <wp:effectExtent l="0" t="0" r="3810" b="635"/>
            <wp:docPr id="8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2"/>
                    <pic:cNvPicPr>
                      <a:picLocks noChangeAspect="1"/>
                    </pic:cNvPicPr>
                  </pic:nvPicPr>
                  <pic:blipFill>
                    <a:blip r:embed="rId111"/>
                    <a:stretch>
                      <a:fillRect/>
                    </a:stretch>
                  </pic:blipFill>
                  <pic:spPr>
                    <a:xfrm>
                      <a:off x="0" y="0"/>
                      <a:ext cx="5615940" cy="7733665"/>
                    </a:xfrm>
                    <a:prstGeom prst="rect">
                      <a:avLst/>
                    </a:prstGeom>
                    <a:noFill/>
                    <a:ln>
                      <a:noFill/>
                    </a:ln>
                  </pic:spPr>
                </pic:pic>
              </a:graphicData>
            </a:graphic>
          </wp:inline>
        </w:drawing>
      </w:r>
      <w:r>
        <w:rPr>
          <w:color w:val="auto"/>
          <w:highlight w:val="none"/>
        </w:rPr>
        <w:drawing>
          <wp:inline distT="0" distB="0" distL="114300" distR="114300">
            <wp:extent cx="5612765" cy="7768590"/>
            <wp:effectExtent l="0" t="0" r="6985" b="3810"/>
            <wp:docPr id="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3"/>
                    <pic:cNvPicPr>
                      <a:picLocks noChangeAspect="1"/>
                    </pic:cNvPicPr>
                  </pic:nvPicPr>
                  <pic:blipFill>
                    <a:blip r:embed="rId112"/>
                    <a:stretch>
                      <a:fillRect/>
                    </a:stretch>
                  </pic:blipFill>
                  <pic:spPr>
                    <a:xfrm>
                      <a:off x="0" y="0"/>
                      <a:ext cx="5612765" cy="7768590"/>
                    </a:xfrm>
                    <a:prstGeom prst="rect">
                      <a:avLst/>
                    </a:prstGeom>
                    <a:noFill/>
                    <a:ln>
                      <a:noFill/>
                    </a:ln>
                  </pic:spPr>
                </pic:pic>
              </a:graphicData>
            </a:graphic>
          </wp:inline>
        </w:drawing>
      </w:r>
      <w:r>
        <w:rPr>
          <w:color w:val="auto"/>
          <w:highlight w:val="none"/>
        </w:rPr>
        <w:drawing>
          <wp:inline distT="0" distB="0" distL="114300" distR="114300">
            <wp:extent cx="5609590" cy="7900670"/>
            <wp:effectExtent l="0" t="0" r="10160" b="5080"/>
            <wp:docPr id="8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4"/>
                    <pic:cNvPicPr>
                      <a:picLocks noChangeAspect="1"/>
                    </pic:cNvPicPr>
                  </pic:nvPicPr>
                  <pic:blipFill>
                    <a:blip r:embed="rId113"/>
                    <a:stretch>
                      <a:fillRect/>
                    </a:stretch>
                  </pic:blipFill>
                  <pic:spPr>
                    <a:xfrm>
                      <a:off x="0" y="0"/>
                      <a:ext cx="5609590" cy="7900670"/>
                    </a:xfrm>
                    <a:prstGeom prst="rect">
                      <a:avLst/>
                    </a:prstGeom>
                    <a:noFill/>
                    <a:ln>
                      <a:noFill/>
                    </a:ln>
                  </pic:spPr>
                </pic:pic>
              </a:graphicData>
            </a:graphic>
          </wp:inline>
        </w:drawing>
      </w:r>
      <w:r>
        <w:rPr>
          <w:color w:val="auto"/>
          <w:highlight w:val="none"/>
        </w:rPr>
        <w:drawing>
          <wp:inline distT="0" distB="0" distL="114300" distR="114300">
            <wp:extent cx="5614035" cy="7948930"/>
            <wp:effectExtent l="0" t="0" r="5715" b="13970"/>
            <wp:docPr id="8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0"/>
                    <pic:cNvPicPr>
                      <a:picLocks noChangeAspect="1"/>
                    </pic:cNvPicPr>
                  </pic:nvPicPr>
                  <pic:blipFill>
                    <a:blip r:embed="rId114"/>
                    <a:stretch>
                      <a:fillRect/>
                    </a:stretch>
                  </pic:blipFill>
                  <pic:spPr>
                    <a:xfrm>
                      <a:off x="0" y="0"/>
                      <a:ext cx="5614035" cy="7948930"/>
                    </a:xfrm>
                    <a:prstGeom prst="rect">
                      <a:avLst/>
                    </a:prstGeom>
                    <a:noFill/>
                    <a:ln>
                      <a:noFill/>
                    </a:ln>
                  </pic:spPr>
                </pic:pic>
              </a:graphicData>
            </a:graphic>
          </wp:inline>
        </w:drawing>
      </w:r>
      <w:r>
        <w:rPr>
          <w:color w:val="auto"/>
          <w:highlight w:val="none"/>
        </w:rPr>
        <w:drawing>
          <wp:inline distT="0" distB="0" distL="114300" distR="114300">
            <wp:extent cx="5612765" cy="7813675"/>
            <wp:effectExtent l="0" t="0" r="6985" b="15875"/>
            <wp:docPr id="9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1"/>
                    <pic:cNvPicPr>
                      <a:picLocks noChangeAspect="1"/>
                    </pic:cNvPicPr>
                  </pic:nvPicPr>
                  <pic:blipFill>
                    <a:blip r:embed="rId115"/>
                    <a:stretch>
                      <a:fillRect/>
                    </a:stretch>
                  </pic:blipFill>
                  <pic:spPr>
                    <a:xfrm>
                      <a:off x="0" y="0"/>
                      <a:ext cx="5612765" cy="7813675"/>
                    </a:xfrm>
                    <a:prstGeom prst="rect">
                      <a:avLst/>
                    </a:prstGeom>
                    <a:noFill/>
                    <a:ln>
                      <a:noFill/>
                    </a:ln>
                  </pic:spPr>
                </pic:pic>
              </a:graphicData>
            </a:graphic>
          </wp:inline>
        </w:drawing>
      </w:r>
      <w:r>
        <w:rPr>
          <w:color w:val="auto"/>
          <w:highlight w:val="none"/>
        </w:rPr>
        <w:drawing>
          <wp:inline distT="0" distB="0" distL="114300" distR="114300">
            <wp:extent cx="5615940" cy="7839075"/>
            <wp:effectExtent l="0" t="0" r="3810" b="9525"/>
            <wp:docPr id="9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2"/>
                    <pic:cNvPicPr>
                      <a:picLocks noChangeAspect="1"/>
                    </pic:cNvPicPr>
                  </pic:nvPicPr>
                  <pic:blipFill>
                    <a:blip r:embed="rId116"/>
                    <a:stretch>
                      <a:fillRect/>
                    </a:stretch>
                  </pic:blipFill>
                  <pic:spPr>
                    <a:xfrm>
                      <a:off x="0" y="0"/>
                      <a:ext cx="5615940" cy="7839075"/>
                    </a:xfrm>
                    <a:prstGeom prst="rect">
                      <a:avLst/>
                    </a:prstGeom>
                    <a:noFill/>
                    <a:ln>
                      <a:noFill/>
                    </a:ln>
                  </pic:spPr>
                </pic:pic>
              </a:graphicData>
            </a:graphic>
          </wp:inline>
        </w:drawing>
      </w:r>
      <w:r>
        <w:rPr>
          <w:color w:val="auto"/>
          <w:highlight w:val="none"/>
        </w:rPr>
        <w:drawing>
          <wp:inline distT="0" distB="0" distL="114300" distR="114300">
            <wp:extent cx="5614670" cy="7874000"/>
            <wp:effectExtent l="0" t="0" r="5080" b="12700"/>
            <wp:docPr id="9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3"/>
                    <pic:cNvPicPr>
                      <a:picLocks noChangeAspect="1"/>
                    </pic:cNvPicPr>
                  </pic:nvPicPr>
                  <pic:blipFill>
                    <a:blip r:embed="rId117"/>
                    <a:stretch>
                      <a:fillRect/>
                    </a:stretch>
                  </pic:blipFill>
                  <pic:spPr>
                    <a:xfrm>
                      <a:off x="0" y="0"/>
                      <a:ext cx="5614670" cy="7874000"/>
                    </a:xfrm>
                    <a:prstGeom prst="rect">
                      <a:avLst/>
                    </a:prstGeom>
                    <a:noFill/>
                    <a:ln>
                      <a:noFill/>
                    </a:ln>
                  </pic:spPr>
                </pic:pic>
              </a:graphicData>
            </a:graphic>
          </wp:inline>
        </w:drawing>
      </w:r>
      <w:r>
        <w:rPr>
          <w:color w:val="auto"/>
          <w:highlight w:val="none"/>
        </w:rPr>
        <w:drawing>
          <wp:inline distT="0" distB="0" distL="114300" distR="114300">
            <wp:extent cx="5609590" cy="7930515"/>
            <wp:effectExtent l="0" t="0" r="10160" b="13335"/>
            <wp:docPr id="9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4"/>
                    <pic:cNvPicPr>
                      <a:picLocks noChangeAspect="1"/>
                    </pic:cNvPicPr>
                  </pic:nvPicPr>
                  <pic:blipFill>
                    <a:blip r:embed="rId118"/>
                    <a:stretch>
                      <a:fillRect/>
                    </a:stretch>
                  </pic:blipFill>
                  <pic:spPr>
                    <a:xfrm>
                      <a:off x="0" y="0"/>
                      <a:ext cx="5609590" cy="7930515"/>
                    </a:xfrm>
                    <a:prstGeom prst="rect">
                      <a:avLst/>
                    </a:prstGeom>
                    <a:noFill/>
                    <a:ln>
                      <a:noFill/>
                    </a:ln>
                  </pic:spPr>
                </pic:pic>
              </a:graphicData>
            </a:graphic>
          </wp:inline>
        </w:drawing>
      </w:r>
      <w:r>
        <w:rPr>
          <w:color w:val="auto"/>
          <w:highlight w:val="none"/>
        </w:rPr>
        <w:drawing>
          <wp:inline distT="0" distB="0" distL="114300" distR="114300">
            <wp:extent cx="5611495" cy="7962265"/>
            <wp:effectExtent l="0" t="0" r="8255" b="635"/>
            <wp:docPr id="9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5"/>
                    <pic:cNvPicPr>
                      <a:picLocks noChangeAspect="1"/>
                    </pic:cNvPicPr>
                  </pic:nvPicPr>
                  <pic:blipFill>
                    <a:blip r:embed="rId119"/>
                    <a:stretch>
                      <a:fillRect/>
                    </a:stretch>
                  </pic:blipFill>
                  <pic:spPr>
                    <a:xfrm>
                      <a:off x="0" y="0"/>
                      <a:ext cx="5611495" cy="7962265"/>
                    </a:xfrm>
                    <a:prstGeom prst="rect">
                      <a:avLst/>
                    </a:prstGeom>
                    <a:noFill/>
                    <a:ln>
                      <a:noFill/>
                    </a:ln>
                  </pic:spPr>
                </pic:pic>
              </a:graphicData>
            </a:graphic>
          </wp:inline>
        </w:drawing>
      </w:r>
      <w:r>
        <w:rPr>
          <w:color w:val="auto"/>
          <w:highlight w:val="none"/>
        </w:rPr>
        <w:drawing>
          <wp:inline distT="0" distB="0" distL="114300" distR="114300">
            <wp:extent cx="5038725" cy="7105650"/>
            <wp:effectExtent l="0" t="0" r="9525" b="0"/>
            <wp:docPr id="9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6"/>
                    <pic:cNvPicPr>
                      <a:picLocks noChangeAspect="1"/>
                    </pic:cNvPicPr>
                  </pic:nvPicPr>
                  <pic:blipFill>
                    <a:blip r:embed="rId120"/>
                    <a:stretch>
                      <a:fillRect/>
                    </a:stretch>
                  </pic:blipFill>
                  <pic:spPr>
                    <a:xfrm>
                      <a:off x="0" y="0"/>
                      <a:ext cx="5038725" cy="7105650"/>
                    </a:xfrm>
                    <a:prstGeom prst="rect">
                      <a:avLst/>
                    </a:prstGeom>
                    <a:noFill/>
                    <a:ln>
                      <a:noFill/>
                    </a:ln>
                  </pic:spPr>
                </pic:pic>
              </a:graphicData>
            </a:graphic>
          </wp:inline>
        </w:drawing>
      </w:r>
      <w:r>
        <w:rPr>
          <w:color w:val="auto"/>
          <w:highlight w:val="none"/>
        </w:rPr>
        <w:drawing>
          <wp:inline distT="0" distB="0" distL="114300" distR="114300">
            <wp:extent cx="5019675" cy="7058025"/>
            <wp:effectExtent l="0" t="0" r="9525" b="9525"/>
            <wp:docPr id="9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37"/>
                    <pic:cNvPicPr>
                      <a:picLocks noChangeAspect="1"/>
                    </pic:cNvPicPr>
                  </pic:nvPicPr>
                  <pic:blipFill>
                    <a:blip r:embed="rId121"/>
                    <a:stretch>
                      <a:fillRect/>
                    </a:stretch>
                  </pic:blipFill>
                  <pic:spPr>
                    <a:xfrm>
                      <a:off x="0" y="0"/>
                      <a:ext cx="5019675" cy="7058025"/>
                    </a:xfrm>
                    <a:prstGeom prst="rect">
                      <a:avLst/>
                    </a:prstGeom>
                    <a:noFill/>
                    <a:ln>
                      <a:noFill/>
                    </a:ln>
                  </pic:spPr>
                </pic:pic>
              </a:graphicData>
            </a:graphic>
          </wp:inline>
        </w:drawing>
      </w:r>
      <w:r>
        <w:rPr>
          <w:color w:val="auto"/>
          <w:highlight w:val="none"/>
        </w:rPr>
        <w:drawing>
          <wp:inline distT="0" distB="0" distL="114300" distR="114300">
            <wp:extent cx="5048250" cy="7172325"/>
            <wp:effectExtent l="0" t="0" r="0" b="9525"/>
            <wp:docPr id="9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8"/>
                    <pic:cNvPicPr>
                      <a:picLocks noChangeAspect="1"/>
                    </pic:cNvPicPr>
                  </pic:nvPicPr>
                  <pic:blipFill>
                    <a:blip r:embed="rId122"/>
                    <a:stretch>
                      <a:fillRect/>
                    </a:stretch>
                  </pic:blipFill>
                  <pic:spPr>
                    <a:xfrm>
                      <a:off x="0" y="0"/>
                      <a:ext cx="5048250" cy="7172325"/>
                    </a:xfrm>
                    <a:prstGeom prst="rect">
                      <a:avLst/>
                    </a:prstGeom>
                    <a:noFill/>
                    <a:ln>
                      <a:noFill/>
                    </a:ln>
                  </pic:spPr>
                </pic:pic>
              </a:graphicData>
            </a:graphic>
          </wp:inline>
        </w:drawing>
      </w:r>
      <w:r>
        <w:rPr>
          <w:color w:val="auto"/>
          <w:highlight w:val="none"/>
        </w:rPr>
        <w:drawing>
          <wp:inline distT="0" distB="0" distL="114300" distR="114300">
            <wp:extent cx="5615305" cy="7689850"/>
            <wp:effectExtent l="0" t="0" r="4445" b="6350"/>
            <wp:docPr id="9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9"/>
                    <pic:cNvPicPr>
                      <a:picLocks noChangeAspect="1"/>
                    </pic:cNvPicPr>
                  </pic:nvPicPr>
                  <pic:blipFill>
                    <a:blip r:embed="rId123"/>
                    <a:stretch>
                      <a:fillRect/>
                    </a:stretch>
                  </pic:blipFill>
                  <pic:spPr>
                    <a:xfrm>
                      <a:off x="0" y="0"/>
                      <a:ext cx="5615305" cy="7689850"/>
                    </a:xfrm>
                    <a:prstGeom prst="rect">
                      <a:avLst/>
                    </a:prstGeom>
                    <a:noFill/>
                    <a:ln>
                      <a:noFill/>
                    </a:ln>
                  </pic:spPr>
                </pic:pic>
              </a:graphicData>
            </a:graphic>
          </wp:inline>
        </w:drawing>
      </w:r>
      <w:r>
        <w:rPr>
          <w:color w:val="auto"/>
          <w:highlight w:val="none"/>
        </w:rPr>
        <w:drawing>
          <wp:inline distT="0" distB="0" distL="114300" distR="114300">
            <wp:extent cx="5612765" cy="7550150"/>
            <wp:effectExtent l="0" t="0" r="6985" b="12700"/>
            <wp:docPr id="9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0"/>
                    <pic:cNvPicPr>
                      <a:picLocks noChangeAspect="1"/>
                    </pic:cNvPicPr>
                  </pic:nvPicPr>
                  <pic:blipFill>
                    <a:blip r:embed="rId124"/>
                    <a:stretch>
                      <a:fillRect/>
                    </a:stretch>
                  </pic:blipFill>
                  <pic:spPr>
                    <a:xfrm>
                      <a:off x="0" y="0"/>
                      <a:ext cx="5612765" cy="7550150"/>
                    </a:xfrm>
                    <a:prstGeom prst="rect">
                      <a:avLst/>
                    </a:prstGeom>
                    <a:noFill/>
                    <a:ln>
                      <a:noFill/>
                    </a:ln>
                  </pic:spPr>
                </pic:pic>
              </a:graphicData>
            </a:graphic>
          </wp:inline>
        </w:drawing>
      </w:r>
      <w:r>
        <w:rPr>
          <w:color w:val="auto"/>
          <w:highlight w:val="none"/>
        </w:rPr>
        <w:drawing>
          <wp:inline distT="0" distB="0" distL="114300" distR="114300">
            <wp:extent cx="5612765" cy="7590790"/>
            <wp:effectExtent l="0" t="0" r="6985" b="10160"/>
            <wp:docPr id="10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1"/>
                    <pic:cNvPicPr>
                      <a:picLocks noChangeAspect="1"/>
                    </pic:cNvPicPr>
                  </pic:nvPicPr>
                  <pic:blipFill>
                    <a:blip r:embed="rId125"/>
                    <a:stretch>
                      <a:fillRect/>
                    </a:stretch>
                  </pic:blipFill>
                  <pic:spPr>
                    <a:xfrm>
                      <a:off x="0" y="0"/>
                      <a:ext cx="5612765" cy="7590790"/>
                    </a:xfrm>
                    <a:prstGeom prst="rect">
                      <a:avLst/>
                    </a:prstGeom>
                    <a:noFill/>
                    <a:ln>
                      <a:noFill/>
                    </a:ln>
                  </pic:spPr>
                </pic:pic>
              </a:graphicData>
            </a:graphic>
          </wp:inline>
        </w:drawing>
      </w:r>
      <w:r>
        <w:rPr>
          <w:color w:val="auto"/>
          <w:highlight w:val="none"/>
        </w:rPr>
        <w:drawing>
          <wp:inline distT="0" distB="0" distL="114300" distR="114300">
            <wp:extent cx="5614035" cy="7648575"/>
            <wp:effectExtent l="0" t="0" r="5715" b="9525"/>
            <wp:docPr id="10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2"/>
                    <pic:cNvPicPr>
                      <a:picLocks noChangeAspect="1"/>
                    </pic:cNvPicPr>
                  </pic:nvPicPr>
                  <pic:blipFill>
                    <a:blip r:embed="rId126"/>
                    <a:stretch>
                      <a:fillRect/>
                    </a:stretch>
                  </pic:blipFill>
                  <pic:spPr>
                    <a:xfrm>
                      <a:off x="0" y="0"/>
                      <a:ext cx="5614035" cy="7648575"/>
                    </a:xfrm>
                    <a:prstGeom prst="rect">
                      <a:avLst/>
                    </a:prstGeom>
                    <a:noFill/>
                    <a:ln>
                      <a:noFill/>
                    </a:ln>
                  </pic:spPr>
                </pic:pic>
              </a:graphicData>
            </a:graphic>
          </wp:inline>
        </w:drawing>
      </w:r>
      <w:r>
        <w:rPr>
          <w:color w:val="auto"/>
          <w:highlight w:val="none"/>
        </w:rPr>
        <w:drawing>
          <wp:inline distT="0" distB="0" distL="114300" distR="114300">
            <wp:extent cx="5612765" cy="7922895"/>
            <wp:effectExtent l="0" t="0" r="6985" b="1905"/>
            <wp:docPr id="10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3"/>
                    <pic:cNvPicPr>
                      <a:picLocks noChangeAspect="1"/>
                    </pic:cNvPicPr>
                  </pic:nvPicPr>
                  <pic:blipFill>
                    <a:blip r:embed="rId127"/>
                    <a:stretch>
                      <a:fillRect/>
                    </a:stretch>
                  </pic:blipFill>
                  <pic:spPr>
                    <a:xfrm>
                      <a:off x="0" y="0"/>
                      <a:ext cx="5612765" cy="7922895"/>
                    </a:xfrm>
                    <a:prstGeom prst="rect">
                      <a:avLst/>
                    </a:prstGeom>
                    <a:noFill/>
                    <a:ln>
                      <a:noFill/>
                    </a:ln>
                  </pic:spPr>
                </pic:pic>
              </a:graphicData>
            </a:graphic>
          </wp:inline>
        </w:drawing>
      </w:r>
      <w:r>
        <w:rPr>
          <w:color w:val="auto"/>
          <w:highlight w:val="none"/>
        </w:rPr>
        <w:drawing>
          <wp:inline distT="0" distB="0" distL="114300" distR="114300">
            <wp:extent cx="5612765" cy="7731760"/>
            <wp:effectExtent l="0" t="0" r="6985" b="2540"/>
            <wp:docPr id="10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4"/>
                    <pic:cNvPicPr>
                      <a:picLocks noChangeAspect="1"/>
                    </pic:cNvPicPr>
                  </pic:nvPicPr>
                  <pic:blipFill>
                    <a:blip r:embed="rId128"/>
                    <a:stretch>
                      <a:fillRect/>
                    </a:stretch>
                  </pic:blipFill>
                  <pic:spPr>
                    <a:xfrm>
                      <a:off x="0" y="0"/>
                      <a:ext cx="5612765" cy="7731760"/>
                    </a:xfrm>
                    <a:prstGeom prst="rect">
                      <a:avLst/>
                    </a:prstGeom>
                    <a:noFill/>
                    <a:ln>
                      <a:noFill/>
                    </a:ln>
                  </pic:spPr>
                </pic:pic>
              </a:graphicData>
            </a:graphic>
          </wp:inline>
        </w:drawing>
      </w:r>
      <w:r>
        <w:rPr>
          <w:color w:val="auto"/>
          <w:highlight w:val="none"/>
        </w:rPr>
        <w:drawing>
          <wp:inline distT="0" distB="0" distL="114300" distR="114300">
            <wp:extent cx="5609590" cy="7827010"/>
            <wp:effectExtent l="0" t="0" r="10160" b="2540"/>
            <wp:docPr id="10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5"/>
                    <pic:cNvPicPr>
                      <a:picLocks noChangeAspect="1"/>
                    </pic:cNvPicPr>
                  </pic:nvPicPr>
                  <pic:blipFill>
                    <a:blip r:embed="rId129"/>
                    <a:stretch>
                      <a:fillRect/>
                    </a:stretch>
                  </pic:blipFill>
                  <pic:spPr>
                    <a:xfrm>
                      <a:off x="0" y="0"/>
                      <a:ext cx="5609590" cy="7827010"/>
                    </a:xfrm>
                    <a:prstGeom prst="rect">
                      <a:avLst/>
                    </a:prstGeom>
                    <a:noFill/>
                    <a:ln>
                      <a:noFill/>
                    </a:ln>
                  </pic:spPr>
                </pic:pic>
              </a:graphicData>
            </a:graphic>
          </wp:inline>
        </w:drawing>
      </w:r>
      <w:r>
        <w:rPr>
          <w:color w:val="auto"/>
          <w:highlight w:val="none"/>
        </w:rPr>
        <w:drawing>
          <wp:inline distT="0" distB="0" distL="114300" distR="114300">
            <wp:extent cx="5612765" cy="7682865"/>
            <wp:effectExtent l="0" t="0" r="6985" b="13335"/>
            <wp:docPr id="10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6"/>
                    <pic:cNvPicPr>
                      <a:picLocks noChangeAspect="1"/>
                    </pic:cNvPicPr>
                  </pic:nvPicPr>
                  <pic:blipFill>
                    <a:blip r:embed="rId130"/>
                    <a:stretch>
                      <a:fillRect/>
                    </a:stretch>
                  </pic:blipFill>
                  <pic:spPr>
                    <a:xfrm>
                      <a:off x="0" y="0"/>
                      <a:ext cx="5612765" cy="7682865"/>
                    </a:xfrm>
                    <a:prstGeom prst="rect">
                      <a:avLst/>
                    </a:prstGeom>
                    <a:noFill/>
                    <a:ln>
                      <a:noFill/>
                    </a:ln>
                  </pic:spPr>
                </pic:pic>
              </a:graphicData>
            </a:graphic>
          </wp:inline>
        </w:drawing>
      </w:r>
      <w:r>
        <w:rPr>
          <w:color w:val="auto"/>
          <w:highlight w:val="none"/>
        </w:rPr>
        <w:drawing>
          <wp:inline distT="0" distB="0" distL="114300" distR="114300">
            <wp:extent cx="5614035" cy="7767320"/>
            <wp:effectExtent l="0" t="0" r="5715" b="5080"/>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31"/>
                    <a:stretch>
                      <a:fillRect/>
                    </a:stretch>
                  </pic:blipFill>
                  <pic:spPr>
                    <a:xfrm>
                      <a:off x="0" y="0"/>
                      <a:ext cx="5614035" cy="7767320"/>
                    </a:xfrm>
                    <a:prstGeom prst="rect">
                      <a:avLst/>
                    </a:prstGeom>
                    <a:noFill/>
                    <a:ln>
                      <a:noFill/>
                    </a:ln>
                  </pic:spPr>
                </pic:pic>
              </a:graphicData>
            </a:graphic>
          </wp:inline>
        </w:drawing>
      </w:r>
      <w:r>
        <w:rPr>
          <w:color w:val="auto"/>
          <w:highlight w:val="none"/>
        </w:rPr>
        <w:drawing>
          <wp:inline distT="0" distB="0" distL="114300" distR="114300">
            <wp:extent cx="5614670" cy="7943850"/>
            <wp:effectExtent l="0" t="0" r="5080" b="0"/>
            <wp:docPr id="107"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8"/>
                    <pic:cNvPicPr>
                      <a:picLocks noChangeAspect="1"/>
                    </pic:cNvPicPr>
                  </pic:nvPicPr>
                  <pic:blipFill>
                    <a:blip r:embed="rId132"/>
                    <a:stretch>
                      <a:fillRect/>
                    </a:stretch>
                  </pic:blipFill>
                  <pic:spPr>
                    <a:xfrm>
                      <a:off x="0" y="0"/>
                      <a:ext cx="5614670" cy="7943850"/>
                    </a:xfrm>
                    <a:prstGeom prst="rect">
                      <a:avLst/>
                    </a:prstGeom>
                    <a:noFill/>
                    <a:ln>
                      <a:noFill/>
                    </a:ln>
                  </pic:spPr>
                </pic:pic>
              </a:graphicData>
            </a:graphic>
          </wp:inline>
        </w:drawing>
      </w:r>
      <w:r>
        <w:rPr>
          <w:color w:val="auto"/>
          <w:highlight w:val="none"/>
        </w:rPr>
        <w:drawing>
          <wp:inline distT="0" distB="0" distL="114300" distR="114300">
            <wp:extent cx="5611495" cy="7962265"/>
            <wp:effectExtent l="0" t="0" r="8255" b="635"/>
            <wp:docPr id="10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9"/>
                    <pic:cNvPicPr>
                      <a:picLocks noChangeAspect="1"/>
                    </pic:cNvPicPr>
                  </pic:nvPicPr>
                  <pic:blipFill>
                    <a:blip r:embed="rId133"/>
                    <a:stretch>
                      <a:fillRect/>
                    </a:stretch>
                  </pic:blipFill>
                  <pic:spPr>
                    <a:xfrm>
                      <a:off x="0" y="0"/>
                      <a:ext cx="5611495" cy="7962265"/>
                    </a:xfrm>
                    <a:prstGeom prst="rect">
                      <a:avLst/>
                    </a:prstGeom>
                    <a:noFill/>
                    <a:ln>
                      <a:noFill/>
                    </a:ln>
                  </pic:spPr>
                </pic:pic>
              </a:graphicData>
            </a:graphic>
          </wp:inline>
        </w:drawing>
      </w:r>
      <w:r>
        <w:rPr>
          <w:color w:val="auto"/>
          <w:highlight w:val="none"/>
        </w:rPr>
        <w:drawing>
          <wp:inline distT="0" distB="0" distL="114300" distR="114300">
            <wp:extent cx="5612130" cy="7929880"/>
            <wp:effectExtent l="0" t="0" r="7620" b="13970"/>
            <wp:docPr id="10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0"/>
                    <pic:cNvPicPr>
                      <a:picLocks noChangeAspect="1"/>
                    </pic:cNvPicPr>
                  </pic:nvPicPr>
                  <pic:blipFill>
                    <a:blip r:embed="rId134"/>
                    <a:stretch>
                      <a:fillRect/>
                    </a:stretch>
                  </pic:blipFill>
                  <pic:spPr>
                    <a:xfrm>
                      <a:off x="0" y="0"/>
                      <a:ext cx="5612130" cy="7929880"/>
                    </a:xfrm>
                    <a:prstGeom prst="rect">
                      <a:avLst/>
                    </a:prstGeom>
                    <a:noFill/>
                    <a:ln>
                      <a:noFill/>
                    </a:ln>
                  </pic:spPr>
                </pic:pic>
              </a:graphicData>
            </a:graphic>
          </wp:inline>
        </w:drawing>
      </w:r>
      <w:r>
        <w:rPr>
          <w:color w:val="auto"/>
          <w:highlight w:val="none"/>
        </w:rPr>
        <w:drawing>
          <wp:inline distT="0" distB="0" distL="114300" distR="114300">
            <wp:extent cx="5612130" cy="8047990"/>
            <wp:effectExtent l="0" t="0" r="7620" b="10160"/>
            <wp:docPr id="11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1"/>
                    <pic:cNvPicPr>
                      <a:picLocks noChangeAspect="1"/>
                    </pic:cNvPicPr>
                  </pic:nvPicPr>
                  <pic:blipFill>
                    <a:blip r:embed="rId135"/>
                    <a:stretch>
                      <a:fillRect/>
                    </a:stretch>
                  </pic:blipFill>
                  <pic:spPr>
                    <a:xfrm>
                      <a:off x="0" y="0"/>
                      <a:ext cx="5612130" cy="8047990"/>
                    </a:xfrm>
                    <a:prstGeom prst="rect">
                      <a:avLst/>
                    </a:prstGeom>
                    <a:noFill/>
                    <a:ln>
                      <a:noFill/>
                    </a:ln>
                  </pic:spPr>
                </pic:pic>
              </a:graphicData>
            </a:graphic>
          </wp:inline>
        </w:drawing>
      </w:r>
      <w:r>
        <w:rPr>
          <w:color w:val="auto"/>
          <w:highlight w:val="none"/>
        </w:rPr>
        <w:drawing>
          <wp:inline distT="0" distB="0" distL="114300" distR="114300">
            <wp:extent cx="5611495" cy="8053705"/>
            <wp:effectExtent l="0" t="0" r="8255" b="4445"/>
            <wp:docPr id="111"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2"/>
                    <pic:cNvPicPr>
                      <a:picLocks noChangeAspect="1"/>
                    </pic:cNvPicPr>
                  </pic:nvPicPr>
                  <pic:blipFill>
                    <a:blip r:embed="rId136"/>
                    <a:stretch>
                      <a:fillRect/>
                    </a:stretch>
                  </pic:blipFill>
                  <pic:spPr>
                    <a:xfrm>
                      <a:off x="0" y="0"/>
                      <a:ext cx="5611495" cy="8053705"/>
                    </a:xfrm>
                    <a:prstGeom prst="rect">
                      <a:avLst/>
                    </a:prstGeom>
                    <a:noFill/>
                    <a:ln>
                      <a:noFill/>
                    </a:ln>
                  </pic:spPr>
                </pic:pic>
              </a:graphicData>
            </a:graphic>
          </wp:inline>
        </w:drawing>
      </w:r>
      <w:r>
        <w:rPr>
          <w:color w:val="auto"/>
          <w:highlight w:val="none"/>
        </w:rPr>
        <w:drawing>
          <wp:inline distT="0" distB="0" distL="114300" distR="114300">
            <wp:extent cx="5610225" cy="7941945"/>
            <wp:effectExtent l="0" t="0" r="9525" b="1905"/>
            <wp:docPr id="11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3"/>
                    <pic:cNvPicPr>
                      <a:picLocks noChangeAspect="1"/>
                    </pic:cNvPicPr>
                  </pic:nvPicPr>
                  <pic:blipFill>
                    <a:blip r:embed="rId137"/>
                    <a:stretch>
                      <a:fillRect/>
                    </a:stretch>
                  </pic:blipFill>
                  <pic:spPr>
                    <a:xfrm>
                      <a:off x="0" y="0"/>
                      <a:ext cx="5610225" cy="7941945"/>
                    </a:xfrm>
                    <a:prstGeom prst="rect">
                      <a:avLst/>
                    </a:prstGeom>
                    <a:noFill/>
                    <a:ln>
                      <a:noFill/>
                    </a:ln>
                  </pic:spPr>
                </pic:pic>
              </a:graphicData>
            </a:graphic>
          </wp:inline>
        </w:drawing>
      </w:r>
      <w:r>
        <w:rPr>
          <w:color w:val="auto"/>
          <w:highlight w:val="none"/>
        </w:rPr>
        <w:drawing>
          <wp:inline distT="0" distB="0" distL="114300" distR="114300">
            <wp:extent cx="5614035" cy="7905115"/>
            <wp:effectExtent l="0" t="0" r="5715" b="635"/>
            <wp:docPr id="11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4"/>
                    <pic:cNvPicPr>
                      <a:picLocks noChangeAspect="1"/>
                    </pic:cNvPicPr>
                  </pic:nvPicPr>
                  <pic:blipFill>
                    <a:blip r:embed="rId138"/>
                    <a:stretch>
                      <a:fillRect/>
                    </a:stretch>
                  </pic:blipFill>
                  <pic:spPr>
                    <a:xfrm>
                      <a:off x="0" y="0"/>
                      <a:ext cx="5614035" cy="7905115"/>
                    </a:xfrm>
                    <a:prstGeom prst="rect">
                      <a:avLst/>
                    </a:prstGeom>
                    <a:noFill/>
                    <a:ln>
                      <a:noFill/>
                    </a:ln>
                  </pic:spPr>
                </pic:pic>
              </a:graphicData>
            </a:graphic>
          </wp:inline>
        </w:drawing>
      </w:r>
      <w:r>
        <w:rPr>
          <w:color w:val="auto"/>
          <w:highlight w:val="none"/>
        </w:rPr>
        <w:drawing>
          <wp:inline distT="0" distB="0" distL="114300" distR="114300">
            <wp:extent cx="5612765" cy="8195945"/>
            <wp:effectExtent l="0" t="0" r="6985" b="14605"/>
            <wp:docPr id="11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5"/>
                    <pic:cNvPicPr>
                      <a:picLocks noChangeAspect="1"/>
                    </pic:cNvPicPr>
                  </pic:nvPicPr>
                  <pic:blipFill>
                    <a:blip r:embed="rId139"/>
                    <a:stretch>
                      <a:fillRect/>
                    </a:stretch>
                  </pic:blipFill>
                  <pic:spPr>
                    <a:xfrm>
                      <a:off x="0" y="0"/>
                      <a:ext cx="5612765" cy="8195945"/>
                    </a:xfrm>
                    <a:prstGeom prst="rect">
                      <a:avLst/>
                    </a:prstGeom>
                    <a:noFill/>
                    <a:ln>
                      <a:noFill/>
                    </a:ln>
                  </pic:spPr>
                </pic:pic>
              </a:graphicData>
            </a:graphic>
          </wp:inline>
        </w:drawing>
      </w:r>
      <w:r>
        <w:rPr>
          <w:color w:val="auto"/>
          <w:highlight w:val="none"/>
        </w:rPr>
        <w:drawing>
          <wp:inline distT="0" distB="0" distL="114300" distR="114300">
            <wp:extent cx="5611495" cy="8356600"/>
            <wp:effectExtent l="0" t="0" r="8255" b="6350"/>
            <wp:docPr id="11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56"/>
                    <pic:cNvPicPr>
                      <a:picLocks noChangeAspect="1"/>
                    </pic:cNvPicPr>
                  </pic:nvPicPr>
                  <pic:blipFill>
                    <a:blip r:embed="rId140"/>
                    <a:stretch>
                      <a:fillRect/>
                    </a:stretch>
                  </pic:blipFill>
                  <pic:spPr>
                    <a:xfrm>
                      <a:off x="0" y="0"/>
                      <a:ext cx="5611495" cy="8356600"/>
                    </a:xfrm>
                    <a:prstGeom prst="rect">
                      <a:avLst/>
                    </a:prstGeom>
                    <a:noFill/>
                    <a:ln>
                      <a:noFill/>
                    </a:ln>
                  </pic:spPr>
                </pic:pic>
              </a:graphicData>
            </a:graphic>
          </wp:inline>
        </w:drawing>
      </w:r>
      <w:r>
        <w:rPr>
          <w:color w:val="auto"/>
          <w:highlight w:val="none"/>
        </w:rPr>
        <w:drawing>
          <wp:inline distT="0" distB="0" distL="114300" distR="114300">
            <wp:extent cx="5614035" cy="8237855"/>
            <wp:effectExtent l="0" t="0" r="5715" b="10795"/>
            <wp:docPr id="11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7"/>
                    <pic:cNvPicPr>
                      <a:picLocks noChangeAspect="1"/>
                    </pic:cNvPicPr>
                  </pic:nvPicPr>
                  <pic:blipFill>
                    <a:blip r:embed="rId141"/>
                    <a:stretch>
                      <a:fillRect/>
                    </a:stretch>
                  </pic:blipFill>
                  <pic:spPr>
                    <a:xfrm>
                      <a:off x="0" y="0"/>
                      <a:ext cx="5614035" cy="8237855"/>
                    </a:xfrm>
                    <a:prstGeom prst="rect">
                      <a:avLst/>
                    </a:prstGeom>
                    <a:noFill/>
                    <a:ln>
                      <a:noFill/>
                    </a:ln>
                  </pic:spPr>
                </pic:pic>
              </a:graphicData>
            </a:graphic>
          </wp:inline>
        </w:drawing>
      </w:r>
      <w:r>
        <w:rPr>
          <w:color w:val="auto"/>
          <w:highlight w:val="none"/>
        </w:rPr>
        <w:drawing>
          <wp:inline distT="0" distB="0" distL="114300" distR="114300">
            <wp:extent cx="5613400" cy="8402955"/>
            <wp:effectExtent l="0" t="0" r="6350" b="17145"/>
            <wp:docPr id="11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58"/>
                    <pic:cNvPicPr>
                      <a:picLocks noChangeAspect="1"/>
                    </pic:cNvPicPr>
                  </pic:nvPicPr>
                  <pic:blipFill>
                    <a:blip r:embed="rId142"/>
                    <a:stretch>
                      <a:fillRect/>
                    </a:stretch>
                  </pic:blipFill>
                  <pic:spPr>
                    <a:xfrm>
                      <a:off x="0" y="0"/>
                      <a:ext cx="5613400" cy="8402955"/>
                    </a:xfrm>
                    <a:prstGeom prst="rect">
                      <a:avLst/>
                    </a:prstGeom>
                    <a:noFill/>
                    <a:ln>
                      <a:noFill/>
                    </a:ln>
                  </pic:spPr>
                </pic:pic>
              </a:graphicData>
            </a:graphic>
          </wp:inline>
        </w:drawing>
      </w:r>
      <w:r>
        <w:rPr>
          <w:color w:val="auto"/>
          <w:highlight w:val="none"/>
        </w:rPr>
        <w:drawing>
          <wp:inline distT="0" distB="0" distL="114300" distR="114300">
            <wp:extent cx="5609590" cy="7908925"/>
            <wp:effectExtent l="0" t="0" r="10160" b="15875"/>
            <wp:docPr id="11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59"/>
                    <pic:cNvPicPr>
                      <a:picLocks noChangeAspect="1"/>
                    </pic:cNvPicPr>
                  </pic:nvPicPr>
                  <pic:blipFill>
                    <a:blip r:embed="rId143"/>
                    <a:stretch>
                      <a:fillRect/>
                    </a:stretch>
                  </pic:blipFill>
                  <pic:spPr>
                    <a:xfrm>
                      <a:off x="0" y="0"/>
                      <a:ext cx="5609590" cy="7908925"/>
                    </a:xfrm>
                    <a:prstGeom prst="rect">
                      <a:avLst/>
                    </a:prstGeom>
                    <a:noFill/>
                    <a:ln>
                      <a:noFill/>
                    </a:ln>
                  </pic:spPr>
                </pic:pic>
              </a:graphicData>
            </a:graphic>
          </wp:inline>
        </w:drawing>
      </w:r>
      <w:r>
        <w:rPr>
          <w:color w:val="auto"/>
          <w:highlight w:val="none"/>
        </w:rPr>
        <w:drawing>
          <wp:inline distT="0" distB="0" distL="114300" distR="114300">
            <wp:extent cx="5611495" cy="7757160"/>
            <wp:effectExtent l="0" t="0" r="8255" b="15240"/>
            <wp:docPr id="119"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0"/>
                    <pic:cNvPicPr>
                      <a:picLocks noChangeAspect="1"/>
                    </pic:cNvPicPr>
                  </pic:nvPicPr>
                  <pic:blipFill>
                    <a:blip r:embed="rId144"/>
                    <a:stretch>
                      <a:fillRect/>
                    </a:stretch>
                  </pic:blipFill>
                  <pic:spPr>
                    <a:xfrm>
                      <a:off x="0" y="0"/>
                      <a:ext cx="5611495" cy="7757160"/>
                    </a:xfrm>
                    <a:prstGeom prst="rect">
                      <a:avLst/>
                    </a:prstGeom>
                    <a:noFill/>
                    <a:ln>
                      <a:noFill/>
                    </a:ln>
                  </pic:spPr>
                </pic:pic>
              </a:graphicData>
            </a:graphic>
          </wp:inline>
        </w:drawing>
      </w:r>
      <w:r>
        <w:rPr>
          <w:color w:val="auto"/>
          <w:highlight w:val="none"/>
        </w:rPr>
        <w:drawing>
          <wp:inline distT="0" distB="0" distL="114300" distR="114300">
            <wp:extent cx="5612765" cy="7920355"/>
            <wp:effectExtent l="0" t="0" r="6985" b="4445"/>
            <wp:docPr id="120"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61"/>
                    <pic:cNvPicPr>
                      <a:picLocks noChangeAspect="1"/>
                    </pic:cNvPicPr>
                  </pic:nvPicPr>
                  <pic:blipFill>
                    <a:blip r:embed="rId145"/>
                    <a:stretch>
                      <a:fillRect/>
                    </a:stretch>
                  </pic:blipFill>
                  <pic:spPr>
                    <a:xfrm>
                      <a:off x="0" y="0"/>
                      <a:ext cx="5612765" cy="7920355"/>
                    </a:xfrm>
                    <a:prstGeom prst="rect">
                      <a:avLst/>
                    </a:prstGeom>
                    <a:noFill/>
                    <a:ln>
                      <a:noFill/>
                    </a:ln>
                  </pic:spPr>
                </pic:pic>
              </a:graphicData>
            </a:graphic>
          </wp:inline>
        </w:drawing>
      </w:r>
      <w:r>
        <w:rPr>
          <w:color w:val="auto"/>
          <w:highlight w:val="none"/>
        </w:rPr>
        <w:drawing>
          <wp:inline distT="0" distB="0" distL="114300" distR="114300">
            <wp:extent cx="5614670" cy="7821295"/>
            <wp:effectExtent l="0" t="0" r="5080" b="8255"/>
            <wp:docPr id="121"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62"/>
                    <pic:cNvPicPr>
                      <a:picLocks noChangeAspect="1"/>
                    </pic:cNvPicPr>
                  </pic:nvPicPr>
                  <pic:blipFill>
                    <a:blip r:embed="rId146"/>
                    <a:stretch>
                      <a:fillRect/>
                    </a:stretch>
                  </pic:blipFill>
                  <pic:spPr>
                    <a:xfrm>
                      <a:off x="0" y="0"/>
                      <a:ext cx="5614670" cy="7821295"/>
                    </a:xfrm>
                    <a:prstGeom prst="rect">
                      <a:avLst/>
                    </a:prstGeom>
                    <a:noFill/>
                    <a:ln>
                      <a:noFill/>
                    </a:ln>
                  </pic:spPr>
                </pic:pic>
              </a:graphicData>
            </a:graphic>
          </wp:inline>
        </w:drawing>
      </w:r>
      <w:r>
        <w:rPr>
          <w:color w:val="auto"/>
          <w:highlight w:val="none"/>
        </w:rPr>
        <w:drawing>
          <wp:inline distT="0" distB="0" distL="114300" distR="114300">
            <wp:extent cx="5609590" cy="7840345"/>
            <wp:effectExtent l="0" t="0" r="10160" b="8255"/>
            <wp:docPr id="122"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63"/>
                    <pic:cNvPicPr>
                      <a:picLocks noChangeAspect="1"/>
                    </pic:cNvPicPr>
                  </pic:nvPicPr>
                  <pic:blipFill>
                    <a:blip r:embed="rId147"/>
                    <a:stretch>
                      <a:fillRect/>
                    </a:stretch>
                  </pic:blipFill>
                  <pic:spPr>
                    <a:xfrm>
                      <a:off x="0" y="0"/>
                      <a:ext cx="5609590" cy="7840345"/>
                    </a:xfrm>
                    <a:prstGeom prst="rect">
                      <a:avLst/>
                    </a:prstGeom>
                    <a:noFill/>
                    <a:ln>
                      <a:noFill/>
                    </a:ln>
                  </pic:spPr>
                </pic:pic>
              </a:graphicData>
            </a:graphic>
          </wp:inline>
        </w:drawing>
      </w:r>
      <w:r>
        <w:rPr>
          <w:color w:val="auto"/>
          <w:highlight w:val="none"/>
        </w:rPr>
        <w:drawing>
          <wp:inline distT="0" distB="0" distL="114300" distR="114300">
            <wp:extent cx="5611495" cy="7920990"/>
            <wp:effectExtent l="0" t="0" r="8255" b="3810"/>
            <wp:docPr id="12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64"/>
                    <pic:cNvPicPr>
                      <a:picLocks noChangeAspect="1"/>
                    </pic:cNvPicPr>
                  </pic:nvPicPr>
                  <pic:blipFill>
                    <a:blip r:embed="rId148"/>
                    <a:stretch>
                      <a:fillRect/>
                    </a:stretch>
                  </pic:blipFill>
                  <pic:spPr>
                    <a:xfrm>
                      <a:off x="0" y="0"/>
                      <a:ext cx="5611495" cy="7920990"/>
                    </a:xfrm>
                    <a:prstGeom prst="rect">
                      <a:avLst/>
                    </a:prstGeom>
                    <a:noFill/>
                    <a:ln>
                      <a:noFill/>
                    </a:ln>
                  </pic:spPr>
                </pic:pic>
              </a:graphicData>
            </a:graphic>
          </wp:inline>
        </w:drawing>
      </w:r>
      <w:r>
        <w:rPr>
          <w:color w:val="auto"/>
          <w:highlight w:val="none"/>
        </w:rPr>
        <w:drawing>
          <wp:inline distT="0" distB="0" distL="114300" distR="114300">
            <wp:extent cx="5614670" cy="7747635"/>
            <wp:effectExtent l="0" t="0" r="5080" b="5715"/>
            <wp:docPr id="12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5"/>
                    <pic:cNvPicPr>
                      <a:picLocks noChangeAspect="1"/>
                    </pic:cNvPicPr>
                  </pic:nvPicPr>
                  <pic:blipFill>
                    <a:blip r:embed="rId149"/>
                    <a:stretch>
                      <a:fillRect/>
                    </a:stretch>
                  </pic:blipFill>
                  <pic:spPr>
                    <a:xfrm>
                      <a:off x="0" y="0"/>
                      <a:ext cx="5614670" cy="7747635"/>
                    </a:xfrm>
                    <a:prstGeom prst="rect">
                      <a:avLst/>
                    </a:prstGeom>
                    <a:noFill/>
                    <a:ln>
                      <a:noFill/>
                    </a:ln>
                  </pic:spPr>
                </pic:pic>
              </a:graphicData>
            </a:graphic>
          </wp:inline>
        </w:drawing>
      </w:r>
      <w:r>
        <w:rPr>
          <w:color w:val="auto"/>
          <w:highlight w:val="none"/>
        </w:rPr>
        <w:drawing>
          <wp:inline distT="0" distB="0" distL="114300" distR="114300">
            <wp:extent cx="5611495" cy="7920990"/>
            <wp:effectExtent l="0" t="0" r="8255" b="3810"/>
            <wp:docPr id="125"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6"/>
                    <pic:cNvPicPr>
                      <a:picLocks noChangeAspect="1"/>
                    </pic:cNvPicPr>
                  </pic:nvPicPr>
                  <pic:blipFill>
                    <a:blip r:embed="rId150"/>
                    <a:stretch>
                      <a:fillRect/>
                    </a:stretch>
                  </pic:blipFill>
                  <pic:spPr>
                    <a:xfrm>
                      <a:off x="0" y="0"/>
                      <a:ext cx="5611495" cy="7920990"/>
                    </a:xfrm>
                    <a:prstGeom prst="rect">
                      <a:avLst/>
                    </a:prstGeom>
                    <a:noFill/>
                    <a:ln>
                      <a:noFill/>
                    </a:ln>
                  </pic:spPr>
                </pic:pic>
              </a:graphicData>
            </a:graphic>
          </wp:inline>
        </w:drawing>
      </w:r>
      <w:r>
        <w:rPr>
          <w:color w:val="auto"/>
          <w:highlight w:val="none"/>
        </w:rPr>
        <w:drawing>
          <wp:inline distT="0" distB="0" distL="114300" distR="114300">
            <wp:extent cx="5456555" cy="8198485"/>
            <wp:effectExtent l="0" t="0" r="10795" b="12065"/>
            <wp:docPr id="12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67"/>
                    <pic:cNvPicPr>
                      <a:picLocks noChangeAspect="1"/>
                    </pic:cNvPicPr>
                  </pic:nvPicPr>
                  <pic:blipFill>
                    <a:blip r:embed="rId151"/>
                    <a:stretch>
                      <a:fillRect/>
                    </a:stretch>
                  </pic:blipFill>
                  <pic:spPr>
                    <a:xfrm>
                      <a:off x="0" y="0"/>
                      <a:ext cx="5456555" cy="8198485"/>
                    </a:xfrm>
                    <a:prstGeom prst="rect">
                      <a:avLst/>
                    </a:prstGeom>
                    <a:noFill/>
                    <a:ln>
                      <a:noFill/>
                    </a:ln>
                  </pic:spPr>
                </pic:pic>
              </a:graphicData>
            </a:graphic>
          </wp:inline>
        </w:drawing>
      </w:r>
      <w:r>
        <w:rPr>
          <w:color w:val="auto"/>
          <w:highlight w:val="none"/>
        </w:rPr>
        <w:drawing>
          <wp:inline distT="0" distB="0" distL="114300" distR="114300">
            <wp:extent cx="5612130" cy="7551420"/>
            <wp:effectExtent l="0" t="0" r="7620" b="11430"/>
            <wp:docPr id="12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68"/>
                    <pic:cNvPicPr>
                      <a:picLocks noChangeAspect="1"/>
                    </pic:cNvPicPr>
                  </pic:nvPicPr>
                  <pic:blipFill>
                    <a:blip r:embed="rId152"/>
                    <a:stretch>
                      <a:fillRect/>
                    </a:stretch>
                  </pic:blipFill>
                  <pic:spPr>
                    <a:xfrm>
                      <a:off x="0" y="0"/>
                      <a:ext cx="5612130" cy="7551420"/>
                    </a:xfrm>
                    <a:prstGeom prst="rect">
                      <a:avLst/>
                    </a:prstGeom>
                    <a:noFill/>
                    <a:ln>
                      <a:noFill/>
                    </a:ln>
                  </pic:spPr>
                </pic:pic>
              </a:graphicData>
            </a:graphic>
          </wp:inline>
        </w:drawing>
      </w:r>
      <w:r>
        <w:rPr>
          <w:color w:val="auto"/>
          <w:highlight w:val="none"/>
        </w:rPr>
        <w:drawing>
          <wp:inline distT="0" distB="0" distL="114300" distR="114300">
            <wp:extent cx="5612765" cy="7572375"/>
            <wp:effectExtent l="0" t="0" r="6985" b="9525"/>
            <wp:docPr id="12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69"/>
                    <pic:cNvPicPr>
                      <a:picLocks noChangeAspect="1"/>
                    </pic:cNvPicPr>
                  </pic:nvPicPr>
                  <pic:blipFill>
                    <a:blip r:embed="rId153"/>
                    <a:stretch>
                      <a:fillRect/>
                    </a:stretch>
                  </pic:blipFill>
                  <pic:spPr>
                    <a:xfrm>
                      <a:off x="0" y="0"/>
                      <a:ext cx="5612765" cy="7572375"/>
                    </a:xfrm>
                    <a:prstGeom prst="rect">
                      <a:avLst/>
                    </a:prstGeom>
                    <a:noFill/>
                    <a:ln>
                      <a:noFill/>
                    </a:ln>
                  </pic:spPr>
                </pic:pic>
              </a:graphicData>
            </a:graphic>
          </wp:inline>
        </w:drawing>
      </w:r>
      <w:r>
        <w:rPr>
          <w:color w:val="auto"/>
          <w:highlight w:val="none"/>
        </w:rPr>
        <w:drawing>
          <wp:inline distT="0" distB="0" distL="114300" distR="114300">
            <wp:extent cx="5613400" cy="7613015"/>
            <wp:effectExtent l="0" t="0" r="6350" b="6985"/>
            <wp:docPr id="129"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70"/>
                    <pic:cNvPicPr>
                      <a:picLocks noChangeAspect="1"/>
                    </pic:cNvPicPr>
                  </pic:nvPicPr>
                  <pic:blipFill>
                    <a:blip r:embed="rId154"/>
                    <a:stretch>
                      <a:fillRect/>
                    </a:stretch>
                  </pic:blipFill>
                  <pic:spPr>
                    <a:xfrm>
                      <a:off x="0" y="0"/>
                      <a:ext cx="5613400" cy="7613015"/>
                    </a:xfrm>
                    <a:prstGeom prst="rect">
                      <a:avLst/>
                    </a:prstGeom>
                    <a:noFill/>
                    <a:ln>
                      <a:noFill/>
                    </a:ln>
                  </pic:spPr>
                </pic:pic>
              </a:graphicData>
            </a:graphic>
          </wp:inline>
        </w:drawing>
      </w:r>
      <w:r>
        <w:rPr>
          <w:color w:val="auto"/>
          <w:highlight w:val="none"/>
        </w:rPr>
        <w:drawing>
          <wp:inline distT="0" distB="0" distL="114300" distR="114300">
            <wp:extent cx="5614035" cy="7508240"/>
            <wp:effectExtent l="0" t="0" r="5715" b="16510"/>
            <wp:docPr id="130"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71"/>
                    <pic:cNvPicPr>
                      <a:picLocks noChangeAspect="1"/>
                    </pic:cNvPicPr>
                  </pic:nvPicPr>
                  <pic:blipFill>
                    <a:blip r:embed="rId155"/>
                    <a:stretch>
                      <a:fillRect/>
                    </a:stretch>
                  </pic:blipFill>
                  <pic:spPr>
                    <a:xfrm>
                      <a:off x="0" y="0"/>
                      <a:ext cx="5614035" cy="7508240"/>
                    </a:xfrm>
                    <a:prstGeom prst="rect">
                      <a:avLst/>
                    </a:prstGeom>
                    <a:noFill/>
                    <a:ln>
                      <a:noFill/>
                    </a:ln>
                  </pic:spPr>
                </pic:pic>
              </a:graphicData>
            </a:graphic>
          </wp:inline>
        </w:drawing>
      </w:r>
      <w:r>
        <w:rPr>
          <w:color w:val="auto"/>
          <w:highlight w:val="none"/>
        </w:rPr>
        <w:drawing>
          <wp:inline distT="0" distB="0" distL="114300" distR="114300">
            <wp:extent cx="5614035" cy="7508875"/>
            <wp:effectExtent l="0" t="0" r="5715" b="15875"/>
            <wp:docPr id="13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72"/>
                    <pic:cNvPicPr>
                      <a:picLocks noChangeAspect="1"/>
                    </pic:cNvPicPr>
                  </pic:nvPicPr>
                  <pic:blipFill>
                    <a:blip r:embed="rId156"/>
                    <a:stretch>
                      <a:fillRect/>
                    </a:stretch>
                  </pic:blipFill>
                  <pic:spPr>
                    <a:xfrm>
                      <a:off x="0" y="0"/>
                      <a:ext cx="5614035" cy="7508875"/>
                    </a:xfrm>
                    <a:prstGeom prst="rect">
                      <a:avLst/>
                    </a:prstGeom>
                    <a:noFill/>
                    <a:ln>
                      <a:noFill/>
                    </a:ln>
                  </pic:spPr>
                </pic:pic>
              </a:graphicData>
            </a:graphic>
          </wp:inline>
        </w:drawing>
      </w:r>
      <w:r>
        <w:rPr>
          <w:color w:val="auto"/>
          <w:highlight w:val="none"/>
        </w:rPr>
        <w:drawing>
          <wp:inline distT="0" distB="0" distL="114300" distR="114300">
            <wp:extent cx="5614035" cy="7595870"/>
            <wp:effectExtent l="0" t="0" r="5715" b="5080"/>
            <wp:docPr id="132"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73"/>
                    <pic:cNvPicPr>
                      <a:picLocks noChangeAspect="1"/>
                    </pic:cNvPicPr>
                  </pic:nvPicPr>
                  <pic:blipFill>
                    <a:blip r:embed="rId157"/>
                    <a:stretch>
                      <a:fillRect/>
                    </a:stretch>
                  </pic:blipFill>
                  <pic:spPr>
                    <a:xfrm>
                      <a:off x="0" y="0"/>
                      <a:ext cx="5614035" cy="7595870"/>
                    </a:xfrm>
                    <a:prstGeom prst="rect">
                      <a:avLst/>
                    </a:prstGeom>
                    <a:noFill/>
                    <a:ln>
                      <a:noFill/>
                    </a:ln>
                  </pic:spPr>
                </pic:pic>
              </a:graphicData>
            </a:graphic>
          </wp:inline>
        </w:drawing>
      </w:r>
      <w:r>
        <w:rPr>
          <w:color w:val="auto"/>
          <w:highlight w:val="none"/>
        </w:rPr>
        <w:drawing>
          <wp:inline distT="0" distB="0" distL="114300" distR="114300">
            <wp:extent cx="5609590" cy="7648575"/>
            <wp:effectExtent l="0" t="0" r="10160" b="9525"/>
            <wp:docPr id="133"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74"/>
                    <pic:cNvPicPr>
                      <a:picLocks noChangeAspect="1"/>
                    </pic:cNvPicPr>
                  </pic:nvPicPr>
                  <pic:blipFill>
                    <a:blip r:embed="rId158"/>
                    <a:stretch>
                      <a:fillRect/>
                    </a:stretch>
                  </pic:blipFill>
                  <pic:spPr>
                    <a:xfrm>
                      <a:off x="0" y="0"/>
                      <a:ext cx="5609590" cy="7648575"/>
                    </a:xfrm>
                    <a:prstGeom prst="rect">
                      <a:avLst/>
                    </a:prstGeom>
                    <a:noFill/>
                    <a:ln>
                      <a:noFill/>
                    </a:ln>
                  </pic:spPr>
                </pic:pic>
              </a:graphicData>
            </a:graphic>
          </wp:inline>
        </w:drawing>
      </w:r>
    </w:p>
    <w:p w14:paraId="227EA767">
      <w:pPr>
        <w:pStyle w:val="24"/>
        <w:rPr>
          <w:color w:val="auto"/>
          <w:highlight w:val="none"/>
        </w:rPr>
      </w:pPr>
    </w:p>
    <w:p w14:paraId="6C9D6059">
      <w:pPr>
        <w:rPr>
          <w:color w:val="auto"/>
          <w:highlight w:val="none"/>
        </w:rPr>
      </w:pPr>
    </w:p>
    <w:p w14:paraId="771FE1BB">
      <w:pPr>
        <w:pStyle w:val="24"/>
        <w:rPr>
          <w:color w:val="auto"/>
          <w:highlight w:val="none"/>
        </w:rPr>
      </w:pPr>
    </w:p>
    <w:p w14:paraId="19A1CBDC">
      <w:pPr>
        <w:pStyle w:val="8"/>
        <w:bidi w:val="0"/>
        <w:rPr>
          <w:rFonts w:hint="eastAsia"/>
          <w:color w:val="auto"/>
          <w:highlight w:val="none"/>
          <w:lang w:val="en-US" w:eastAsia="zh-CN"/>
        </w:rPr>
      </w:pPr>
      <w:r>
        <w:rPr>
          <w:rFonts w:hint="eastAsia"/>
          <w:color w:val="auto"/>
          <w:highlight w:val="none"/>
          <w:lang w:val="en-US" w:eastAsia="zh-CN"/>
        </w:rPr>
        <w:t>附件7固废处置协议</w:t>
      </w:r>
    </w:p>
    <w:p w14:paraId="47699153">
      <w:pPr>
        <w:ind w:left="0" w:leftChars="0" w:firstLine="0" w:firstLineChars="0"/>
        <w:rPr>
          <w:color w:val="auto"/>
          <w:highlight w:val="none"/>
        </w:rPr>
      </w:pPr>
      <w:r>
        <w:rPr>
          <w:color w:val="auto"/>
          <w:highlight w:val="none"/>
        </w:rPr>
        <w:drawing>
          <wp:inline distT="0" distB="0" distL="114300" distR="114300">
            <wp:extent cx="5410200" cy="7639050"/>
            <wp:effectExtent l="0" t="0" r="0" b="0"/>
            <wp:docPr id="1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
                    <pic:cNvPicPr>
                      <a:picLocks noChangeAspect="1"/>
                    </pic:cNvPicPr>
                  </pic:nvPicPr>
                  <pic:blipFill>
                    <a:blip r:embed="rId159"/>
                    <a:stretch>
                      <a:fillRect/>
                    </a:stretch>
                  </pic:blipFill>
                  <pic:spPr>
                    <a:xfrm>
                      <a:off x="0" y="0"/>
                      <a:ext cx="5410200" cy="7639050"/>
                    </a:xfrm>
                    <a:prstGeom prst="rect">
                      <a:avLst/>
                    </a:prstGeom>
                    <a:noFill/>
                    <a:ln>
                      <a:noFill/>
                    </a:ln>
                  </pic:spPr>
                </pic:pic>
              </a:graphicData>
            </a:graphic>
          </wp:inline>
        </w:drawing>
      </w:r>
      <w:r>
        <w:rPr>
          <w:color w:val="auto"/>
          <w:highlight w:val="none"/>
        </w:rPr>
        <w:drawing>
          <wp:inline distT="0" distB="0" distL="114300" distR="114300">
            <wp:extent cx="5362575" cy="7610475"/>
            <wp:effectExtent l="0" t="0" r="9525" b="9525"/>
            <wp:docPr id="1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
                    <pic:cNvPicPr>
                      <a:picLocks noChangeAspect="1"/>
                    </pic:cNvPicPr>
                  </pic:nvPicPr>
                  <pic:blipFill>
                    <a:blip r:embed="rId160"/>
                    <a:stretch>
                      <a:fillRect/>
                    </a:stretch>
                  </pic:blipFill>
                  <pic:spPr>
                    <a:xfrm>
                      <a:off x="0" y="0"/>
                      <a:ext cx="5362575" cy="7610475"/>
                    </a:xfrm>
                    <a:prstGeom prst="rect">
                      <a:avLst/>
                    </a:prstGeom>
                    <a:noFill/>
                    <a:ln>
                      <a:noFill/>
                    </a:ln>
                  </pic:spPr>
                </pic:pic>
              </a:graphicData>
            </a:graphic>
          </wp:inline>
        </w:drawing>
      </w:r>
      <w:r>
        <w:rPr>
          <w:color w:val="auto"/>
          <w:highlight w:val="none"/>
        </w:rPr>
        <w:drawing>
          <wp:inline distT="0" distB="0" distL="114300" distR="114300">
            <wp:extent cx="5334000" cy="7543800"/>
            <wp:effectExtent l="0" t="0" r="0" b="0"/>
            <wp:docPr id="1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6"/>
                    <pic:cNvPicPr>
                      <a:picLocks noChangeAspect="1"/>
                    </pic:cNvPicPr>
                  </pic:nvPicPr>
                  <pic:blipFill>
                    <a:blip r:embed="rId161"/>
                    <a:stretch>
                      <a:fillRect/>
                    </a:stretch>
                  </pic:blipFill>
                  <pic:spPr>
                    <a:xfrm>
                      <a:off x="0" y="0"/>
                      <a:ext cx="5334000" cy="7543800"/>
                    </a:xfrm>
                    <a:prstGeom prst="rect">
                      <a:avLst/>
                    </a:prstGeom>
                    <a:noFill/>
                    <a:ln>
                      <a:noFill/>
                    </a:ln>
                  </pic:spPr>
                </pic:pic>
              </a:graphicData>
            </a:graphic>
          </wp:inline>
        </w:drawing>
      </w:r>
      <w:r>
        <w:rPr>
          <w:color w:val="auto"/>
          <w:highlight w:val="none"/>
        </w:rPr>
        <w:drawing>
          <wp:inline distT="0" distB="0" distL="114300" distR="114300">
            <wp:extent cx="5553075" cy="7753350"/>
            <wp:effectExtent l="0" t="0" r="9525" b="0"/>
            <wp:docPr id="15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7"/>
                    <pic:cNvPicPr>
                      <a:picLocks noChangeAspect="1"/>
                    </pic:cNvPicPr>
                  </pic:nvPicPr>
                  <pic:blipFill>
                    <a:blip r:embed="rId162"/>
                    <a:stretch>
                      <a:fillRect/>
                    </a:stretch>
                  </pic:blipFill>
                  <pic:spPr>
                    <a:xfrm>
                      <a:off x="0" y="0"/>
                      <a:ext cx="5553075" cy="7753350"/>
                    </a:xfrm>
                    <a:prstGeom prst="rect">
                      <a:avLst/>
                    </a:prstGeom>
                    <a:noFill/>
                    <a:ln>
                      <a:noFill/>
                    </a:ln>
                  </pic:spPr>
                </pic:pic>
              </a:graphicData>
            </a:graphic>
          </wp:inline>
        </w:drawing>
      </w:r>
      <w:r>
        <w:rPr>
          <w:color w:val="auto"/>
          <w:highlight w:val="none"/>
        </w:rPr>
        <w:drawing>
          <wp:inline distT="0" distB="0" distL="114300" distR="114300">
            <wp:extent cx="5524500" cy="7810500"/>
            <wp:effectExtent l="0" t="0" r="0" b="0"/>
            <wp:docPr id="1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8"/>
                    <pic:cNvPicPr>
                      <a:picLocks noChangeAspect="1"/>
                    </pic:cNvPicPr>
                  </pic:nvPicPr>
                  <pic:blipFill>
                    <a:blip r:embed="rId163"/>
                    <a:stretch>
                      <a:fillRect/>
                    </a:stretch>
                  </pic:blipFill>
                  <pic:spPr>
                    <a:xfrm>
                      <a:off x="0" y="0"/>
                      <a:ext cx="5524500" cy="7810500"/>
                    </a:xfrm>
                    <a:prstGeom prst="rect">
                      <a:avLst/>
                    </a:prstGeom>
                    <a:noFill/>
                    <a:ln>
                      <a:noFill/>
                    </a:ln>
                  </pic:spPr>
                </pic:pic>
              </a:graphicData>
            </a:graphic>
          </wp:inline>
        </w:drawing>
      </w:r>
      <w:r>
        <w:rPr>
          <w:color w:val="auto"/>
          <w:highlight w:val="none"/>
        </w:rPr>
        <w:drawing>
          <wp:inline distT="0" distB="0" distL="114300" distR="114300">
            <wp:extent cx="5543550" cy="7753350"/>
            <wp:effectExtent l="0" t="0" r="0" b="0"/>
            <wp:docPr id="15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9"/>
                    <pic:cNvPicPr>
                      <a:picLocks noChangeAspect="1"/>
                    </pic:cNvPicPr>
                  </pic:nvPicPr>
                  <pic:blipFill>
                    <a:blip r:embed="rId164"/>
                    <a:stretch>
                      <a:fillRect/>
                    </a:stretch>
                  </pic:blipFill>
                  <pic:spPr>
                    <a:xfrm>
                      <a:off x="0" y="0"/>
                      <a:ext cx="5543550" cy="7753350"/>
                    </a:xfrm>
                    <a:prstGeom prst="rect">
                      <a:avLst/>
                    </a:prstGeom>
                    <a:noFill/>
                    <a:ln>
                      <a:noFill/>
                    </a:ln>
                  </pic:spPr>
                </pic:pic>
              </a:graphicData>
            </a:graphic>
          </wp:inline>
        </w:drawing>
      </w:r>
      <w:r>
        <w:rPr>
          <w:color w:val="auto"/>
          <w:highlight w:val="none"/>
        </w:rPr>
        <w:drawing>
          <wp:inline distT="0" distB="0" distL="114300" distR="114300">
            <wp:extent cx="5467350" cy="7667625"/>
            <wp:effectExtent l="0" t="0" r="0" b="9525"/>
            <wp:docPr id="15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0"/>
                    <pic:cNvPicPr>
                      <a:picLocks noChangeAspect="1"/>
                    </pic:cNvPicPr>
                  </pic:nvPicPr>
                  <pic:blipFill>
                    <a:blip r:embed="rId165"/>
                    <a:stretch>
                      <a:fillRect/>
                    </a:stretch>
                  </pic:blipFill>
                  <pic:spPr>
                    <a:xfrm>
                      <a:off x="0" y="0"/>
                      <a:ext cx="5467350" cy="7667625"/>
                    </a:xfrm>
                    <a:prstGeom prst="rect">
                      <a:avLst/>
                    </a:prstGeom>
                    <a:noFill/>
                    <a:ln>
                      <a:noFill/>
                    </a:ln>
                  </pic:spPr>
                </pic:pic>
              </a:graphicData>
            </a:graphic>
          </wp:inline>
        </w:drawing>
      </w:r>
      <w:r>
        <w:rPr>
          <w:color w:val="auto"/>
          <w:highlight w:val="none"/>
        </w:rPr>
        <w:drawing>
          <wp:inline distT="0" distB="0" distL="114300" distR="114300">
            <wp:extent cx="5448300" cy="7772400"/>
            <wp:effectExtent l="0" t="0" r="0" b="0"/>
            <wp:docPr id="15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1"/>
                    <pic:cNvPicPr>
                      <a:picLocks noChangeAspect="1"/>
                    </pic:cNvPicPr>
                  </pic:nvPicPr>
                  <pic:blipFill>
                    <a:blip r:embed="rId166"/>
                    <a:stretch>
                      <a:fillRect/>
                    </a:stretch>
                  </pic:blipFill>
                  <pic:spPr>
                    <a:xfrm>
                      <a:off x="0" y="0"/>
                      <a:ext cx="5448300" cy="7772400"/>
                    </a:xfrm>
                    <a:prstGeom prst="rect">
                      <a:avLst/>
                    </a:prstGeom>
                    <a:noFill/>
                    <a:ln>
                      <a:noFill/>
                    </a:ln>
                  </pic:spPr>
                </pic:pic>
              </a:graphicData>
            </a:graphic>
          </wp:inline>
        </w:drawing>
      </w:r>
      <w:r>
        <w:rPr>
          <w:color w:val="auto"/>
          <w:highlight w:val="none"/>
        </w:rPr>
        <w:drawing>
          <wp:inline distT="0" distB="0" distL="114300" distR="114300">
            <wp:extent cx="5543550" cy="7791450"/>
            <wp:effectExtent l="0" t="0" r="0" b="0"/>
            <wp:docPr id="15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2"/>
                    <pic:cNvPicPr>
                      <a:picLocks noChangeAspect="1"/>
                    </pic:cNvPicPr>
                  </pic:nvPicPr>
                  <pic:blipFill>
                    <a:blip r:embed="rId167"/>
                    <a:stretch>
                      <a:fillRect/>
                    </a:stretch>
                  </pic:blipFill>
                  <pic:spPr>
                    <a:xfrm>
                      <a:off x="0" y="0"/>
                      <a:ext cx="5543550" cy="7791450"/>
                    </a:xfrm>
                    <a:prstGeom prst="rect">
                      <a:avLst/>
                    </a:prstGeom>
                    <a:noFill/>
                    <a:ln>
                      <a:noFill/>
                    </a:ln>
                  </pic:spPr>
                </pic:pic>
              </a:graphicData>
            </a:graphic>
          </wp:inline>
        </w:drawing>
      </w:r>
      <w:r>
        <w:rPr>
          <w:color w:val="auto"/>
          <w:highlight w:val="none"/>
        </w:rPr>
        <w:drawing>
          <wp:inline distT="0" distB="0" distL="114300" distR="114300">
            <wp:extent cx="5534025" cy="7391400"/>
            <wp:effectExtent l="0" t="0" r="9525" b="0"/>
            <wp:docPr id="15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3"/>
                    <pic:cNvPicPr>
                      <a:picLocks noChangeAspect="1"/>
                    </pic:cNvPicPr>
                  </pic:nvPicPr>
                  <pic:blipFill>
                    <a:blip r:embed="rId168"/>
                    <a:stretch>
                      <a:fillRect/>
                    </a:stretch>
                  </pic:blipFill>
                  <pic:spPr>
                    <a:xfrm>
                      <a:off x="0" y="0"/>
                      <a:ext cx="5534025" cy="7391400"/>
                    </a:xfrm>
                    <a:prstGeom prst="rect">
                      <a:avLst/>
                    </a:prstGeom>
                    <a:noFill/>
                    <a:ln>
                      <a:noFill/>
                    </a:ln>
                  </pic:spPr>
                </pic:pic>
              </a:graphicData>
            </a:graphic>
          </wp:inline>
        </w:drawing>
      </w:r>
      <w:r>
        <w:rPr>
          <w:color w:val="auto"/>
          <w:highlight w:val="none"/>
        </w:rPr>
        <w:drawing>
          <wp:inline distT="0" distB="0" distL="114300" distR="114300">
            <wp:extent cx="5553075" cy="7734300"/>
            <wp:effectExtent l="0" t="0" r="9525" b="0"/>
            <wp:docPr id="16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4"/>
                    <pic:cNvPicPr>
                      <a:picLocks noChangeAspect="1"/>
                    </pic:cNvPicPr>
                  </pic:nvPicPr>
                  <pic:blipFill>
                    <a:blip r:embed="rId169"/>
                    <a:stretch>
                      <a:fillRect/>
                    </a:stretch>
                  </pic:blipFill>
                  <pic:spPr>
                    <a:xfrm>
                      <a:off x="0" y="0"/>
                      <a:ext cx="5553075" cy="7734300"/>
                    </a:xfrm>
                    <a:prstGeom prst="rect">
                      <a:avLst/>
                    </a:prstGeom>
                    <a:noFill/>
                    <a:ln>
                      <a:noFill/>
                    </a:ln>
                  </pic:spPr>
                </pic:pic>
              </a:graphicData>
            </a:graphic>
          </wp:inline>
        </w:drawing>
      </w:r>
      <w:r>
        <w:rPr>
          <w:color w:val="auto"/>
          <w:highlight w:val="none"/>
        </w:rPr>
        <w:drawing>
          <wp:inline distT="0" distB="0" distL="114300" distR="114300">
            <wp:extent cx="5495925" cy="7800975"/>
            <wp:effectExtent l="0" t="0" r="9525" b="9525"/>
            <wp:docPr id="1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5"/>
                    <pic:cNvPicPr>
                      <a:picLocks noChangeAspect="1"/>
                    </pic:cNvPicPr>
                  </pic:nvPicPr>
                  <pic:blipFill>
                    <a:blip r:embed="rId170"/>
                    <a:stretch>
                      <a:fillRect/>
                    </a:stretch>
                  </pic:blipFill>
                  <pic:spPr>
                    <a:xfrm>
                      <a:off x="0" y="0"/>
                      <a:ext cx="5495925" cy="7800975"/>
                    </a:xfrm>
                    <a:prstGeom prst="rect">
                      <a:avLst/>
                    </a:prstGeom>
                    <a:noFill/>
                    <a:ln>
                      <a:noFill/>
                    </a:ln>
                  </pic:spPr>
                </pic:pic>
              </a:graphicData>
            </a:graphic>
          </wp:inline>
        </w:drawing>
      </w:r>
      <w:r>
        <w:rPr>
          <w:color w:val="auto"/>
          <w:highlight w:val="none"/>
        </w:rPr>
        <w:drawing>
          <wp:inline distT="0" distB="0" distL="114300" distR="114300">
            <wp:extent cx="5505450" cy="7762875"/>
            <wp:effectExtent l="0" t="0" r="0" b="9525"/>
            <wp:docPr id="16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6"/>
                    <pic:cNvPicPr>
                      <a:picLocks noChangeAspect="1"/>
                    </pic:cNvPicPr>
                  </pic:nvPicPr>
                  <pic:blipFill>
                    <a:blip r:embed="rId171"/>
                    <a:stretch>
                      <a:fillRect/>
                    </a:stretch>
                  </pic:blipFill>
                  <pic:spPr>
                    <a:xfrm>
                      <a:off x="0" y="0"/>
                      <a:ext cx="5505450" cy="7762875"/>
                    </a:xfrm>
                    <a:prstGeom prst="rect">
                      <a:avLst/>
                    </a:prstGeom>
                    <a:noFill/>
                    <a:ln>
                      <a:noFill/>
                    </a:ln>
                  </pic:spPr>
                </pic:pic>
              </a:graphicData>
            </a:graphic>
          </wp:inline>
        </w:drawing>
      </w:r>
      <w:r>
        <w:rPr>
          <w:color w:val="auto"/>
          <w:highlight w:val="none"/>
        </w:rPr>
        <w:drawing>
          <wp:inline distT="0" distB="0" distL="114300" distR="114300">
            <wp:extent cx="5400675" cy="7705725"/>
            <wp:effectExtent l="0" t="0" r="9525" b="9525"/>
            <wp:docPr id="16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7"/>
                    <pic:cNvPicPr>
                      <a:picLocks noChangeAspect="1"/>
                    </pic:cNvPicPr>
                  </pic:nvPicPr>
                  <pic:blipFill>
                    <a:blip r:embed="rId172"/>
                    <a:stretch>
                      <a:fillRect/>
                    </a:stretch>
                  </pic:blipFill>
                  <pic:spPr>
                    <a:xfrm>
                      <a:off x="0" y="0"/>
                      <a:ext cx="5400675" cy="7705725"/>
                    </a:xfrm>
                    <a:prstGeom prst="rect">
                      <a:avLst/>
                    </a:prstGeom>
                    <a:noFill/>
                    <a:ln>
                      <a:noFill/>
                    </a:ln>
                  </pic:spPr>
                </pic:pic>
              </a:graphicData>
            </a:graphic>
          </wp:inline>
        </w:drawing>
      </w:r>
      <w:r>
        <w:rPr>
          <w:color w:val="auto"/>
          <w:highlight w:val="none"/>
        </w:rPr>
        <w:drawing>
          <wp:inline distT="0" distB="0" distL="114300" distR="114300">
            <wp:extent cx="5514975" cy="7734300"/>
            <wp:effectExtent l="0" t="0" r="9525" b="0"/>
            <wp:docPr id="16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8"/>
                    <pic:cNvPicPr>
                      <a:picLocks noChangeAspect="1"/>
                    </pic:cNvPicPr>
                  </pic:nvPicPr>
                  <pic:blipFill>
                    <a:blip r:embed="rId173"/>
                    <a:stretch>
                      <a:fillRect/>
                    </a:stretch>
                  </pic:blipFill>
                  <pic:spPr>
                    <a:xfrm>
                      <a:off x="0" y="0"/>
                      <a:ext cx="5514975" cy="7734300"/>
                    </a:xfrm>
                    <a:prstGeom prst="rect">
                      <a:avLst/>
                    </a:prstGeom>
                    <a:noFill/>
                    <a:ln>
                      <a:noFill/>
                    </a:ln>
                  </pic:spPr>
                </pic:pic>
              </a:graphicData>
            </a:graphic>
          </wp:inline>
        </w:drawing>
      </w:r>
      <w:r>
        <w:rPr>
          <w:color w:val="auto"/>
          <w:highlight w:val="none"/>
        </w:rPr>
        <w:drawing>
          <wp:inline distT="0" distB="0" distL="114300" distR="114300">
            <wp:extent cx="5353050" cy="7543800"/>
            <wp:effectExtent l="0" t="0" r="0" b="0"/>
            <wp:docPr id="16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29"/>
                    <pic:cNvPicPr>
                      <a:picLocks noChangeAspect="1"/>
                    </pic:cNvPicPr>
                  </pic:nvPicPr>
                  <pic:blipFill>
                    <a:blip r:embed="rId174"/>
                    <a:stretch>
                      <a:fillRect/>
                    </a:stretch>
                  </pic:blipFill>
                  <pic:spPr>
                    <a:xfrm>
                      <a:off x="0" y="0"/>
                      <a:ext cx="5353050" cy="7543800"/>
                    </a:xfrm>
                    <a:prstGeom prst="rect">
                      <a:avLst/>
                    </a:prstGeom>
                    <a:noFill/>
                    <a:ln>
                      <a:noFill/>
                    </a:ln>
                  </pic:spPr>
                </pic:pic>
              </a:graphicData>
            </a:graphic>
          </wp:inline>
        </w:drawing>
      </w:r>
      <w:r>
        <w:rPr>
          <w:color w:val="auto"/>
          <w:highlight w:val="none"/>
        </w:rPr>
        <w:drawing>
          <wp:inline distT="0" distB="0" distL="114300" distR="114300">
            <wp:extent cx="5410200" cy="7743825"/>
            <wp:effectExtent l="0" t="0" r="0" b="9525"/>
            <wp:docPr id="17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33"/>
                    <pic:cNvPicPr>
                      <a:picLocks noChangeAspect="1"/>
                    </pic:cNvPicPr>
                  </pic:nvPicPr>
                  <pic:blipFill>
                    <a:blip r:embed="rId175"/>
                    <a:stretch>
                      <a:fillRect/>
                    </a:stretch>
                  </pic:blipFill>
                  <pic:spPr>
                    <a:xfrm>
                      <a:off x="0" y="0"/>
                      <a:ext cx="5410200" cy="7743825"/>
                    </a:xfrm>
                    <a:prstGeom prst="rect">
                      <a:avLst/>
                    </a:prstGeom>
                    <a:noFill/>
                    <a:ln>
                      <a:noFill/>
                    </a:ln>
                  </pic:spPr>
                </pic:pic>
              </a:graphicData>
            </a:graphic>
          </wp:inline>
        </w:drawing>
      </w:r>
      <w:r>
        <w:rPr>
          <w:color w:val="auto"/>
          <w:highlight w:val="none"/>
        </w:rPr>
        <w:drawing>
          <wp:inline distT="0" distB="0" distL="114300" distR="114300">
            <wp:extent cx="5438775" cy="7639050"/>
            <wp:effectExtent l="0" t="0" r="9525" b="0"/>
            <wp:docPr id="17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7"/>
                    <pic:cNvPicPr>
                      <a:picLocks noChangeAspect="1"/>
                    </pic:cNvPicPr>
                  </pic:nvPicPr>
                  <pic:blipFill>
                    <a:blip r:embed="rId176"/>
                    <a:stretch>
                      <a:fillRect/>
                    </a:stretch>
                  </pic:blipFill>
                  <pic:spPr>
                    <a:xfrm>
                      <a:off x="0" y="0"/>
                      <a:ext cx="5438775" cy="7639050"/>
                    </a:xfrm>
                    <a:prstGeom prst="rect">
                      <a:avLst/>
                    </a:prstGeom>
                    <a:noFill/>
                    <a:ln>
                      <a:noFill/>
                    </a:ln>
                  </pic:spPr>
                </pic:pic>
              </a:graphicData>
            </a:graphic>
          </wp:inline>
        </w:drawing>
      </w:r>
    </w:p>
    <w:p w14:paraId="70468F9C">
      <w:pPr>
        <w:ind w:left="0" w:leftChars="0" w:firstLine="0" w:firstLineChars="0"/>
        <w:rPr>
          <w:color w:val="auto"/>
          <w:highlight w:val="none"/>
        </w:rPr>
      </w:pPr>
    </w:p>
    <w:p w14:paraId="01D85599">
      <w:pPr>
        <w:ind w:left="0" w:leftChars="0" w:firstLine="0" w:firstLineChars="0"/>
        <w:rPr>
          <w:color w:val="auto"/>
          <w:highlight w:val="none"/>
        </w:rPr>
      </w:pPr>
    </w:p>
    <w:p w14:paraId="2C3CFCD5">
      <w:pPr>
        <w:pStyle w:val="8"/>
        <w:bidi w:val="0"/>
        <w:rPr>
          <w:rFonts w:hint="default"/>
          <w:color w:val="auto"/>
          <w:highlight w:val="none"/>
          <w:lang w:val="en-US" w:eastAsia="zh-CN"/>
        </w:rPr>
      </w:pPr>
      <w:r>
        <w:rPr>
          <w:rFonts w:hint="eastAsia"/>
          <w:color w:val="auto"/>
          <w:highlight w:val="none"/>
          <w:lang w:val="en-US" w:eastAsia="zh-CN"/>
        </w:rPr>
        <w:t>附件8供热协议</w:t>
      </w:r>
    </w:p>
    <w:p w14:paraId="6F83B36A">
      <w:pPr>
        <w:pStyle w:val="24"/>
        <w:ind w:left="0" w:leftChars="0" w:firstLine="0" w:firstLineChars="0"/>
        <w:rPr>
          <w:rFonts w:hint="default"/>
          <w:color w:val="auto"/>
          <w:highlight w:val="none"/>
          <w:lang w:val="en-US" w:eastAsia="zh-CN"/>
        </w:rPr>
      </w:pPr>
      <w:r>
        <w:rPr>
          <w:color w:val="auto"/>
          <w:highlight w:val="none"/>
        </w:rPr>
        <w:drawing>
          <wp:inline distT="0" distB="0" distL="114300" distR="114300">
            <wp:extent cx="5400675" cy="7696200"/>
            <wp:effectExtent l="0" t="0" r="9525" b="0"/>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4"/>
                    <pic:cNvPicPr>
                      <a:picLocks noChangeAspect="1"/>
                    </pic:cNvPicPr>
                  </pic:nvPicPr>
                  <pic:blipFill>
                    <a:blip r:embed="rId177"/>
                    <a:stretch>
                      <a:fillRect/>
                    </a:stretch>
                  </pic:blipFill>
                  <pic:spPr>
                    <a:xfrm>
                      <a:off x="0" y="0"/>
                      <a:ext cx="5400675" cy="7696200"/>
                    </a:xfrm>
                    <a:prstGeom prst="rect">
                      <a:avLst/>
                    </a:prstGeom>
                    <a:noFill/>
                    <a:ln>
                      <a:noFill/>
                    </a:ln>
                  </pic:spPr>
                </pic:pic>
              </a:graphicData>
            </a:graphic>
          </wp:inline>
        </w:drawing>
      </w:r>
      <w:r>
        <w:rPr>
          <w:color w:val="auto"/>
          <w:highlight w:val="none"/>
        </w:rPr>
        <w:drawing>
          <wp:inline distT="0" distB="0" distL="114300" distR="114300">
            <wp:extent cx="5476875" cy="7743825"/>
            <wp:effectExtent l="0" t="0" r="9525" b="9525"/>
            <wp:docPr id="7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5"/>
                    <pic:cNvPicPr>
                      <a:picLocks noChangeAspect="1"/>
                    </pic:cNvPicPr>
                  </pic:nvPicPr>
                  <pic:blipFill>
                    <a:blip r:embed="rId178"/>
                    <a:stretch>
                      <a:fillRect/>
                    </a:stretch>
                  </pic:blipFill>
                  <pic:spPr>
                    <a:xfrm>
                      <a:off x="0" y="0"/>
                      <a:ext cx="5476875" cy="7743825"/>
                    </a:xfrm>
                    <a:prstGeom prst="rect">
                      <a:avLst/>
                    </a:prstGeom>
                    <a:noFill/>
                    <a:ln>
                      <a:noFill/>
                    </a:ln>
                  </pic:spPr>
                </pic:pic>
              </a:graphicData>
            </a:graphic>
          </wp:inline>
        </w:drawing>
      </w:r>
      <w:r>
        <w:rPr>
          <w:color w:val="auto"/>
          <w:highlight w:val="none"/>
        </w:rPr>
        <w:drawing>
          <wp:inline distT="0" distB="0" distL="114300" distR="114300">
            <wp:extent cx="5495925" cy="7829550"/>
            <wp:effectExtent l="0" t="0" r="9525" b="0"/>
            <wp:docPr id="7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6"/>
                    <pic:cNvPicPr>
                      <a:picLocks noChangeAspect="1"/>
                    </pic:cNvPicPr>
                  </pic:nvPicPr>
                  <pic:blipFill>
                    <a:blip r:embed="rId179"/>
                    <a:stretch>
                      <a:fillRect/>
                    </a:stretch>
                  </pic:blipFill>
                  <pic:spPr>
                    <a:xfrm>
                      <a:off x="0" y="0"/>
                      <a:ext cx="5495925" cy="7829550"/>
                    </a:xfrm>
                    <a:prstGeom prst="rect">
                      <a:avLst/>
                    </a:prstGeom>
                    <a:noFill/>
                    <a:ln>
                      <a:noFill/>
                    </a:ln>
                  </pic:spPr>
                </pic:pic>
              </a:graphicData>
            </a:graphic>
          </wp:inline>
        </w:drawing>
      </w:r>
      <w:r>
        <w:rPr>
          <w:color w:val="auto"/>
          <w:highlight w:val="none"/>
        </w:rPr>
        <w:drawing>
          <wp:inline distT="0" distB="0" distL="114300" distR="114300">
            <wp:extent cx="5514975" cy="7820025"/>
            <wp:effectExtent l="0" t="0" r="9525" b="9525"/>
            <wp:docPr id="7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7"/>
                    <pic:cNvPicPr>
                      <a:picLocks noChangeAspect="1"/>
                    </pic:cNvPicPr>
                  </pic:nvPicPr>
                  <pic:blipFill>
                    <a:blip r:embed="rId180"/>
                    <a:stretch>
                      <a:fillRect/>
                    </a:stretch>
                  </pic:blipFill>
                  <pic:spPr>
                    <a:xfrm>
                      <a:off x="0" y="0"/>
                      <a:ext cx="5514975" cy="7820025"/>
                    </a:xfrm>
                    <a:prstGeom prst="rect">
                      <a:avLst/>
                    </a:prstGeom>
                    <a:noFill/>
                    <a:ln>
                      <a:noFill/>
                    </a:ln>
                  </pic:spPr>
                </pic:pic>
              </a:graphicData>
            </a:graphic>
          </wp:inline>
        </w:drawing>
      </w:r>
      <w:r>
        <w:rPr>
          <w:color w:val="auto"/>
          <w:highlight w:val="none"/>
        </w:rPr>
        <w:drawing>
          <wp:inline distT="0" distB="0" distL="114300" distR="114300">
            <wp:extent cx="5476875" cy="7848600"/>
            <wp:effectExtent l="0" t="0" r="9525" b="0"/>
            <wp:docPr id="7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8"/>
                    <pic:cNvPicPr>
                      <a:picLocks noChangeAspect="1"/>
                    </pic:cNvPicPr>
                  </pic:nvPicPr>
                  <pic:blipFill>
                    <a:blip r:embed="rId181"/>
                    <a:stretch>
                      <a:fillRect/>
                    </a:stretch>
                  </pic:blipFill>
                  <pic:spPr>
                    <a:xfrm>
                      <a:off x="0" y="0"/>
                      <a:ext cx="5476875" cy="7848600"/>
                    </a:xfrm>
                    <a:prstGeom prst="rect">
                      <a:avLst/>
                    </a:prstGeom>
                    <a:noFill/>
                    <a:ln>
                      <a:noFill/>
                    </a:ln>
                  </pic:spPr>
                </pic:pic>
              </a:graphicData>
            </a:graphic>
          </wp:inline>
        </w:drawing>
      </w:r>
    </w:p>
    <w:p w14:paraId="49389C93">
      <w:pPr>
        <w:pStyle w:val="24"/>
        <w:rPr>
          <w:rFonts w:hint="eastAsia"/>
          <w:color w:val="auto"/>
          <w:highlight w:val="none"/>
          <w:lang w:val="en-US" w:eastAsia="zh-CN"/>
        </w:rPr>
      </w:pPr>
    </w:p>
    <w:p w14:paraId="7F65C60F">
      <w:pPr>
        <w:rPr>
          <w:rFonts w:hint="eastAsia"/>
          <w:color w:val="auto"/>
          <w:highlight w:val="none"/>
          <w:lang w:val="en-US" w:eastAsia="zh-CN"/>
        </w:rPr>
      </w:pPr>
    </w:p>
    <w:p w14:paraId="13A63539">
      <w:pPr>
        <w:pStyle w:val="8"/>
        <w:bidi w:val="0"/>
        <w:rPr>
          <w:rFonts w:hint="eastAsia"/>
          <w:color w:val="auto"/>
          <w:highlight w:val="none"/>
          <w:lang w:val="en-US" w:eastAsia="zh-CN"/>
        </w:rPr>
      </w:pPr>
      <w:r>
        <w:rPr>
          <w:rFonts w:hint="eastAsia"/>
          <w:color w:val="auto"/>
          <w:highlight w:val="none"/>
          <w:lang w:val="en-US" w:eastAsia="zh-CN"/>
        </w:rPr>
        <w:t>附件9排污许可</w:t>
      </w:r>
    </w:p>
    <w:p w14:paraId="1F4D904C">
      <w:pPr>
        <w:ind w:left="0" w:leftChars="0" w:firstLine="0" w:firstLineChars="0"/>
        <w:rPr>
          <w:rFonts w:hint="default"/>
          <w:color w:val="auto"/>
          <w:highlight w:val="none"/>
          <w:lang w:val="en-US" w:eastAsia="zh-CN"/>
        </w:rPr>
      </w:pPr>
      <w:r>
        <w:rPr>
          <w:rFonts w:hint="default"/>
          <w:color w:val="auto"/>
          <w:highlight w:val="none"/>
          <w:lang w:val="en-US" w:eastAsia="zh-CN"/>
        </w:rPr>
        <w:drawing>
          <wp:inline distT="0" distB="0" distL="114300" distR="114300">
            <wp:extent cx="7192010" cy="5394325"/>
            <wp:effectExtent l="0" t="0" r="15875" b="8890"/>
            <wp:docPr id="36" name="图片 36" descr="b492edc6060a698de7f52f9ae48617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b492edc6060a698de7f52f9ae48617ec"/>
                    <pic:cNvPicPr>
                      <a:picLocks noChangeAspect="1"/>
                    </pic:cNvPicPr>
                  </pic:nvPicPr>
                  <pic:blipFill>
                    <a:blip r:embed="rId182"/>
                    <a:srcRect/>
                    <a:stretch>
                      <a:fillRect/>
                    </a:stretch>
                  </pic:blipFill>
                  <pic:spPr>
                    <a:xfrm rot="16200000">
                      <a:off x="0" y="0"/>
                      <a:ext cx="7192010" cy="5394325"/>
                    </a:xfrm>
                    <a:prstGeom prst="rect">
                      <a:avLst/>
                    </a:prstGeom>
                  </pic:spPr>
                </pic:pic>
              </a:graphicData>
            </a:graphic>
          </wp:inline>
        </w:drawing>
      </w:r>
    </w:p>
    <w:p w14:paraId="41ECBE8C">
      <w:pPr>
        <w:rPr>
          <w:rFonts w:hint="eastAsia"/>
          <w:color w:val="auto"/>
          <w:highlight w:val="none"/>
          <w:lang w:val="en-US" w:eastAsia="zh-CN"/>
        </w:rPr>
      </w:pPr>
    </w:p>
    <w:p w14:paraId="441AAC7A">
      <w:pPr>
        <w:pStyle w:val="8"/>
        <w:bidi w:val="0"/>
        <w:rPr>
          <w:rFonts w:hint="eastAsia"/>
          <w:color w:val="auto"/>
          <w:highlight w:val="none"/>
          <w:lang w:val="en-US" w:eastAsia="zh-CN"/>
        </w:rPr>
      </w:pPr>
      <w:r>
        <w:rPr>
          <w:rFonts w:hint="eastAsia"/>
          <w:color w:val="auto"/>
          <w:highlight w:val="none"/>
          <w:lang w:val="en-US" w:eastAsia="zh-CN"/>
        </w:rPr>
        <w:t>附件10不占文物文件</w:t>
      </w:r>
    </w:p>
    <w:p w14:paraId="07B946BE">
      <w:pPr>
        <w:ind w:left="0" w:leftChars="0" w:firstLine="0" w:firstLineChars="0"/>
        <w:rPr>
          <w:rFonts w:hint="default"/>
          <w:color w:val="auto"/>
          <w:highlight w:val="none"/>
          <w:lang w:val="en-US" w:eastAsia="zh-CN"/>
        </w:rPr>
      </w:pPr>
      <w:r>
        <w:rPr>
          <w:color w:val="auto"/>
          <w:highlight w:val="none"/>
        </w:rPr>
        <w:drawing>
          <wp:inline distT="0" distB="0" distL="114300" distR="114300">
            <wp:extent cx="5448300" cy="7562850"/>
            <wp:effectExtent l="0" t="0" r="0" b="0"/>
            <wp:docPr id="14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
                    <pic:cNvPicPr>
                      <a:picLocks noChangeAspect="1"/>
                    </pic:cNvPicPr>
                  </pic:nvPicPr>
                  <pic:blipFill>
                    <a:blip r:embed="rId183"/>
                    <a:stretch>
                      <a:fillRect/>
                    </a:stretch>
                  </pic:blipFill>
                  <pic:spPr>
                    <a:xfrm>
                      <a:off x="0" y="0"/>
                      <a:ext cx="5448300" cy="7562850"/>
                    </a:xfrm>
                    <a:prstGeom prst="rect">
                      <a:avLst/>
                    </a:prstGeom>
                    <a:noFill/>
                    <a:ln>
                      <a:noFill/>
                    </a:ln>
                  </pic:spPr>
                </pic:pic>
              </a:graphicData>
            </a:graphic>
          </wp:inline>
        </w:drawing>
      </w:r>
      <w:r>
        <w:rPr>
          <w:color w:val="auto"/>
          <w:highlight w:val="none"/>
        </w:rPr>
        <w:drawing>
          <wp:inline distT="0" distB="0" distL="114300" distR="114300">
            <wp:extent cx="5391150" cy="7524750"/>
            <wp:effectExtent l="0" t="0" r="0" b="0"/>
            <wp:docPr id="1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
                    <pic:cNvPicPr>
                      <a:picLocks noChangeAspect="1"/>
                    </pic:cNvPicPr>
                  </pic:nvPicPr>
                  <pic:blipFill>
                    <a:blip r:embed="rId184"/>
                    <a:stretch>
                      <a:fillRect/>
                    </a:stretch>
                  </pic:blipFill>
                  <pic:spPr>
                    <a:xfrm>
                      <a:off x="0" y="0"/>
                      <a:ext cx="5391150" cy="7524750"/>
                    </a:xfrm>
                    <a:prstGeom prst="rect">
                      <a:avLst/>
                    </a:prstGeom>
                    <a:noFill/>
                    <a:ln>
                      <a:noFill/>
                    </a:ln>
                  </pic:spPr>
                </pic:pic>
              </a:graphicData>
            </a:graphic>
          </wp:inline>
        </w:drawing>
      </w:r>
    </w:p>
    <w:p w14:paraId="3E9942F4">
      <w:pPr>
        <w:rPr>
          <w:rFonts w:hint="eastAsia"/>
          <w:color w:val="auto"/>
          <w:highlight w:val="none"/>
          <w:lang w:val="en-US" w:eastAsia="zh-CN"/>
        </w:rPr>
      </w:pPr>
    </w:p>
    <w:p w14:paraId="65E38280">
      <w:pPr>
        <w:pStyle w:val="2"/>
        <w:rPr>
          <w:rFonts w:hint="eastAsia"/>
          <w:color w:val="auto"/>
          <w:highlight w:val="none"/>
          <w:lang w:val="en-US" w:eastAsia="zh-CN"/>
        </w:rPr>
      </w:pPr>
    </w:p>
    <w:p w14:paraId="2152E30B">
      <w:pPr>
        <w:pStyle w:val="4"/>
        <w:rPr>
          <w:rFonts w:hint="eastAsia"/>
          <w:color w:val="auto"/>
          <w:highlight w:val="none"/>
          <w:lang w:val="en-US" w:eastAsia="zh-CN"/>
        </w:rPr>
      </w:pPr>
    </w:p>
    <w:p w14:paraId="11DF8E55">
      <w:pPr>
        <w:rPr>
          <w:rFonts w:hint="eastAsia"/>
          <w:color w:val="auto"/>
          <w:highlight w:val="none"/>
          <w:lang w:val="en-US" w:eastAsia="zh-CN"/>
        </w:rPr>
      </w:pPr>
    </w:p>
    <w:p w14:paraId="3B499C26">
      <w:pPr>
        <w:pStyle w:val="8"/>
        <w:bidi w:val="0"/>
        <w:rPr>
          <w:rFonts w:hint="eastAsia"/>
          <w:color w:val="auto"/>
          <w:highlight w:val="none"/>
          <w:lang w:val="en-US" w:eastAsia="zh-CN"/>
        </w:rPr>
      </w:pPr>
      <w:r>
        <w:rPr>
          <w:rFonts w:hint="eastAsia"/>
          <w:color w:val="auto"/>
          <w:highlight w:val="none"/>
          <w:lang w:val="en-US" w:eastAsia="zh-CN"/>
        </w:rPr>
        <w:t>附件11现状检测报告</w:t>
      </w:r>
    </w:p>
    <w:p w14:paraId="4577864D">
      <w:pPr>
        <w:ind w:left="0" w:leftChars="0" w:firstLine="0" w:firstLineChars="0"/>
        <w:rPr>
          <w:rFonts w:hint="default"/>
          <w:color w:val="auto"/>
          <w:highlight w:val="none"/>
          <w:lang w:val="en-US" w:eastAsia="zh-CN"/>
        </w:rPr>
      </w:pPr>
      <w:r>
        <w:rPr>
          <w:color w:val="auto"/>
          <w:highlight w:val="none"/>
        </w:rPr>
        <w:drawing>
          <wp:inline distT="0" distB="0" distL="114300" distR="114300">
            <wp:extent cx="5524500" cy="7791450"/>
            <wp:effectExtent l="0" t="0" r="0" b="0"/>
            <wp:docPr id="1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4"/>
                    <pic:cNvPicPr>
                      <a:picLocks noChangeAspect="1"/>
                    </pic:cNvPicPr>
                  </pic:nvPicPr>
                  <pic:blipFill>
                    <a:blip r:embed="rId185"/>
                    <a:stretch>
                      <a:fillRect/>
                    </a:stretch>
                  </pic:blipFill>
                  <pic:spPr>
                    <a:xfrm>
                      <a:off x="0" y="0"/>
                      <a:ext cx="5524500" cy="7791450"/>
                    </a:xfrm>
                    <a:prstGeom prst="rect">
                      <a:avLst/>
                    </a:prstGeom>
                    <a:noFill/>
                    <a:ln>
                      <a:noFill/>
                    </a:ln>
                  </pic:spPr>
                </pic:pic>
              </a:graphicData>
            </a:graphic>
          </wp:inline>
        </w:drawing>
      </w:r>
      <w:r>
        <w:rPr>
          <w:color w:val="auto"/>
          <w:highlight w:val="none"/>
        </w:rPr>
        <w:drawing>
          <wp:inline distT="0" distB="0" distL="114300" distR="114300">
            <wp:extent cx="5514975" cy="7800975"/>
            <wp:effectExtent l="0" t="0" r="9525" b="9525"/>
            <wp:docPr id="1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5"/>
                    <pic:cNvPicPr>
                      <a:picLocks noChangeAspect="1"/>
                    </pic:cNvPicPr>
                  </pic:nvPicPr>
                  <pic:blipFill>
                    <a:blip r:embed="rId186"/>
                    <a:stretch>
                      <a:fillRect/>
                    </a:stretch>
                  </pic:blipFill>
                  <pic:spPr>
                    <a:xfrm>
                      <a:off x="0" y="0"/>
                      <a:ext cx="5514975" cy="7800975"/>
                    </a:xfrm>
                    <a:prstGeom prst="rect">
                      <a:avLst/>
                    </a:prstGeom>
                    <a:noFill/>
                    <a:ln>
                      <a:noFill/>
                    </a:ln>
                  </pic:spPr>
                </pic:pic>
              </a:graphicData>
            </a:graphic>
          </wp:inline>
        </w:drawing>
      </w:r>
      <w:r>
        <w:rPr>
          <w:color w:val="auto"/>
          <w:highlight w:val="none"/>
        </w:rPr>
        <w:drawing>
          <wp:inline distT="0" distB="0" distL="114300" distR="114300">
            <wp:extent cx="5505450" cy="7848600"/>
            <wp:effectExtent l="0" t="0" r="0" b="0"/>
            <wp:docPr id="1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6"/>
                    <pic:cNvPicPr>
                      <a:picLocks noChangeAspect="1"/>
                    </pic:cNvPicPr>
                  </pic:nvPicPr>
                  <pic:blipFill>
                    <a:blip r:embed="rId187"/>
                    <a:stretch>
                      <a:fillRect/>
                    </a:stretch>
                  </pic:blipFill>
                  <pic:spPr>
                    <a:xfrm>
                      <a:off x="0" y="0"/>
                      <a:ext cx="5505450" cy="7848600"/>
                    </a:xfrm>
                    <a:prstGeom prst="rect">
                      <a:avLst/>
                    </a:prstGeom>
                    <a:noFill/>
                    <a:ln>
                      <a:noFill/>
                    </a:ln>
                  </pic:spPr>
                </pic:pic>
              </a:graphicData>
            </a:graphic>
          </wp:inline>
        </w:drawing>
      </w:r>
      <w:r>
        <w:rPr>
          <w:color w:val="auto"/>
          <w:highlight w:val="none"/>
        </w:rPr>
        <w:drawing>
          <wp:inline distT="0" distB="0" distL="114300" distR="114300">
            <wp:extent cx="5495925" cy="7800975"/>
            <wp:effectExtent l="0" t="0" r="9525" b="9525"/>
            <wp:docPr id="1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
                    <pic:cNvPicPr>
                      <a:picLocks noChangeAspect="1"/>
                    </pic:cNvPicPr>
                  </pic:nvPicPr>
                  <pic:blipFill>
                    <a:blip r:embed="rId188"/>
                    <a:stretch>
                      <a:fillRect/>
                    </a:stretch>
                  </pic:blipFill>
                  <pic:spPr>
                    <a:xfrm>
                      <a:off x="0" y="0"/>
                      <a:ext cx="5495925" cy="7800975"/>
                    </a:xfrm>
                    <a:prstGeom prst="rect">
                      <a:avLst/>
                    </a:prstGeom>
                    <a:noFill/>
                    <a:ln>
                      <a:noFill/>
                    </a:ln>
                  </pic:spPr>
                </pic:pic>
              </a:graphicData>
            </a:graphic>
          </wp:inline>
        </w:drawing>
      </w:r>
      <w:r>
        <w:rPr>
          <w:color w:val="auto"/>
          <w:highlight w:val="none"/>
        </w:rPr>
        <w:drawing>
          <wp:inline distT="0" distB="0" distL="114300" distR="114300">
            <wp:extent cx="5457825" cy="7762875"/>
            <wp:effectExtent l="0" t="0" r="9525" b="9525"/>
            <wp:docPr id="1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8"/>
                    <pic:cNvPicPr>
                      <a:picLocks noChangeAspect="1"/>
                    </pic:cNvPicPr>
                  </pic:nvPicPr>
                  <pic:blipFill>
                    <a:blip r:embed="rId189"/>
                    <a:stretch>
                      <a:fillRect/>
                    </a:stretch>
                  </pic:blipFill>
                  <pic:spPr>
                    <a:xfrm>
                      <a:off x="0" y="0"/>
                      <a:ext cx="5457825" cy="7762875"/>
                    </a:xfrm>
                    <a:prstGeom prst="rect">
                      <a:avLst/>
                    </a:prstGeom>
                    <a:noFill/>
                    <a:ln>
                      <a:noFill/>
                    </a:ln>
                  </pic:spPr>
                </pic:pic>
              </a:graphicData>
            </a:graphic>
          </wp:inline>
        </w:drawing>
      </w:r>
    </w:p>
    <w:p w14:paraId="2AC10289">
      <w:pPr>
        <w:pStyle w:val="4"/>
        <w:rPr>
          <w:rFonts w:hint="eastAsia"/>
          <w:color w:val="auto"/>
          <w:highlight w:val="none"/>
          <w:lang w:val="en-US" w:eastAsia="zh-CN"/>
        </w:rPr>
      </w:pPr>
    </w:p>
    <w:p w14:paraId="550390A3">
      <w:pPr>
        <w:pStyle w:val="9"/>
        <w:ind w:left="0" w:leftChars="0" w:firstLine="0" w:firstLineChars="0"/>
        <w:rPr>
          <w:rFonts w:hint="eastAsia"/>
          <w:color w:val="auto"/>
          <w:highlight w:val="none"/>
          <w:lang w:val="en-US" w:eastAsia="zh-CN"/>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0351256D">
      <w:pPr>
        <w:pStyle w:val="8"/>
        <w:bidi w:val="0"/>
        <w:rPr>
          <w:rFonts w:hint="eastAsia"/>
          <w:color w:val="auto"/>
          <w:highlight w:val="none"/>
          <w:lang w:val="en-US" w:eastAsia="zh-CN"/>
        </w:rPr>
      </w:pPr>
      <w:r>
        <w:rPr>
          <w:rFonts w:hint="eastAsia"/>
          <w:color w:val="auto"/>
          <w:highlight w:val="none"/>
          <w:lang w:val="en-US" w:eastAsia="zh-CN"/>
        </w:rPr>
        <w:t>附图1鄂尔多斯市环境管控单元图</w:t>
      </w:r>
    </w:p>
    <w:p w14:paraId="063EC7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6115050</wp:posOffset>
                </wp:positionH>
                <wp:positionV relativeFrom="paragraph">
                  <wp:posOffset>2254250</wp:posOffset>
                </wp:positionV>
                <wp:extent cx="845185" cy="326390"/>
                <wp:effectExtent l="4445" t="4445" r="7620" b="88265"/>
                <wp:wrapNone/>
                <wp:docPr id="1" name="自选图形 5"/>
                <wp:cNvGraphicFramePr/>
                <a:graphic xmlns:a="http://schemas.openxmlformats.org/drawingml/2006/main">
                  <a:graphicData uri="http://schemas.microsoft.com/office/word/2010/wordprocessingShape">
                    <wps:wsp>
                      <wps:cNvSpPr/>
                      <wps:spPr>
                        <a:xfrm>
                          <a:off x="7085965" y="3539490"/>
                          <a:ext cx="845185" cy="32639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wps:spPr>
                      <wps:txbx>
                        <w:txbxContent>
                          <w:p w14:paraId="61578ADE">
                            <w:pPr>
                              <w:ind w:left="0" w:leftChars="0" w:firstLine="0" w:firstLineChars="0"/>
                              <w:rPr>
                                <w:rFonts w:hint="default" w:eastAsia="宋体"/>
                                <w:lang w:val="en-US" w:eastAsia="zh-CN"/>
                              </w:rPr>
                            </w:pPr>
                            <w:r>
                              <w:rPr>
                                <w:rFonts w:hint="eastAsia"/>
                                <w:lang w:val="en-US" w:eastAsia="zh-CN"/>
                              </w:rPr>
                              <w:t>项目位置</w:t>
                            </w:r>
                          </w:p>
                        </w:txbxContent>
                      </wps:txbx>
                      <wps:bodyPr vert="horz" anchor="t" anchorCtr="0" upright="1"/>
                    </wps:wsp>
                  </a:graphicData>
                </a:graphic>
              </wp:anchor>
            </w:drawing>
          </mc:Choice>
          <mc:Fallback>
            <w:pict>
              <v:shape id="自选图形 5" o:spid="_x0000_s1026" o:spt="61" type="#_x0000_t61" style="position:absolute;left:0pt;margin-left:481.5pt;margin-top:177.5pt;height:25.7pt;width:66.55pt;z-index:251659264;mso-width-relative:page;mso-height-relative:page;" fillcolor="#FFFFFF" filled="t" stroked="t" coordsize="21600,21600" o:gfxdata="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IaeF&#10;D9gAAAAMAQAADwAAAAAAAAABACAAAAAiAAAAZHJzL2Rvd25yZXYueG1sUEsBAhQAFAAAAAgAh07i&#10;QH7UM/NbAgAAvQQAAA4AAAAAAAAAAQAgAAAAJwEAAGRycy9lMm9Eb2MueG1sUEsFBgAAAAAGAAYA&#10;WQEAAPQFAAAAAA==&#10;" adj="1350,25920">
                <v:fill on="t" focussize="0,0"/>
                <v:stroke color="#000000" joinstyle="miter"/>
                <v:imagedata o:title=""/>
                <o:lock v:ext="edit" aspectratio="f"/>
                <v:textbox>
                  <w:txbxContent>
                    <w:p w14:paraId="61578ADE">
                      <w:pPr>
                        <w:ind w:left="0" w:leftChars="0" w:firstLine="0" w:firstLineChars="0"/>
                        <w:rPr>
                          <w:rFonts w:hint="default" w:eastAsia="宋体"/>
                          <w:lang w:val="en-US" w:eastAsia="zh-CN"/>
                        </w:rPr>
                      </w:pPr>
                      <w:r>
                        <w:rPr>
                          <w:rFonts w:hint="eastAsia"/>
                          <w:lang w:val="en-US" w:eastAsia="zh-CN"/>
                        </w:rPr>
                        <w:t>项目位置</w:t>
                      </w:r>
                    </w:p>
                  </w:txbxContent>
                </v:textbox>
              </v:shape>
            </w:pict>
          </mc:Fallback>
        </mc:AlternateContent>
      </w:r>
      <w:r>
        <w:rPr>
          <w:color w:val="auto"/>
          <w:highlight w:val="none"/>
        </w:rPr>
        <w:drawing>
          <wp:inline distT="0" distB="0" distL="114300" distR="114300">
            <wp:extent cx="8495665" cy="5370195"/>
            <wp:effectExtent l="0" t="0" r="635" b="1905"/>
            <wp:docPr id="3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4"/>
                    <pic:cNvPicPr>
                      <a:picLocks noChangeAspect="1"/>
                    </pic:cNvPicPr>
                  </pic:nvPicPr>
                  <pic:blipFill>
                    <a:blip r:embed="rId190"/>
                    <a:stretch>
                      <a:fillRect/>
                    </a:stretch>
                  </pic:blipFill>
                  <pic:spPr>
                    <a:xfrm>
                      <a:off x="0" y="0"/>
                      <a:ext cx="8495665" cy="537019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6807200" cy="4417695"/>
            <wp:effectExtent l="0" t="0" r="12700" b="1905"/>
            <wp:docPr id="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0"/>
                    <pic:cNvPicPr>
                      <a:picLocks noChangeAspect="1"/>
                    </pic:cNvPicPr>
                  </pic:nvPicPr>
                  <pic:blipFill>
                    <a:blip r:embed="rId191"/>
                    <a:stretch>
                      <a:fillRect/>
                    </a:stretch>
                  </pic:blipFill>
                  <pic:spPr>
                    <a:xfrm>
                      <a:off x="0" y="0"/>
                      <a:ext cx="6807200" cy="4417695"/>
                    </a:xfrm>
                    <a:prstGeom prst="rect">
                      <a:avLst/>
                    </a:prstGeom>
                    <a:noFill/>
                    <a:ln>
                      <a:noFill/>
                    </a:ln>
                  </pic:spPr>
                </pic:pic>
              </a:graphicData>
            </a:graphic>
          </wp:inline>
        </w:drawing>
      </w:r>
    </w:p>
    <w:p w14:paraId="2A65E96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6444615" cy="4288790"/>
            <wp:effectExtent l="0" t="0" r="13335" b="16510"/>
            <wp:docPr id="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1"/>
                    <pic:cNvPicPr>
                      <a:picLocks noChangeAspect="1"/>
                    </pic:cNvPicPr>
                  </pic:nvPicPr>
                  <pic:blipFill>
                    <a:blip r:embed="rId192"/>
                    <a:stretch>
                      <a:fillRect/>
                    </a:stretch>
                  </pic:blipFill>
                  <pic:spPr>
                    <a:xfrm>
                      <a:off x="0" y="0"/>
                      <a:ext cx="6444615" cy="4288790"/>
                    </a:xfrm>
                    <a:prstGeom prst="rect">
                      <a:avLst/>
                    </a:prstGeom>
                    <a:noFill/>
                    <a:ln>
                      <a:noFill/>
                    </a:ln>
                  </pic:spPr>
                </pic:pic>
              </a:graphicData>
            </a:graphic>
          </wp:inline>
        </w:drawing>
      </w:r>
    </w:p>
    <w:p w14:paraId="3C9F2D4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694680" cy="4009390"/>
            <wp:effectExtent l="0" t="0" r="1270" b="10160"/>
            <wp:docPr id="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3"/>
                    <pic:cNvPicPr>
                      <a:picLocks noChangeAspect="1"/>
                    </pic:cNvPicPr>
                  </pic:nvPicPr>
                  <pic:blipFill>
                    <a:blip r:embed="rId193"/>
                    <a:stretch>
                      <a:fillRect/>
                    </a:stretch>
                  </pic:blipFill>
                  <pic:spPr>
                    <a:xfrm>
                      <a:off x="0" y="0"/>
                      <a:ext cx="5694680" cy="4009390"/>
                    </a:xfrm>
                    <a:prstGeom prst="rect">
                      <a:avLst/>
                    </a:prstGeom>
                    <a:noFill/>
                    <a:ln>
                      <a:noFill/>
                    </a:ln>
                  </pic:spPr>
                </pic:pic>
              </a:graphicData>
            </a:graphic>
          </wp:inline>
        </w:drawing>
      </w:r>
    </w:p>
    <w:p w14:paraId="15B339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6284595" cy="4301490"/>
            <wp:effectExtent l="0" t="0" r="1905" b="3810"/>
            <wp:docPr id="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4"/>
                    <pic:cNvPicPr>
                      <a:picLocks noChangeAspect="1"/>
                    </pic:cNvPicPr>
                  </pic:nvPicPr>
                  <pic:blipFill>
                    <a:blip r:embed="rId194"/>
                    <a:stretch>
                      <a:fillRect/>
                    </a:stretch>
                  </pic:blipFill>
                  <pic:spPr>
                    <a:xfrm>
                      <a:off x="0" y="0"/>
                      <a:ext cx="6284595" cy="4301490"/>
                    </a:xfrm>
                    <a:prstGeom prst="rect">
                      <a:avLst/>
                    </a:prstGeom>
                    <a:noFill/>
                    <a:ln>
                      <a:noFill/>
                    </a:ln>
                  </pic:spPr>
                </pic:pic>
              </a:graphicData>
            </a:graphic>
          </wp:inline>
        </w:drawing>
      </w:r>
    </w:p>
    <w:p w14:paraId="62E39C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eastAsia="黑体" w:cs="Times New Roman"/>
          <w:color w:val="auto"/>
          <w:highlight w:val="none"/>
          <w:lang w:val="en-US" w:eastAsia="zh-CN"/>
        </w:rPr>
      </w:pPr>
      <w:r>
        <w:rPr>
          <w:rFonts w:hint="default" w:ascii="Times New Roman" w:hAnsi="Times New Roman" w:cs="Times New Roman"/>
          <w:color w:val="auto"/>
          <w:highlight w:val="none"/>
        </w:rPr>
        <w:drawing>
          <wp:inline distT="0" distB="0" distL="114300" distR="114300">
            <wp:extent cx="7042785" cy="4711700"/>
            <wp:effectExtent l="0" t="0" r="5715" b="12700"/>
            <wp:docPr id="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5"/>
                    <pic:cNvPicPr>
                      <a:picLocks noChangeAspect="1"/>
                    </pic:cNvPicPr>
                  </pic:nvPicPr>
                  <pic:blipFill>
                    <a:blip r:embed="rId195"/>
                    <a:stretch>
                      <a:fillRect/>
                    </a:stretch>
                  </pic:blipFill>
                  <pic:spPr>
                    <a:xfrm>
                      <a:off x="0" y="0"/>
                      <a:ext cx="7042785" cy="4711700"/>
                    </a:xfrm>
                    <a:prstGeom prst="rect">
                      <a:avLst/>
                    </a:prstGeom>
                    <a:noFill/>
                    <a:ln>
                      <a:noFill/>
                    </a:ln>
                  </pic:spPr>
                </pic:pic>
              </a:graphicData>
            </a:graphic>
          </wp:inline>
        </w:drawing>
      </w:r>
    </w:p>
    <w:p w14:paraId="4AED9FDA">
      <w:pPr>
        <w:pStyle w:val="8"/>
        <w:bidi w:val="0"/>
        <w:rPr>
          <w:rFonts w:hint="eastAsia"/>
          <w:color w:val="auto"/>
          <w:highlight w:val="none"/>
          <w:lang w:val="en-US" w:eastAsia="zh-CN"/>
        </w:rPr>
      </w:pPr>
      <w:r>
        <w:rPr>
          <w:rFonts w:hint="eastAsia"/>
          <w:color w:val="auto"/>
          <w:highlight w:val="none"/>
          <w:lang w:val="en-US" w:eastAsia="zh-CN"/>
        </w:rPr>
        <w:t>附图2项目地理位置图</w:t>
      </w:r>
    </w:p>
    <w:p w14:paraId="1838AD77">
      <w:pPr>
        <w:ind w:left="0" w:leftChars="0" w:firstLine="0" w:firstLineChars="0"/>
        <w:rPr>
          <w:color w:val="auto"/>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6318885</wp:posOffset>
                </wp:positionH>
                <wp:positionV relativeFrom="paragraph">
                  <wp:posOffset>1764030</wp:posOffset>
                </wp:positionV>
                <wp:extent cx="845185" cy="326390"/>
                <wp:effectExtent l="19050" t="4445" r="12065" b="202565"/>
                <wp:wrapNone/>
                <wp:docPr id="2" name="自选图形 6"/>
                <wp:cNvGraphicFramePr/>
                <a:graphic xmlns:a="http://schemas.openxmlformats.org/drawingml/2006/main">
                  <a:graphicData uri="http://schemas.microsoft.com/office/word/2010/wordprocessingShape">
                    <wps:wsp>
                      <wps:cNvSpPr/>
                      <wps:spPr>
                        <a:xfrm>
                          <a:off x="0" y="0"/>
                          <a:ext cx="845185" cy="326390"/>
                        </a:xfrm>
                        <a:prstGeom prst="wedgeRectCallout">
                          <a:avLst>
                            <a:gd name="adj1" fmla="val -50222"/>
                            <a:gd name="adj2" fmla="val 105449"/>
                          </a:avLst>
                        </a:prstGeom>
                        <a:solidFill>
                          <a:srgbClr val="FFFFFF"/>
                        </a:solidFill>
                        <a:ln w="9525" cap="flat" cmpd="sng">
                          <a:solidFill>
                            <a:srgbClr val="000000"/>
                          </a:solidFill>
                          <a:prstDash val="solid"/>
                          <a:miter/>
                          <a:headEnd type="none" w="med" len="med"/>
                          <a:tailEnd type="none" w="med" len="med"/>
                        </a:ln>
                      </wps:spPr>
                      <wps:txbx>
                        <w:txbxContent>
                          <w:p w14:paraId="2541F9F3">
                            <w:pPr>
                              <w:ind w:left="0" w:leftChars="0" w:firstLine="0" w:firstLineChars="0"/>
                              <w:rPr>
                                <w:rFonts w:hint="default" w:eastAsia="宋体"/>
                                <w:lang w:val="en-US" w:eastAsia="zh-CN"/>
                              </w:rPr>
                            </w:pPr>
                            <w:r>
                              <w:rPr>
                                <w:rFonts w:hint="eastAsia"/>
                                <w:lang w:val="en-US" w:eastAsia="zh-CN"/>
                              </w:rPr>
                              <w:t>项目位置</w:t>
                            </w:r>
                          </w:p>
                        </w:txbxContent>
                      </wps:txbx>
                      <wps:bodyPr vert="horz" anchor="t" anchorCtr="0" upright="1"/>
                    </wps:wsp>
                  </a:graphicData>
                </a:graphic>
              </wp:anchor>
            </w:drawing>
          </mc:Choice>
          <mc:Fallback>
            <w:pict>
              <v:shape id="自选图形 6" o:spid="_x0000_s1026" o:spt="61" type="#_x0000_t61" style="position:absolute;left:0pt;margin-left:497.55pt;margin-top:138.9pt;height:25.7pt;width:66.55pt;z-index:251660288;mso-width-relative:page;mso-height-relative:page;" fillcolor="#FFFFFF" filled="t" stroked="t" coordsize="21600,21600" o:gfxdata="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e4cJCtsAAAAMAQAA&#10;DwAAAAAAAAABACAAAAAiAAAAZHJzL2Rvd25yZXYueG1sUEsBAhQAFAAAAAgAh07iQOCSarpPAgAA&#10;sgQAAA4AAAAAAAAAAQAgAAAAKgEAAGRycy9lMm9Eb2MueG1sUEsFBgAAAAAGAAYAWQEAAOsFAAAA&#10;AA==&#10;" adj="-48,33577">
                <v:fill on="t" focussize="0,0"/>
                <v:stroke color="#000000" joinstyle="miter"/>
                <v:imagedata o:title=""/>
                <o:lock v:ext="edit" aspectratio="f"/>
                <v:textbox>
                  <w:txbxContent>
                    <w:p w14:paraId="2541F9F3">
                      <w:pPr>
                        <w:ind w:left="0" w:leftChars="0" w:firstLine="0" w:firstLineChars="0"/>
                        <w:rPr>
                          <w:rFonts w:hint="default" w:eastAsia="宋体"/>
                          <w:lang w:val="en-US" w:eastAsia="zh-CN"/>
                        </w:rPr>
                      </w:pPr>
                      <w:r>
                        <w:rPr>
                          <w:rFonts w:hint="eastAsia"/>
                          <w:lang w:val="en-US" w:eastAsia="zh-CN"/>
                        </w:rPr>
                        <w:t>项目位置</w:t>
                      </w:r>
                    </w:p>
                  </w:txbxContent>
                </v:textbox>
              </v:shape>
            </w:pict>
          </mc:Fallback>
        </mc:AlternateContent>
      </w:r>
      <w:r>
        <w:rPr>
          <w:color w:val="auto"/>
          <w:highlight w:val="none"/>
        </w:rPr>
        <w:drawing>
          <wp:inline distT="0" distB="0" distL="114300" distR="114300">
            <wp:extent cx="8524240" cy="5224145"/>
            <wp:effectExtent l="0" t="0" r="10160" b="1460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196"/>
                    <a:stretch>
                      <a:fillRect/>
                    </a:stretch>
                  </pic:blipFill>
                  <pic:spPr>
                    <a:xfrm>
                      <a:off x="0" y="0"/>
                      <a:ext cx="8524240" cy="5224145"/>
                    </a:xfrm>
                    <a:prstGeom prst="rect">
                      <a:avLst/>
                    </a:prstGeom>
                    <a:noFill/>
                    <a:ln>
                      <a:noFill/>
                    </a:ln>
                  </pic:spPr>
                </pic:pic>
              </a:graphicData>
            </a:graphic>
          </wp:inline>
        </w:drawing>
      </w:r>
    </w:p>
    <w:p w14:paraId="654B903A">
      <w:pPr>
        <w:pStyle w:val="8"/>
        <w:bidi w:val="0"/>
        <w:rPr>
          <w:rFonts w:hint="eastAsia"/>
          <w:color w:val="auto"/>
          <w:highlight w:val="none"/>
          <w:lang w:val="en-US" w:eastAsia="zh-CN"/>
        </w:rPr>
      </w:pPr>
      <w:r>
        <w:rPr>
          <w:rFonts w:hint="eastAsia"/>
          <w:color w:val="auto"/>
          <w:highlight w:val="none"/>
          <w:lang w:val="en-US" w:eastAsia="zh-CN"/>
        </w:rPr>
        <w:t>附图3整个选煤厂的位置关系图</w:t>
      </w:r>
    </w:p>
    <w:p w14:paraId="7EA1B7C8">
      <w:pPr>
        <w:ind w:left="0" w:leftChars="0" w:firstLine="0" w:firstLineChars="0"/>
        <w:rPr>
          <w:color w:val="auto"/>
          <w:highlight w:val="none"/>
        </w:rPr>
      </w:pPr>
      <w:r>
        <w:rPr>
          <w:color w:val="auto"/>
          <w:highlight w:val="none"/>
        </w:rPr>
        <w:drawing>
          <wp:anchor distT="0" distB="0" distL="114300" distR="114300" simplePos="0" relativeHeight="251671552" behindDoc="0" locked="0" layoutInCell="1" allowOverlap="1">
            <wp:simplePos x="0" y="0"/>
            <wp:positionH relativeFrom="column">
              <wp:posOffset>7379335</wp:posOffset>
            </wp:positionH>
            <wp:positionV relativeFrom="paragraph">
              <wp:posOffset>38100</wp:posOffset>
            </wp:positionV>
            <wp:extent cx="1126490" cy="1162685"/>
            <wp:effectExtent l="0" t="0" r="16510" b="18415"/>
            <wp:wrapNone/>
            <wp:docPr id="14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1"/>
                    <pic:cNvPicPr>
                      <a:picLocks noChangeAspect="1"/>
                    </pic:cNvPicPr>
                  </pic:nvPicPr>
                  <pic:blipFill>
                    <a:blip r:embed="rId197"/>
                    <a:stretch>
                      <a:fillRect/>
                    </a:stretch>
                  </pic:blipFill>
                  <pic:spPr>
                    <a:xfrm>
                      <a:off x="0" y="0"/>
                      <a:ext cx="1126490" cy="1162685"/>
                    </a:xfrm>
                    <a:prstGeom prst="rect">
                      <a:avLst/>
                    </a:prstGeom>
                    <a:noFill/>
                    <a:ln>
                      <a:noFill/>
                    </a:ln>
                  </pic:spPr>
                </pic:pic>
              </a:graphicData>
            </a:graphic>
          </wp:anchor>
        </w:drawing>
      </w:r>
      <w:r>
        <w:rPr>
          <w:color w:val="auto"/>
          <w:highlight w:val="none"/>
        </w:rPr>
        <w:drawing>
          <wp:inline distT="0" distB="0" distL="114300" distR="114300">
            <wp:extent cx="8523605" cy="5394325"/>
            <wp:effectExtent l="0" t="0" r="10795" b="15875"/>
            <wp:docPr id="34"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1"/>
                    <pic:cNvPicPr>
                      <a:picLocks noChangeAspect="1"/>
                    </pic:cNvPicPr>
                  </pic:nvPicPr>
                  <pic:blipFill>
                    <a:blip r:embed="rId198"/>
                    <a:stretch>
                      <a:fillRect/>
                    </a:stretch>
                  </pic:blipFill>
                  <pic:spPr>
                    <a:xfrm>
                      <a:off x="0" y="0"/>
                      <a:ext cx="8523605" cy="5394325"/>
                    </a:xfrm>
                    <a:prstGeom prst="rect">
                      <a:avLst/>
                    </a:prstGeom>
                    <a:noFill/>
                    <a:ln>
                      <a:noFill/>
                    </a:ln>
                  </pic:spPr>
                </pic:pic>
              </a:graphicData>
            </a:graphic>
          </wp:inline>
        </w:drawing>
      </w:r>
    </w:p>
    <w:p w14:paraId="00F4DCA5">
      <w:pPr>
        <w:pStyle w:val="8"/>
        <w:bidi w:val="0"/>
        <w:rPr>
          <w:rFonts w:hint="eastAsia"/>
          <w:color w:val="auto"/>
          <w:highlight w:val="none"/>
          <w:lang w:val="en-US" w:eastAsia="zh-CN"/>
        </w:rPr>
      </w:pPr>
      <w:r>
        <w:rPr>
          <w:color w:val="auto"/>
          <w:highlight w:val="none"/>
        </w:rPr>
        <w:drawing>
          <wp:anchor distT="0" distB="0" distL="114300" distR="114300" simplePos="0" relativeHeight="251670528" behindDoc="0" locked="0" layoutInCell="1" allowOverlap="1">
            <wp:simplePos x="0" y="0"/>
            <wp:positionH relativeFrom="column">
              <wp:posOffset>7388860</wp:posOffset>
            </wp:positionH>
            <wp:positionV relativeFrom="paragraph">
              <wp:posOffset>197485</wp:posOffset>
            </wp:positionV>
            <wp:extent cx="1126490" cy="1162685"/>
            <wp:effectExtent l="0" t="0" r="16510" b="18415"/>
            <wp:wrapNone/>
            <wp:docPr id="14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1"/>
                    <pic:cNvPicPr>
                      <a:picLocks noChangeAspect="1"/>
                    </pic:cNvPicPr>
                  </pic:nvPicPr>
                  <pic:blipFill>
                    <a:blip r:embed="rId197"/>
                    <a:stretch>
                      <a:fillRect/>
                    </a:stretch>
                  </pic:blipFill>
                  <pic:spPr>
                    <a:xfrm>
                      <a:off x="0" y="0"/>
                      <a:ext cx="1126490" cy="1162685"/>
                    </a:xfrm>
                    <a:prstGeom prst="rect">
                      <a:avLst/>
                    </a:prstGeom>
                    <a:noFill/>
                    <a:ln>
                      <a:noFill/>
                    </a:ln>
                  </pic:spPr>
                </pic:pic>
              </a:graphicData>
            </a:graphic>
          </wp:anchor>
        </w:drawing>
      </w:r>
      <w:r>
        <w:rPr>
          <w:rFonts w:hint="eastAsia"/>
          <w:color w:val="auto"/>
          <w:highlight w:val="none"/>
          <w:lang w:val="en-US" w:eastAsia="zh-CN"/>
        </w:rPr>
        <w:t>附图4选煤厂与煤矿的位置关系图</w:t>
      </w:r>
    </w:p>
    <w:p w14:paraId="48778ADC">
      <w:pPr>
        <w:ind w:left="0" w:leftChars="0" w:firstLine="0" w:firstLineChars="0"/>
        <w:rPr>
          <w:rFonts w:hint="default"/>
          <w:color w:val="auto"/>
          <w:highlight w:val="none"/>
          <w:lang w:val="en-US" w:eastAsia="zh-CN"/>
        </w:rPr>
      </w:pPr>
      <w:r>
        <w:rPr>
          <w:color w:val="auto"/>
          <w:sz w:val="24"/>
          <w:highlight w:val="none"/>
        </w:rPr>
        <mc:AlternateContent>
          <mc:Choice Requires="wps">
            <w:drawing>
              <wp:anchor distT="0" distB="0" distL="114300" distR="114300" simplePos="0" relativeHeight="251669504" behindDoc="0" locked="0" layoutInCell="1" allowOverlap="1">
                <wp:simplePos x="0" y="0"/>
                <wp:positionH relativeFrom="column">
                  <wp:posOffset>273685</wp:posOffset>
                </wp:positionH>
                <wp:positionV relativeFrom="paragraph">
                  <wp:posOffset>4398645</wp:posOffset>
                </wp:positionV>
                <wp:extent cx="285750" cy="9525"/>
                <wp:effectExtent l="0" t="0" r="0" b="0"/>
                <wp:wrapNone/>
                <wp:docPr id="143" name="直接连接符 143"/>
                <wp:cNvGraphicFramePr/>
                <a:graphic xmlns:a="http://schemas.openxmlformats.org/drawingml/2006/main">
                  <a:graphicData uri="http://schemas.microsoft.com/office/word/2010/wordprocessingShape">
                    <wps:wsp>
                      <wps:cNvCnPr/>
                      <wps:spPr>
                        <a:xfrm flipV="1">
                          <a:off x="0" y="0"/>
                          <a:ext cx="285750" cy="9525"/>
                        </a:xfrm>
                        <a:prstGeom prst="line">
                          <a:avLst/>
                        </a:prstGeom>
                        <a:ln>
                          <a:solidFill>
                            <a:srgbClr val="09E407"/>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1.55pt;margin-top:346.35pt;height:0.75pt;width:22.5pt;z-index:251669504;mso-width-relative:page;mso-height-relative:page;" filled="f" stroked="t" coordsize="21600,21600" o:gfxdata="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McVC9gA&#10;AAAJAQAADwAAAAAAAAABACAAAAAiAAAAZHJzL2Rvd25yZXYueG1sUEsBAhQAFAAAAAgAh07iQLgj&#10;emPmAQAAqwMAAA4AAAAAAAAAAQAgAAAAJwEAAGRycy9lMm9Eb2MueG1sUEsFBgAAAAAGAAYAWQEA&#10;AH8FAAAAAA==&#10;">
                <v:fill on="f" focussize="0,0"/>
                <v:stroke weight="2pt" color="#09E407 [3204]" joinstyle="round"/>
                <v:imagedata o:title=""/>
                <o:lock v:ext="edit" aspectratio="f"/>
              </v:line>
            </w:pict>
          </mc:Fallback>
        </mc:AlternateContent>
      </w:r>
      <w:r>
        <w:rPr>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283210</wp:posOffset>
                </wp:positionH>
                <wp:positionV relativeFrom="paragraph">
                  <wp:posOffset>4103370</wp:posOffset>
                </wp:positionV>
                <wp:extent cx="285750" cy="9525"/>
                <wp:effectExtent l="0" t="0" r="0" b="0"/>
                <wp:wrapNone/>
                <wp:docPr id="142" name="直接连接符 142"/>
                <wp:cNvGraphicFramePr/>
                <a:graphic xmlns:a="http://schemas.openxmlformats.org/drawingml/2006/main">
                  <a:graphicData uri="http://schemas.microsoft.com/office/word/2010/wordprocessingShape">
                    <wps:wsp>
                      <wps:cNvCnPr/>
                      <wps:spPr>
                        <a:xfrm flipV="1">
                          <a:off x="1363345" y="5273040"/>
                          <a:ext cx="285750" cy="9525"/>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2.3pt;margin-top:323.1pt;height:0.75pt;width:22.5pt;z-index:251668480;mso-width-relative:page;mso-height-relative:page;" filled="f" stroked="t" coordsize="21600,21600" o:gfxdata="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oAObzWAAAACQEAAA8AAAAAAAAAAQAgAAAAIgAAAGRycy9kb3ducmV2LnhtbFBLAQIUABQA&#10;AAAIAIdO4kA9J3Na8gEAALcDAAAOAAAAAAAAAAEAIAAAACUBAABkcnMvZTJvRG9jLnhtbFBLBQYA&#10;AAAABgAGAFkBAACJBQAAAAA=&#10;">
                <v:fill on="f" focussize="0,0"/>
                <v:stroke weight="2pt" color="#FF0000 [3204]" joinstyle="round"/>
                <v:imagedata o:title=""/>
                <o:lock v:ext="edit" aspectratio="f"/>
              </v:line>
            </w:pict>
          </mc:Fallback>
        </mc:AlternateContent>
      </w:r>
      <w:r>
        <w:rPr>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168910</wp:posOffset>
                </wp:positionH>
                <wp:positionV relativeFrom="paragraph">
                  <wp:posOffset>3665220</wp:posOffset>
                </wp:positionV>
                <wp:extent cx="1905000" cy="1038860"/>
                <wp:effectExtent l="5080" t="4445" r="13970" b="23495"/>
                <wp:wrapNone/>
                <wp:docPr id="141" name="文本框 141"/>
                <wp:cNvGraphicFramePr/>
                <a:graphic xmlns:a="http://schemas.openxmlformats.org/drawingml/2006/main">
                  <a:graphicData uri="http://schemas.microsoft.com/office/word/2010/wordprocessingShape">
                    <wps:wsp>
                      <wps:cNvSpPr txBox="1"/>
                      <wps:spPr>
                        <a:xfrm>
                          <a:off x="1249045" y="4834890"/>
                          <a:ext cx="1905000" cy="10388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6CDB6DF">
                            <w:pPr>
                              <w:ind w:left="0" w:leftChars="0" w:firstLine="0" w:firstLineChars="0"/>
                              <w:jc w:val="center"/>
                              <w:rPr>
                                <w:rFonts w:hint="eastAsia" w:eastAsia="宋体"/>
                                <w:lang w:val="en-US" w:eastAsia="zh-CN"/>
                              </w:rPr>
                            </w:pPr>
                            <w:r>
                              <w:rPr>
                                <w:rFonts w:hint="eastAsia"/>
                                <w:lang w:val="en-US" w:eastAsia="zh-CN"/>
                              </w:rPr>
                              <w:t>图例</w:t>
                            </w:r>
                          </w:p>
                          <w:p w14:paraId="34F59C39">
                            <w:pPr>
                              <w:ind w:left="0" w:leftChars="0" w:firstLine="480" w:firstLineChars="200"/>
                              <w:rPr>
                                <w:rFonts w:hint="default" w:eastAsia="宋体"/>
                                <w:lang w:val="en-US" w:eastAsia="zh-CN"/>
                              </w:rPr>
                            </w:pPr>
                            <w:r>
                              <w:rPr>
                                <w:rFonts w:hint="eastAsia"/>
                                <w:lang w:val="en-US" w:eastAsia="zh-CN"/>
                              </w:rPr>
                              <w:t>选煤厂厂界</w:t>
                            </w:r>
                          </w:p>
                          <w:p w14:paraId="398030A1">
                            <w:pPr>
                              <w:ind w:left="0" w:leftChars="0" w:firstLine="480" w:firstLineChars="200"/>
                            </w:pPr>
                            <w:r>
                              <w:rPr>
                                <w:rFonts w:hint="eastAsia"/>
                                <w:lang w:val="en-US" w:eastAsia="zh-CN"/>
                              </w:rPr>
                              <w:t>煤矿井田范围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pt;margin-top:288.6pt;height:81.8pt;width:150pt;z-index:251667456;mso-width-relative:page;mso-height-relative:page;" fillcolor="#FFFFFF [3201]" filled="t" stroked="t" coordsize="21600,21600" o:gfxdata="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KOmnWAAAACgEAAA8AAAAAAAAAAQAgAAAAIgAAAGRycy9kb3ducmV2LnhtbFBLAQIU&#10;ABQAAAAIAIdO4kBkqg9kZwIAAMgEAAAOAAAAAAAAAAEAIAAAACUBAABkcnMvZTJvRG9jLnhtbFBL&#10;BQYAAAAABgAGAFkBAAD+BQAAAAA=&#10;">
                <v:fill on="t" focussize="0,0"/>
                <v:stroke weight="0.5pt" color="#000000 [3204]" joinstyle="round"/>
                <v:imagedata o:title=""/>
                <o:lock v:ext="edit" aspectratio="f"/>
                <v:textbox>
                  <w:txbxContent>
                    <w:p w14:paraId="66CDB6DF">
                      <w:pPr>
                        <w:ind w:left="0" w:leftChars="0" w:firstLine="0" w:firstLineChars="0"/>
                        <w:jc w:val="center"/>
                        <w:rPr>
                          <w:rFonts w:hint="eastAsia" w:eastAsia="宋体"/>
                          <w:lang w:val="en-US" w:eastAsia="zh-CN"/>
                        </w:rPr>
                      </w:pPr>
                      <w:r>
                        <w:rPr>
                          <w:rFonts w:hint="eastAsia"/>
                          <w:lang w:val="en-US" w:eastAsia="zh-CN"/>
                        </w:rPr>
                        <w:t>图例</w:t>
                      </w:r>
                    </w:p>
                    <w:p w14:paraId="34F59C39">
                      <w:pPr>
                        <w:ind w:left="0" w:leftChars="0" w:firstLine="480" w:firstLineChars="200"/>
                        <w:rPr>
                          <w:rFonts w:hint="default" w:eastAsia="宋体"/>
                          <w:lang w:val="en-US" w:eastAsia="zh-CN"/>
                        </w:rPr>
                      </w:pPr>
                      <w:r>
                        <w:rPr>
                          <w:rFonts w:hint="eastAsia"/>
                          <w:lang w:val="en-US" w:eastAsia="zh-CN"/>
                        </w:rPr>
                        <w:t>选煤厂厂界</w:t>
                      </w:r>
                    </w:p>
                    <w:p w14:paraId="398030A1">
                      <w:pPr>
                        <w:ind w:left="0" w:leftChars="0" w:firstLine="480" w:firstLineChars="200"/>
                      </w:pPr>
                      <w:r>
                        <w:rPr>
                          <w:rFonts w:hint="eastAsia"/>
                          <w:lang w:val="en-US" w:eastAsia="zh-CN"/>
                        </w:rPr>
                        <w:t>煤矿井田范围</w:t>
                      </w:r>
                    </w:p>
                  </w:txbxContent>
                </v:textbox>
              </v:shape>
            </w:pict>
          </mc:Fallback>
        </mc:AlternateContent>
      </w:r>
      <w:r>
        <w:rPr>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597535</wp:posOffset>
                </wp:positionH>
                <wp:positionV relativeFrom="paragraph">
                  <wp:posOffset>1741170</wp:posOffset>
                </wp:positionV>
                <wp:extent cx="990600" cy="285750"/>
                <wp:effectExtent l="12700" t="12700" r="120650" b="520700"/>
                <wp:wrapNone/>
                <wp:docPr id="140" name="矩形标注 140"/>
                <wp:cNvGraphicFramePr/>
                <a:graphic xmlns:a="http://schemas.openxmlformats.org/drawingml/2006/main">
                  <a:graphicData uri="http://schemas.microsoft.com/office/word/2010/wordprocessingShape">
                    <wps:wsp>
                      <wps:cNvSpPr/>
                      <wps:spPr>
                        <a:xfrm>
                          <a:off x="1677670" y="2910840"/>
                          <a:ext cx="990600" cy="285750"/>
                        </a:xfrm>
                        <a:prstGeom prst="wedgeRectCallout">
                          <a:avLst>
                            <a:gd name="adj1" fmla="val 59935"/>
                            <a:gd name="adj2" fmla="val 22577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54F265C0">
                            <w:pPr>
                              <w:ind w:left="0" w:leftChars="0" w:firstLine="0" w:firstLineChars="0"/>
                              <w:jc w:val="both"/>
                              <w:rPr>
                                <w:rFonts w:hint="default" w:eastAsia="宋体"/>
                                <w:lang w:val="en-US" w:eastAsia="zh-CN"/>
                              </w:rPr>
                            </w:pPr>
                            <w:r>
                              <w:rPr>
                                <w:rFonts w:hint="eastAsia"/>
                                <w:lang w:val="en-US" w:eastAsia="zh-CN"/>
                              </w:rPr>
                              <w:t>选煤厂厂界</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7.05pt;margin-top:137.1pt;height:22.5pt;width:78pt;z-index:251666432;v-text-anchor:middle;mso-width-relative:page;mso-height-relative:page;" fillcolor="#4F81BD [3204]" filled="t" stroked="t" coordsize="21600,21600" o:gfxdata="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ZLvJW2QAAAAoBAAAP&#10;AAAAAAAAAAEAIAAAACIAAABkcnMvZG93bnJldi54bWxQSwECFAAUAAAACACHTuJAw75adMICAAB9&#10;BQAADgAAAAAAAAABACAAAAAoAQAAZHJzL2Uyb0RvYy54bWxQSwUGAAAAAAYABgBZAQAAXAYAAAAA&#10;" adj="23746,59568">
                <v:fill on="t" focussize="0,0"/>
                <v:stroke weight="2pt" color="#376092 [2404]" joinstyle="round"/>
                <v:imagedata o:title=""/>
                <o:lock v:ext="edit" aspectratio="f"/>
                <v:textbox>
                  <w:txbxContent>
                    <w:p w14:paraId="54F265C0">
                      <w:pPr>
                        <w:ind w:left="0" w:leftChars="0" w:firstLine="0" w:firstLineChars="0"/>
                        <w:jc w:val="both"/>
                        <w:rPr>
                          <w:rFonts w:hint="default" w:eastAsia="宋体"/>
                          <w:lang w:val="en-US" w:eastAsia="zh-CN"/>
                        </w:rPr>
                      </w:pPr>
                      <w:r>
                        <w:rPr>
                          <w:rFonts w:hint="eastAsia"/>
                          <w:lang w:val="en-US" w:eastAsia="zh-CN"/>
                        </w:rPr>
                        <w:t>选煤厂厂界</w:t>
                      </w:r>
                    </w:p>
                  </w:txbxContent>
                </v:textbox>
              </v:shape>
            </w:pict>
          </mc:Fallback>
        </mc:AlternateContent>
      </w: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6541135</wp:posOffset>
                </wp:positionH>
                <wp:positionV relativeFrom="paragraph">
                  <wp:posOffset>2017395</wp:posOffset>
                </wp:positionV>
                <wp:extent cx="1257300" cy="419100"/>
                <wp:effectExtent l="312420" t="12700" r="30480" b="444500"/>
                <wp:wrapNone/>
                <wp:docPr id="139" name="矩形标注 139"/>
                <wp:cNvGraphicFramePr/>
                <a:graphic xmlns:a="http://schemas.openxmlformats.org/drawingml/2006/main">
                  <a:graphicData uri="http://schemas.microsoft.com/office/word/2010/wordprocessingShape">
                    <wps:wsp>
                      <wps:cNvSpPr/>
                      <wps:spPr>
                        <a:xfrm>
                          <a:off x="7706995" y="3168015"/>
                          <a:ext cx="1257300" cy="419100"/>
                        </a:xfrm>
                        <a:prstGeom prst="wedgeRectCallout">
                          <a:avLst>
                            <a:gd name="adj1" fmla="val -73838"/>
                            <a:gd name="adj2" fmla="val 151212"/>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2E9D2EF3">
                            <w:pPr>
                              <w:ind w:left="0" w:leftChars="0" w:firstLine="0" w:firstLineChars="0"/>
                              <w:jc w:val="both"/>
                              <w:rPr>
                                <w:rFonts w:hint="default" w:eastAsia="宋体"/>
                                <w:lang w:val="en-US" w:eastAsia="zh-CN"/>
                              </w:rPr>
                            </w:pPr>
                            <w:r>
                              <w:rPr>
                                <w:rFonts w:hint="eastAsia"/>
                                <w:lang w:val="en-US" w:eastAsia="zh-CN"/>
                              </w:rPr>
                              <w:t>煤矿井田范围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15.05pt;margin-top:158.85pt;height:33pt;width:99pt;z-index:251665408;v-text-anchor:middle;mso-width-relative:page;mso-height-relative:page;" fillcolor="#4F81BD [3204]" filled="t" stroked="t" coordsize="21600,21600" o:gfxdata="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th7g4NsA&#10;AAANAQAADwAAAAAAAAABACAAAAAiAAAAZHJzL2Rvd25yZXYueG1sUEsBAhQAFAAAAAgAh07iQNLa&#10;QMfHAgAAfwUAAA4AAAAAAAAAAQAgAAAAKgEAAGRycy9lMm9Eb2MueG1sUEsFBgAAAAAGAAYAWQEA&#10;AGMGAAAAAA==&#10;" adj="-5149,43462">
                <v:fill on="t" focussize="0,0"/>
                <v:stroke weight="2pt" color="#376092 [2404]" joinstyle="round"/>
                <v:imagedata o:title=""/>
                <o:lock v:ext="edit" aspectratio="f"/>
                <v:textbox>
                  <w:txbxContent>
                    <w:p w14:paraId="2E9D2EF3">
                      <w:pPr>
                        <w:ind w:left="0" w:leftChars="0" w:firstLine="0" w:firstLineChars="0"/>
                        <w:jc w:val="both"/>
                        <w:rPr>
                          <w:rFonts w:hint="default" w:eastAsia="宋体"/>
                          <w:lang w:val="en-US" w:eastAsia="zh-CN"/>
                        </w:rPr>
                      </w:pPr>
                      <w:r>
                        <w:rPr>
                          <w:rFonts w:hint="eastAsia"/>
                          <w:lang w:val="en-US" w:eastAsia="zh-CN"/>
                        </w:rPr>
                        <w:t>煤矿井田范围</w:t>
                      </w:r>
                    </w:p>
                  </w:txbxContent>
                </v:textbox>
              </v:shape>
            </w:pict>
          </mc:Fallback>
        </mc:AlternateContent>
      </w:r>
      <w:r>
        <w:rPr>
          <w:color w:val="auto"/>
          <w:highlight w:val="none"/>
        </w:rPr>
        <w:drawing>
          <wp:inline distT="0" distB="0" distL="114300" distR="114300">
            <wp:extent cx="8524875" cy="5391150"/>
            <wp:effectExtent l="0" t="0" r="9525" b="0"/>
            <wp:docPr id="1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9"/>
                    <pic:cNvPicPr>
                      <a:picLocks noChangeAspect="1"/>
                    </pic:cNvPicPr>
                  </pic:nvPicPr>
                  <pic:blipFill>
                    <a:blip r:embed="rId199"/>
                    <a:stretch>
                      <a:fillRect/>
                    </a:stretch>
                  </pic:blipFill>
                  <pic:spPr>
                    <a:xfrm>
                      <a:off x="0" y="0"/>
                      <a:ext cx="8524875" cy="5391150"/>
                    </a:xfrm>
                    <a:prstGeom prst="rect">
                      <a:avLst/>
                    </a:prstGeom>
                    <a:noFill/>
                    <a:ln>
                      <a:noFill/>
                    </a:ln>
                  </pic:spPr>
                </pic:pic>
              </a:graphicData>
            </a:graphic>
          </wp:inline>
        </w:drawing>
      </w:r>
    </w:p>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9BFFA7-3B3E-4736-8D84-4F3EEA5607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hakuyoxingshu7000">
    <w:altName w:val="微软雅黑"/>
    <w:panose1 w:val="02000600000000000000"/>
    <w:charset w:val="00"/>
    <w:family w:val="auto"/>
    <w:pitch w:val="default"/>
    <w:sig w:usb0="00000000" w:usb1="00000000" w:usb2="0000003F" w:usb3="00000000" w:csb0="003F00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embedRegular r:id="rId2" w:fontKey="{00460194-B2F6-43A2-803C-75FC0E65A6B5}"/>
  </w:font>
  <w:font w:name="Cambria Math">
    <w:panose1 w:val="02040503050406030204"/>
    <w:charset w:val="00"/>
    <w:family w:val="auto"/>
    <w:pitch w:val="default"/>
    <w:sig w:usb0="E00006FF" w:usb1="420024FF" w:usb2="02000000" w:usb3="00000000" w:csb0="2000019F" w:csb1="00000000"/>
    <w:embedRegular r:id="rId3" w:fontKey="{10D5DB2B-2D9E-4836-9FFE-9FBB1A60F9BF}"/>
  </w:font>
  <w:font w:name="方正小标宋_GBK">
    <w:panose1 w:val="02000000000000000000"/>
    <w:charset w:val="86"/>
    <w:family w:val="script"/>
    <w:pitch w:val="default"/>
    <w:sig w:usb0="A00002BF" w:usb1="38CF7CFA" w:usb2="00082016" w:usb3="00000000" w:csb0="00040001" w:csb1="00000000"/>
    <w:embedRegular r:id="rId4" w:fontKey="{D5E9449D-AC4A-4E88-BD2C-4AA4CCF5E07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2FD0">
    <w:pPr>
      <w:pStyle w:val="18"/>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2AA4B">
    <w:pPr>
      <w:pStyle w:val="18"/>
      <w:framePr w:wrap="around" w:vAnchor="text" w:hAnchor="margin" w:xAlign="center" w:y="1"/>
      <w:rPr>
        <w:rStyle w:val="29"/>
      </w:rPr>
    </w:pPr>
    <w:r>
      <w:fldChar w:fldCharType="begin"/>
    </w:r>
    <w:r>
      <w:rPr>
        <w:rStyle w:val="29"/>
      </w:rPr>
      <w:instrText xml:space="preserve">PAGE  </w:instrText>
    </w:r>
    <w:r>
      <w:fldChar w:fldCharType="end"/>
    </w:r>
  </w:p>
  <w:p w14:paraId="10E5E3DC">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82530">
    <w:pPr>
      <w:pStyle w:val="18"/>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790433">
                          <w:pPr>
                            <w:pStyle w:val="18"/>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nmLLFuIBAADCAwAADgAA&#10;AAAAAAABACAAAAAeAQAAZHJzL2Uyb0RvYy54bWxQSwUGAAAAAAYABgBZAQAAcgUAAAAA&#10;">
              <v:fill on="f" focussize="0,0"/>
              <v:stroke on="f"/>
              <v:imagedata o:title=""/>
              <o:lock v:ext="edit" aspectratio="f"/>
              <v:textbox inset="0mm,0mm,0mm,0mm" style="mso-fit-shape-to-text:t;">
                <w:txbxContent>
                  <w:p w14:paraId="43790433">
                    <w:pPr>
                      <w:pStyle w:val="18"/>
                      <w:keepNext w:val="0"/>
                      <w:keepLines w:val="0"/>
                      <w:pageBreakBefore w:val="0"/>
                      <w:widowControl w:val="0"/>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E1528">
    <w:pPr>
      <w:pStyle w:val="18"/>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F47FA7">
                          <w:pPr>
                            <w:pStyle w:val="18"/>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7D4q84QEAAMIDAAAOAAAA&#10;AAAAAAEAIAAAAB4BAABkcnMvZTJvRG9jLnhtbFBLBQYAAAAABgAGAFkBAABxBQAAAAA=&#10;">
              <v:fill on="f" focussize="0,0"/>
              <v:stroke on="f"/>
              <v:imagedata o:title=""/>
              <o:lock v:ext="edit" aspectratio="f"/>
              <v:textbox inset="0mm,0mm,0mm,0mm" style="mso-fit-shape-to-text:t;">
                <w:txbxContent>
                  <w:p w14:paraId="5AF47FA7">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64022">
    <w:pPr>
      <w:pStyle w:val="18"/>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2DA2C5">
                          <w:pPr>
                            <w:pStyle w:val="18"/>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H6SaTuIBAADCAwAADgAA&#10;AAAAAAABACAAAAAeAQAAZHJzL2Uyb0RvYy54bWxQSwUGAAAAAAYABgBZAQAAcgUAAAAA&#10;">
              <v:fill on="f" focussize="0,0"/>
              <v:stroke on="f"/>
              <v:imagedata o:title=""/>
              <o:lock v:ext="edit" aspectratio="f"/>
              <v:textbox inset="0mm,0mm,0mm,0mm" style="mso-fit-shape-to-text:t;">
                <w:txbxContent>
                  <w:p w14:paraId="1A2DA2C5">
                    <w:pPr>
                      <w:pStyle w:val="1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DD19C">
    <w:pPr>
      <w:pStyle w:val="18"/>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84B2B0">
                          <w:pPr>
                            <w:pStyle w:val="18"/>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0NByS4QEAAMIDAAAOAAAA&#10;AAAAAAEAIAAAAB4BAABkcnMvZTJvRG9jLnhtbFBLBQYAAAAABgAGAFkBAABxBQAAAAA=&#10;">
              <v:fill on="f" focussize="0,0"/>
              <v:stroke on="f"/>
              <v:imagedata o:title=""/>
              <o:lock v:ext="edit" aspectratio="f"/>
              <v:textbox inset="0mm,0mm,0mm,0mm" style="mso-fit-shape-to-text:t;">
                <w:txbxContent>
                  <w:p w14:paraId="5184B2B0">
                    <w:pPr>
                      <w:pStyle w:val="1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8BE44">
    <w:pPr>
      <w:pStyle w:val="19"/>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630D">
    <w:pPr>
      <w:pStyle w:val="19"/>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bidi w:val="0"/>
      <w:adjustRightInd/>
      <w:snapToGrid w:val="0"/>
      <w:spacing w:line="240" w:lineRule="auto"/>
      <w:ind w:firstLine="0" w:firstLineChars="0"/>
      <w:jc w:val="both"/>
      <w:textAlignment w:va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CA6A1"/>
    <w:multiLevelType w:val="singleLevel"/>
    <w:tmpl w:val="BC7CA6A1"/>
    <w:lvl w:ilvl="0" w:tentative="0">
      <w:start w:val="1"/>
      <w:numFmt w:val="decimal"/>
      <w:pStyle w:val="74"/>
      <w:suff w:val="nothing"/>
      <w:lvlText w:val="表%1  "/>
      <w:lvlJc w:val="left"/>
      <w:pPr>
        <w:tabs>
          <w:tab w:val="left" w:pos="0"/>
        </w:tabs>
        <w:ind w:left="2160" w:firstLine="420"/>
      </w:pPr>
      <w:rPr>
        <w:rFonts w:hint="default" w:ascii="宋体" w:hAnsi="宋体" w:eastAsia="宋体" w:cs="Times New Roman"/>
        <w:sz w:val="24"/>
        <w:szCs w:val="24"/>
      </w:rPr>
    </w:lvl>
  </w:abstractNum>
  <w:abstractNum w:abstractNumId="1">
    <w:nsid w:val="6225E6B9"/>
    <w:multiLevelType w:val="singleLevel"/>
    <w:tmpl w:val="6225E6B9"/>
    <w:lvl w:ilvl="0" w:tentative="0">
      <w:start w:val="1"/>
      <w:numFmt w:val="bullet"/>
      <w:pStyle w:val="15"/>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ZWY4NzczNWEzNjAxOTdkOWVjYTQ2MWQ0OTUwZDM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302643"/>
    <w:rsid w:val="015D1E09"/>
    <w:rsid w:val="01F27645"/>
    <w:rsid w:val="02697903"/>
    <w:rsid w:val="02EA3930"/>
    <w:rsid w:val="02F96569"/>
    <w:rsid w:val="03D251BA"/>
    <w:rsid w:val="03EA7B21"/>
    <w:rsid w:val="0404577C"/>
    <w:rsid w:val="04826F0E"/>
    <w:rsid w:val="05520A3E"/>
    <w:rsid w:val="05F83EAE"/>
    <w:rsid w:val="063E7D85"/>
    <w:rsid w:val="065970D7"/>
    <w:rsid w:val="07293586"/>
    <w:rsid w:val="07295285"/>
    <w:rsid w:val="07636392"/>
    <w:rsid w:val="076E3F95"/>
    <w:rsid w:val="07770C56"/>
    <w:rsid w:val="07D97A97"/>
    <w:rsid w:val="08A36F5C"/>
    <w:rsid w:val="092217DD"/>
    <w:rsid w:val="093A7294"/>
    <w:rsid w:val="0A263993"/>
    <w:rsid w:val="0A2D3AC2"/>
    <w:rsid w:val="0AA755DF"/>
    <w:rsid w:val="0AC74ABE"/>
    <w:rsid w:val="0B120D44"/>
    <w:rsid w:val="0BD27BF6"/>
    <w:rsid w:val="0C26526F"/>
    <w:rsid w:val="0C3B3C7D"/>
    <w:rsid w:val="0CAB2EAE"/>
    <w:rsid w:val="0D621C7D"/>
    <w:rsid w:val="0E73034D"/>
    <w:rsid w:val="0F13775A"/>
    <w:rsid w:val="0F5F45FE"/>
    <w:rsid w:val="0F9A112B"/>
    <w:rsid w:val="106D2F64"/>
    <w:rsid w:val="10B63710"/>
    <w:rsid w:val="10F10820"/>
    <w:rsid w:val="111C2F7A"/>
    <w:rsid w:val="11665CA1"/>
    <w:rsid w:val="13951726"/>
    <w:rsid w:val="13B7471B"/>
    <w:rsid w:val="14396509"/>
    <w:rsid w:val="14DD2C3C"/>
    <w:rsid w:val="16087E1D"/>
    <w:rsid w:val="1636770B"/>
    <w:rsid w:val="17042EF3"/>
    <w:rsid w:val="17701D14"/>
    <w:rsid w:val="17735226"/>
    <w:rsid w:val="189F624C"/>
    <w:rsid w:val="19776B95"/>
    <w:rsid w:val="1A1C66C0"/>
    <w:rsid w:val="1A42393B"/>
    <w:rsid w:val="1AAD45DE"/>
    <w:rsid w:val="1B046F80"/>
    <w:rsid w:val="1B3267B5"/>
    <w:rsid w:val="1B40161D"/>
    <w:rsid w:val="1B441859"/>
    <w:rsid w:val="1B6606B1"/>
    <w:rsid w:val="1B7A3E21"/>
    <w:rsid w:val="1C5E7925"/>
    <w:rsid w:val="1CFD070F"/>
    <w:rsid w:val="1D5F6196"/>
    <w:rsid w:val="1D6132A5"/>
    <w:rsid w:val="1D8E56D5"/>
    <w:rsid w:val="1E767270"/>
    <w:rsid w:val="1E7A43DA"/>
    <w:rsid w:val="1FE6001A"/>
    <w:rsid w:val="1FE7539E"/>
    <w:rsid w:val="20671BE0"/>
    <w:rsid w:val="20963CB8"/>
    <w:rsid w:val="20A81A1B"/>
    <w:rsid w:val="20B07FB6"/>
    <w:rsid w:val="20B646FB"/>
    <w:rsid w:val="213B74B1"/>
    <w:rsid w:val="215A2310"/>
    <w:rsid w:val="21DE318A"/>
    <w:rsid w:val="21EF5B80"/>
    <w:rsid w:val="22576990"/>
    <w:rsid w:val="22F47480"/>
    <w:rsid w:val="231248BA"/>
    <w:rsid w:val="23DE1C48"/>
    <w:rsid w:val="240210CD"/>
    <w:rsid w:val="24BF09F7"/>
    <w:rsid w:val="252D53FE"/>
    <w:rsid w:val="25EC2D81"/>
    <w:rsid w:val="262B3E91"/>
    <w:rsid w:val="277057A2"/>
    <w:rsid w:val="28187D31"/>
    <w:rsid w:val="28E026ED"/>
    <w:rsid w:val="290B73CB"/>
    <w:rsid w:val="29206EB8"/>
    <w:rsid w:val="29595666"/>
    <w:rsid w:val="29874881"/>
    <w:rsid w:val="29E325E0"/>
    <w:rsid w:val="2A452503"/>
    <w:rsid w:val="2A596DFA"/>
    <w:rsid w:val="2BA936A8"/>
    <w:rsid w:val="2C315A5A"/>
    <w:rsid w:val="2C4B1C25"/>
    <w:rsid w:val="2C9D096A"/>
    <w:rsid w:val="2D9E56F5"/>
    <w:rsid w:val="2E667F96"/>
    <w:rsid w:val="2E8226AB"/>
    <w:rsid w:val="2FD065E6"/>
    <w:rsid w:val="2FD96870"/>
    <w:rsid w:val="30580BC9"/>
    <w:rsid w:val="30691C37"/>
    <w:rsid w:val="311E2ED7"/>
    <w:rsid w:val="315619EE"/>
    <w:rsid w:val="315C449C"/>
    <w:rsid w:val="31B350A6"/>
    <w:rsid w:val="31B82709"/>
    <w:rsid w:val="31D05482"/>
    <w:rsid w:val="32081C52"/>
    <w:rsid w:val="32400B34"/>
    <w:rsid w:val="329E6876"/>
    <w:rsid w:val="333015F2"/>
    <w:rsid w:val="334B6320"/>
    <w:rsid w:val="33D934D4"/>
    <w:rsid w:val="33FE2F6A"/>
    <w:rsid w:val="340E07E5"/>
    <w:rsid w:val="34235BF7"/>
    <w:rsid w:val="358C5FA8"/>
    <w:rsid w:val="35C15DF1"/>
    <w:rsid w:val="35C83CF1"/>
    <w:rsid w:val="36074A7F"/>
    <w:rsid w:val="36923549"/>
    <w:rsid w:val="36B75FBF"/>
    <w:rsid w:val="36BD0C45"/>
    <w:rsid w:val="37E00298"/>
    <w:rsid w:val="38B302F9"/>
    <w:rsid w:val="38BD1355"/>
    <w:rsid w:val="38F12CD3"/>
    <w:rsid w:val="38F94775"/>
    <w:rsid w:val="392971ED"/>
    <w:rsid w:val="39325651"/>
    <w:rsid w:val="39463FA0"/>
    <w:rsid w:val="3A1B2643"/>
    <w:rsid w:val="3A872856"/>
    <w:rsid w:val="3B3763D1"/>
    <w:rsid w:val="3C2F6E1E"/>
    <w:rsid w:val="3C4F64BA"/>
    <w:rsid w:val="3CDA245A"/>
    <w:rsid w:val="3D1E06B7"/>
    <w:rsid w:val="3E5550CF"/>
    <w:rsid w:val="3EDA0523"/>
    <w:rsid w:val="40573BB7"/>
    <w:rsid w:val="407A6407"/>
    <w:rsid w:val="40DE6901"/>
    <w:rsid w:val="4200449D"/>
    <w:rsid w:val="423A3BCC"/>
    <w:rsid w:val="424E57D2"/>
    <w:rsid w:val="42B26C49"/>
    <w:rsid w:val="433A6FE6"/>
    <w:rsid w:val="43480868"/>
    <w:rsid w:val="4350713C"/>
    <w:rsid w:val="436653E0"/>
    <w:rsid w:val="43C4431A"/>
    <w:rsid w:val="43EA7CCC"/>
    <w:rsid w:val="44B951CC"/>
    <w:rsid w:val="44CD14E0"/>
    <w:rsid w:val="44F20B0B"/>
    <w:rsid w:val="452E5F4C"/>
    <w:rsid w:val="45612018"/>
    <w:rsid w:val="458946E9"/>
    <w:rsid w:val="45A47C0E"/>
    <w:rsid w:val="46577FD6"/>
    <w:rsid w:val="46BC5E2C"/>
    <w:rsid w:val="46D955A7"/>
    <w:rsid w:val="47133957"/>
    <w:rsid w:val="47A07E0C"/>
    <w:rsid w:val="47BA5F3F"/>
    <w:rsid w:val="4870272E"/>
    <w:rsid w:val="49DC7715"/>
    <w:rsid w:val="4A023139"/>
    <w:rsid w:val="4A193C5A"/>
    <w:rsid w:val="4A7B576F"/>
    <w:rsid w:val="4AF561A9"/>
    <w:rsid w:val="4B171DB7"/>
    <w:rsid w:val="4C4A0649"/>
    <w:rsid w:val="4C7E5ECA"/>
    <w:rsid w:val="4C876AA5"/>
    <w:rsid w:val="4CF637A2"/>
    <w:rsid w:val="4D0E00FB"/>
    <w:rsid w:val="4D176606"/>
    <w:rsid w:val="4DE8262D"/>
    <w:rsid w:val="4DEC4FB0"/>
    <w:rsid w:val="4E075D8A"/>
    <w:rsid w:val="4EC00FAD"/>
    <w:rsid w:val="4F9843DC"/>
    <w:rsid w:val="4FC62A8C"/>
    <w:rsid w:val="4FE20F0D"/>
    <w:rsid w:val="4FE51552"/>
    <w:rsid w:val="50504C4B"/>
    <w:rsid w:val="509C6E7C"/>
    <w:rsid w:val="5162104E"/>
    <w:rsid w:val="53992382"/>
    <w:rsid w:val="53A039CC"/>
    <w:rsid w:val="53A1505A"/>
    <w:rsid w:val="54063E08"/>
    <w:rsid w:val="543437E8"/>
    <w:rsid w:val="54F73313"/>
    <w:rsid w:val="54F80955"/>
    <w:rsid w:val="555170A7"/>
    <w:rsid w:val="55855E64"/>
    <w:rsid w:val="5587536D"/>
    <w:rsid w:val="559B174B"/>
    <w:rsid w:val="55CE0CF4"/>
    <w:rsid w:val="56712553"/>
    <w:rsid w:val="56B22A9C"/>
    <w:rsid w:val="57B72A76"/>
    <w:rsid w:val="57C07EBE"/>
    <w:rsid w:val="57C3426C"/>
    <w:rsid w:val="57CE1F93"/>
    <w:rsid w:val="588743D1"/>
    <w:rsid w:val="5887701A"/>
    <w:rsid w:val="59C0439F"/>
    <w:rsid w:val="59D1124C"/>
    <w:rsid w:val="5A5D34EA"/>
    <w:rsid w:val="5ABE2233"/>
    <w:rsid w:val="5BDF5D95"/>
    <w:rsid w:val="5BFE7528"/>
    <w:rsid w:val="5D035BEB"/>
    <w:rsid w:val="5E2467F1"/>
    <w:rsid w:val="5F1A2B43"/>
    <w:rsid w:val="5F5C5FB8"/>
    <w:rsid w:val="5FB837BB"/>
    <w:rsid w:val="5FCA1E36"/>
    <w:rsid w:val="60CC405A"/>
    <w:rsid w:val="61C62B4E"/>
    <w:rsid w:val="61E215D8"/>
    <w:rsid w:val="621B3775"/>
    <w:rsid w:val="62364782"/>
    <w:rsid w:val="6394356A"/>
    <w:rsid w:val="63C61B2C"/>
    <w:rsid w:val="63D40BE9"/>
    <w:rsid w:val="64102431"/>
    <w:rsid w:val="64A5243A"/>
    <w:rsid w:val="64F531DE"/>
    <w:rsid w:val="65373578"/>
    <w:rsid w:val="661070A1"/>
    <w:rsid w:val="671F124A"/>
    <w:rsid w:val="677A33C6"/>
    <w:rsid w:val="681F6961"/>
    <w:rsid w:val="68610A2F"/>
    <w:rsid w:val="68805514"/>
    <w:rsid w:val="69316E2F"/>
    <w:rsid w:val="694909FE"/>
    <w:rsid w:val="694E2071"/>
    <w:rsid w:val="69766163"/>
    <w:rsid w:val="697A3B33"/>
    <w:rsid w:val="69D44760"/>
    <w:rsid w:val="6A520EC7"/>
    <w:rsid w:val="6AF87E20"/>
    <w:rsid w:val="6B322639"/>
    <w:rsid w:val="6C636C38"/>
    <w:rsid w:val="6DB34098"/>
    <w:rsid w:val="6DB545B6"/>
    <w:rsid w:val="6DE02FB4"/>
    <w:rsid w:val="6E337CDC"/>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9324AFA"/>
    <w:rsid w:val="79DB0207"/>
    <w:rsid w:val="7A362B30"/>
    <w:rsid w:val="7A364017"/>
    <w:rsid w:val="7A8265E1"/>
    <w:rsid w:val="7B686D42"/>
    <w:rsid w:val="7B841746"/>
    <w:rsid w:val="7C6C5AC7"/>
    <w:rsid w:val="7C9027E7"/>
    <w:rsid w:val="7CC6544B"/>
    <w:rsid w:val="7D0239FF"/>
    <w:rsid w:val="7D5E40CD"/>
    <w:rsid w:val="7DCD56F2"/>
    <w:rsid w:val="7DCE34F7"/>
    <w:rsid w:val="7EEC3621"/>
    <w:rsid w:val="7F001CE7"/>
    <w:rsid w:val="7F4E3965"/>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8">
    <w:name w:val="heading 1"/>
    <w:basedOn w:val="1"/>
    <w:next w:val="1"/>
    <w:qFormat/>
    <w:uiPriority w:val="99"/>
    <w:pPr>
      <w:keepNext/>
      <w:overflowPunct w:val="0"/>
      <w:snapToGrid w:val="0"/>
      <w:spacing w:line="240" w:lineRule="auto"/>
      <w:ind w:left="0" w:firstLine="0" w:firstLineChars="0"/>
      <w:outlineLvl w:val="0"/>
    </w:pPr>
    <w:rPr>
      <w:rFonts w:eastAsia="黑体"/>
      <w:b/>
      <w:bCs/>
      <w:color w:val="000000"/>
      <w:kern w:val="44"/>
      <w:sz w:val="24"/>
      <w:szCs w:val="30"/>
    </w:rPr>
  </w:style>
  <w:style w:type="paragraph" w:styleId="9">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10">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文本"/>
    <w:basedOn w:val="1"/>
    <w:next w:val="1"/>
    <w:qFormat/>
    <w:uiPriority w:val="0"/>
    <w:pPr>
      <w:autoSpaceDE w:val="0"/>
      <w:autoSpaceDN w:val="0"/>
      <w:ind w:firstLine="480"/>
    </w:pPr>
    <w:rPr>
      <w:lang w:val="zh-CN"/>
    </w:rPr>
  </w:style>
  <w:style w:type="paragraph" w:customStyle="1" w:styleId="4">
    <w:name w:val="表格文字"/>
    <w:basedOn w:val="5"/>
    <w:next w:val="1"/>
    <w:qFormat/>
    <w:uiPriority w:val="0"/>
    <w:pPr>
      <w:widowControl w:val="0"/>
      <w:adjustRightInd w:val="0"/>
      <w:snapToGrid/>
      <w:spacing w:before="0" w:after="0" w:line="240" w:lineRule="auto"/>
      <w:ind w:right="0"/>
      <w:jc w:val="center"/>
      <w:textAlignment w:val="baseline"/>
    </w:pPr>
    <w:rPr>
      <w:kern w:val="2"/>
      <w:sz w:val="21"/>
      <w:szCs w:val="21"/>
    </w:rPr>
  </w:style>
  <w:style w:type="paragraph" w:styleId="5">
    <w:name w:val="Body Text"/>
    <w:basedOn w:val="1"/>
    <w:next w:val="6"/>
    <w:link w:val="35"/>
    <w:qFormat/>
    <w:uiPriority w:val="0"/>
    <w:pPr>
      <w:widowControl/>
      <w:snapToGrid w:val="0"/>
      <w:spacing w:before="60" w:after="160" w:line="259" w:lineRule="auto"/>
      <w:ind w:right="113"/>
    </w:pPr>
    <w:rPr>
      <w:kern w:val="0"/>
      <w:sz w:val="18"/>
      <w:szCs w:val="20"/>
    </w:rPr>
  </w:style>
  <w:style w:type="paragraph" w:customStyle="1" w:styleId="6">
    <w:name w:val="xl27"/>
    <w:basedOn w:val="1"/>
    <w:next w:val="7"/>
    <w:qFormat/>
    <w:uiPriority w:val="0"/>
    <w:pPr>
      <w:widowControl/>
      <w:pBdr>
        <w:bottom w:val="single" w:color="auto" w:sz="4" w:space="0"/>
        <w:right w:val="single" w:color="auto" w:sz="4" w:space="0"/>
      </w:pBdr>
      <w:adjustRightInd w:val="0"/>
      <w:snapToGrid w:val="0"/>
      <w:spacing w:before="100" w:beforeAutospacing="1" w:after="100" w:afterAutospacing="1" w:line="500" w:lineRule="exact"/>
      <w:jc w:val="center"/>
    </w:pPr>
    <w:rPr>
      <w:rFonts w:eastAsia="Arial Unicode MS"/>
      <w:kern w:val="0"/>
      <w:szCs w:val="21"/>
    </w:rPr>
  </w:style>
  <w:style w:type="paragraph" w:styleId="7">
    <w:name w:val="annotation text"/>
    <w:basedOn w:val="1"/>
    <w:next w:val="1"/>
    <w:link w:val="34"/>
    <w:semiHidden/>
    <w:qFormat/>
    <w:uiPriority w:val="0"/>
    <w:pPr>
      <w:jc w:val="left"/>
    </w:pPr>
    <w:rPr>
      <w:kern w:val="0"/>
      <w:sz w:val="24"/>
      <w:szCs w:val="20"/>
    </w:rPr>
  </w:style>
  <w:style w:type="paragraph" w:styleId="11">
    <w:name w:val="Normal Indent"/>
    <w:basedOn w:val="1"/>
    <w:next w:val="12"/>
    <w:qFormat/>
    <w:uiPriority w:val="0"/>
    <w:pPr>
      <w:adjustRightInd w:val="0"/>
      <w:spacing w:line="320" w:lineRule="atLeast"/>
      <w:ind w:firstLine="420"/>
      <w:textAlignment w:val="baseline"/>
    </w:pPr>
    <w:rPr>
      <w:rFonts w:ascii="Times New Roman" w:hAnsi="Times New Roman" w:eastAsia="宋体" w:cs="Times New Roman"/>
      <w:kern w:val="0"/>
      <w:sz w:val="21"/>
      <w:szCs w:val="20"/>
    </w:rPr>
  </w:style>
  <w:style w:type="paragraph" w:styleId="12">
    <w:name w:val="Body Text First Indent 2"/>
    <w:basedOn w:val="13"/>
    <w:qFormat/>
    <w:uiPriority w:val="0"/>
    <w:pPr>
      <w:spacing w:after="120" w:afterLines="0" w:line="240" w:lineRule="auto"/>
      <w:ind w:left="420" w:leftChars="200" w:firstLine="420" w:firstLineChars="200"/>
    </w:pPr>
    <w:rPr>
      <w:sz w:val="21"/>
      <w:szCs w:val="24"/>
    </w:rPr>
  </w:style>
  <w:style w:type="paragraph" w:styleId="13">
    <w:name w:val="Body Text Indent"/>
    <w:basedOn w:val="1"/>
    <w:link w:val="33"/>
    <w:qFormat/>
    <w:uiPriority w:val="0"/>
    <w:pPr>
      <w:spacing w:after="120"/>
      <w:ind w:left="420" w:leftChars="200"/>
    </w:pPr>
    <w:rPr>
      <w:kern w:val="0"/>
      <w:sz w:val="24"/>
      <w:szCs w:val="20"/>
    </w:rPr>
  </w:style>
  <w:style w:type="paragraph" w:styleId="14">
    <w:name w:val="Block Text"/>
    <w:basedOn w:val="1"/>
    <w:qFormat/>
    <w:uiPriority w:val="0"/>
    <w:pPr>
      <w:autoSpaceDE w:val="0"/>
      <w:autoSpaceDN w:val="0"/>
      <w:adjustRightInd w:val="0"/>
      <w:snapToGrid w:val="0"/>
      <w:ind w:left="-63" w:leftChars="-30" w:right="-63" w:rightChars="-30"/>
      <w:jc w:val="center"/>
    </w:pPr>
    <w:rPr>
      <w:rFonts w:ascii="宋体" w:hAnsi="宋体"/>
      <w:spacing w:val="-6"/>
      <w:kern w:val="0"/>
      <w:szCs w:val="15"/>
      <w:u w:val="single"/>
    </w:rPr>
  </w:style>
  <w:style w:type="paragraph" w:styleId="15">
    <w:name w:val="List Bullet 5"/>
    <w:basedOn w:val="1"/>
    <w:qFormat/>
    <w:uiPriority w:val="0"/>
    <w:pPr>
      <w:numPr>
        <w:ilvl w:val="0"/>
        <w:numId w:val="1"/>
      </w:numPr>
    </w:pPr>
  </w:style>
  <w:style w:type="paragraph" w:styleId="16">
    <w:name w:val="Date"/>
    <w:basedOn w:val="1"/>
    <w:next w:val="1"/>
    <w:link w:val="36"/>
    <w:qFormat/>
    <w:uiPriority w:val="0"/>
    <w:pPr>
      <w:ind w:left="100" w:leftChars="2500"/>
    </w:pPr>
    <w:rPr>
      <w:kern w:val="0"/>
      <w:sz w:val="24"/>
      <w:szCs w:val="20"/>
    </w:rPr>
  </w:style>
  <w:style w:type="paragraph" w:styleId="17">
    <w:name w:val="Balloon Text"/>
    <w:basedOn w:val="1"/>
    <w:link w:val="37"/>
    <w:semiHidden/>
    <w:qFormat/>
    <w:uiPriority w:val="0"/>
    <w:rPr>
      <w:kern w:val="0"/>
      <w:sz w:val="18"/>
      <w:szCs w:val="20"/>
    </w:rPr>
  </w:style>
  <w:style w:type="paragraph" w:styleId="18">
    <w:name w:val="footer"/>
    <w:basedOn w:val="1"/>
    <w:link w:val="38"/>
    <w:qFormat/>
    <w:uiPriority w:val="99"/>
    <w:pPr>
      <w:tabs>
        <w:tab w:val="center" w:pos="4153"/>
        <w:tab w:val="right" w:pos="8306"/>
      </w:tabs>
      <w:snapToGrid w:val="0"/>
      <w:jc w:val="left"/>
    </w:pPr>
    <w:rPr>
      <w:kern w:val="0"/>
      <w:sz w:val="18"/>
      <w:szCs w:val="20"/>
    </w:rPr>
  </w:style>
  <w:style w:type="paragraph" w:styleId="19">
    <w:name w:val="header"/>
    <w:basedOn w:val="1"/>
    <w:link w:val="39"/>
    <w:qFormat/>
    <w:uiPriority w:val="0"/>
    <w:pPr>
      <w:pBdr>
        <w:bottom w:val="single" w:color="auto" w:sz="6" w:space="1"/>
      </w:pBdr>
      <w:tabs>
        <w:tab w:val="center" w:pos="4153"/>
        <w:tab w:val="right" w:pos="8306"/>
      </w:tabs>
      <w:snapToGrid w:val="0"/>
      <w:jc w:val="center"/>
    </w:pPr>
    <w:rPr>
      <w:kern w:val="0"/>
      <w:sz w:val="18"/>
      <w:szCs w:val="20"/>
    </w:rPr>
  </w:style>
  <w:style w:type="paragraph" w:styleId="20">
    <w:name w:val="toc 2"/>
    <w:basedOn w:val="1"/>
    <w:next w:val="1"/>
    <w:qFormat/>
    <w:uiPriority w:val="0"/>
    <w:pPr>
      <w:ind w:left="420" w:leftChars="200"/>
    </w:pPr>
  </w:style>
  <w:style w:type="paragraph" w:styleId="21">
    <w:name w:val="Body Text 2"/>
    <w:basedOn w:val="1"/>
    <w:next w:val="1"/>
    <w:qFormat/>
    <w:uiPriority w:val="0"/>
    <w:pPr>
      <w:spacing w:after="120" w:line="480" w:lineRule="auto"/>
    </w:pPr>
  </w:style>
  <w:style w:type="paragraph" w:styleId="22">
    <w:name w:val="Normal (Web)"/>
    <w:basedOn w:val="1"/>
    <w:link w:val="40"/>
    <w:qFormat/>
    <w:uiPriority w:val="0"/>
    <w:pPr>
      <w:widowControl/>
      <w:spacing w:before="100" w:beforeAutospacing="1" w:after="100" w:afterAutospacing="1"/>
      <w:jc w:val="left"/>
    </w:pPr>
    <w:rPr>
      <w:rFonts w:ascii="宋体" w:hAnsi="宋体"/>
      <w:kern w:val="0"/>
      <w:sz w:val="24"/>
      <w:szCs w:val="20"/>
    </w:rPr>
  </w:style>
  <w:style w:type="paragraph" w:styleId="23">
    <w:name w:val="annotation subject"/>
    <w:basedOn w:val="7"/>
    <w:next w:val="7"/>
    <w:link w:val="41"/>
    <w:semiHidden/>
    <w:qFormat/>
    <w:uiPriority w:val="0"/>
    <w:rPr>
      <w:b/>
      <w:sz w:val="24"/>
      <w:szCs w:val="20"/>
    </w:rPr>
  </w:style>
  <w:style w:type="paragraph" w:styleId="24">
    <w:name w:val="Body Text First Indent"/>
    <w:basedOn w:val="1"/>
    <w:next w:val="1"/>
    <w:qFormat/>
    <w:uiPriority w:val="0"/>
    <w:pPr>
      <w:ind w:firstLine="420" w:firstLineChars="100"/>
    </w:pPr>
    <w:rPr>
      <w:szCs w:val="20"/>
      <w:lang w:val="en-US" w:eastAsia="zh-CN"/>
    </w:rPr>
  </w:style>
  <w:style w:type="table" w:styleId="26">
    <w:name w:val="Table Grid"/>
    <w:basedOn w:val="25"/>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Hyperlink"/>
    <w:basedOn w:val="27"/>
    <w:qFormat/>
    <w:uiPriority w:val="0"/>
    <w:rPr>
      <w:color w:val="0000FF"/>
      <w:u w:val="single"/>
    </w:rPr>
  </w:style>
  <w:style w:type="character" w:styleId="31">
    <w:name w:val="HTML Code"/>
    <w:basedOn w:val="27"/>
    <w:qFormat/>
    <w:uiPriority w:val="0"/>
    <w:rPr>
      <w:rFonts w:ascii="Courier New" w:hAnsi="Courier New"/>
      <w:sz w:val="20"/>
    </w:rPr>
  </w:style>
  <w:style w:type="character" w:styleId="32">
    <w:name w:val="annotation reference"/>
    <w:semiHidden/>
    <w:qFormat/>
    <w:uiPriority w:val="0"/>
    <w:rPr>
      <w:sz w:val="21"/>
    </w:rPr>
  </w:style>
  <w:style w:type="character" w:customStyle="1" w:styleId="33">
    <w:name w:val="正文文本缩进 Char"/>
    <w:link w:val="13"/>
    <w:semiHidden/>
    <w:qFormat/>
    <w:uiPriority w:val="0"/>
    <w:rPr>
      <w:rFonts w:ascii="Times New Roman" w:hAnsi="Times New Roman" w:eastAsia="宋体"/>
      <w:sz w:val="24"/>
    </w:rPr>
  </w:style>
  <w:style w:type="character" w:customStyle="1" w:styleId="34">
    <w:name w:val="批注文字 Char"/>
    <w:link w:val="7"/>
    <w:qFormat/>
    <w:uiPriority w:val="0"/>
    <w:rPr>
      <w:rFonts w:ascii="Times New Roman" w:hAnsi="Times New Roman" w:eastAsia="宋体"/>
      <w:sz w:val="24"/>
    </w:rPr>
  </w:style>
  <w:style w:type="character" w:customStyle="1" w:styleId="35">
    <w:name w:val="正文文本 Char"/>
    <w:link w:val="5"/>
    <w:qFormat/>
    <w:uiPriority w:val="0"/>
    <w:rPr>
      <w:sz w:val="18"/>
    </w:rPr>
  </w:style>
  <w:style w:type="character" w:customStyle="1" w:styleId="36">
    <w:name w:val="日期 Char"/>
    <w:link w:val="16"/>
    <w:qFormat/>
    <w:uiPriority w:val="0"/>
    <w:rPr>
      <w:rFonts w:ascii="Times New Roman" w:hAnsi="Times New Roman" w:eastAsia="宋体"/>
      <w:sz w:val="24"/>
    </w:rPr>
  </w:style>
  <w:style w:type="character" w:customStyle="1" w:styleId="37">
    <w:name w:val="批注框文本 Char"/>
    <w:link w:val="17"/>
    <w:semiHidden/>
    <w:qFormat/>
    <w:uiPriority w:val="0"/>
    <w:rPr>
      <w:rFonts w:ascii="Times New Roman" w:hAnsi="Times New Roman" w:eastAsia="宋体"/>
      <w:sz w:val="18"/>
    </w:rPr>
  </w:style>
  <w:style w:type="character" w:customStyle="1" w:styleId="38">
    <w:name w:val="页脚 Char"/>
    <w:link w:val="18"/>
    <w:qFormat/>
    <w:uiPriority w:val="99"/>
    <w:rPr>
      <w:sz w:val="18"/>
    </w:rPr>
  </w:style>
  <w:style w:type="character" w:customStyle="1" w:styleId="39">
    <w:name w:val="页眉 Char"/>
    <w:link w:val="19"/>
    <w:qFormat/>
    <w:uiPriority w:val="0"/>
    <w:rPr>
      <w:sz w:val="18"/>
    </w:rPr>
  </w:style>
  <w:style w:type="character" w:customStyle="1" w:styleId="40">
    <w:name w:val="普通(网站) Char"/>
    <w:link w:val="22"/>
    <w:qFormat/>
    <w:uiPriority w:val="0"/>
    <w:rPr>
      <w:rFonts w:ascii="宋体" w:hAnsi="宋体" w:eastAsia="宋体"/>
      <w:sz w:val="24"/>
    </w:rPr>
  </w:style>
  <w:style w:type="character" w:customStyle="1" w:styleId="41">
    <w:name w:val="批注主题 Char"/>
    <w:link w:val="23"/>
    <w:semiHidden/>
    <w:qFormat/>
    <w:uiPriority w:val="0"/>
    <w:rPr>
      <w:rFonts w:ascii="Times New Roman" w:hAnsi="Times New Roman" w:eastAsia="宋体"/>
      <w:b/>
      <w:kern w:val="2"/>
      <w:sz w:val="24"/>
    </w:rPr>
  </w:style>
  <w:style w:type="character" w:customStyle="1" w:styleId="42">
    <w:name w:val="页脚 字符"/>
    <w:basedOn w:val="27"/>
    <w:qFormat/>
    <w:uiPriority w:val="99"/>
  </w:style>
  <w:style w:type="character" w:customStyle="1" w:styleId="43">
    <w:name w:val="正文文本 字符1"/>
    <w:semiHidden/>
    <w:qFormat/>
    <w:uiPriority w:val="0"/>
    <w:rPr>
      <w:rFonts w:ascii="Times New Roman" w:hAnsi="Times New Roman" w:eastAsia="宋体"/>
      <w:sz w:val="24"/>
    </w:rPr>
  </w:style>
  <w:style w:type="character" w:customStyle="1" w:styleId="44">
    <w:name w:val="表格 Char"/>
    <w:link w:val="45"/>
    <w:qFormat/>
    <w:uiPriority w:val="0"/>
    <w:rPr>
      <w:rFonts w:ascii="宋体"/>
      <w:sz w:val="21"/>
    </w:rPr>
  </w:style>
  <w:style w:type="paragraph" w:customStyle="1" w:styleId="45">
    <w:name w:val="表格"/>
    <w:basedOn w:val="1"/>
    <w:next w:val="1"/>
    <w:link w:val="44"/>
    <w:qFormat/>
    <w:uiPriority w:val="0"/>
    <w:pPr>
      <w:adjustRightInd w:val="0"/>
      <w:snapToGrid w:val="0"/>
      <w:spacing w:beforeLines="10" w:afterLines="10" w:line="259" w:lineRule="auto"/>
      <w:jc w:val="center"/>
    </w:pPr>
    <w:rPr>
      <w:rFonts w:ascii="宋体"/>
      <w:kern w:val="0"/>
      <w:szCs w:val="20"/>
    </w:rPr>
  </w:style>
  <w:style w:type="character" w:customStyle="1" w:styleId="46">
    <w:name w:val="日期 字符"/>
    <w:semiHidden/>
    <w:qFormat/>
    <w:uiPriority w:val="0"/>
    <w:rPr>
      <w:rFonts w:ascii="Times New Roman" w:hAnsi="Times New Roman" w:eastAsia="宋体"/>
      <w:sz w:val="24"/>
    </w:rPr>
  </w:style>
  <w:style w:type="character" w:customStyle="1" w:styleId="47">
    <w:name w:val="批注文字 字符1"/>
    <w:semiHidden/>
    <w:qFormat/>
    <w:uiPriority w:val="0"/>
    <w:rPr>
      <w:rFonts w:ascii="Times New Roman" w:hAnsi="Times New Roman" w:eastAsia="宋体"/>
      <w:sz w:val="24"/>
    </w:rPr>
  </w:style>
  <w:style w:type="paragraph" w:customStyle="1" w:styleId="4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0">
    <w:name w:val="李-正文"/>
    <w:basedOn w:val="1"/>
    <w:qFormat/>
    <w:uiPriority w:val="0"/>
    <w:pPr>
      <w:spacing w:line="360" w:lineRule="auto"/>
      <w:ind w:firstLine="560" w:firstLineChars="200"/>
    </w:pPr>
    <w:rPr>
      <w:rFonts w:ascii="Times New Roman" w:hAnsi="Times New Roman"/>
      <w:sz w:val="24"/>
    </w:rPr>
  </w:style>
  <w:style w:type="paragraph" w:customStyle="1" w:styleId="51">
    <w:name w:val="p0"/>
    <w:basedOn w:val="1"/>
    <w:qFormat/>
    <w:uiPriority w:val="0"/>
    <w:pPr>
      <w:widowControl/>
    </w:pPr>
    <w:rPr>
      <w:kern w:val="0"/>
    </w:rPr>
  </w:style>
  <w:style w:type="character" w:customStyle="1" w:styleId="52">
    <w:name w:val="表文字 Char Char Char Char Char Char"/>
    <w:qFormat/>
    <w:uiPriority w:val="0"/>
    <w:rPr>
      <w:rFonts w:eastAsia="宋体"/>
      <w:kern w:val="2"/>
      <w:sz w:val="21"/>
      <w:szCs w:val="21"/>
      <w:lang w:val="en-US" w:eastAsia="zh-CN" w:bidi="ar-SA"/>
    </w:rPr>
  </w:style>
  <w:style w:type="paragraph" w:customStyle="1" w:styleId="53">
    <w:name w:val="龙正文表格"/>
    <w:basedOn w:val="1"/>
    <w:qFormat/>
    <w:uiPriority w:val="0"/>
    <w:pPr>
      <w:autoSpaceDE w:val="0"/>
      <w:autoSpaceDN w:val="0"/>
      <w:adjustRightInd w:val="0"/>
      <w:jc w:val="center"/>
    </w:pPr>
    <w:rPr>
      <w:rFonts w:hAnsi="宋体"/>
      <w:kern w:val="0"/>
      <w:szCs w:val="21"/>
    </w:rPr>
  </w:style>
  <w:style w:type="paragraph" w:customStyle="1" w:styleId="54">
    <w:name w:val="小标题"/>
    <w:basedOn w:val="55"/>
    <w:qFormat/>
    <w:uiPriority w:val="0"/>
    <w:pPr>
      <w:spacing w:line="480" w:lineRule="exact"/>
      <w:ind w:firstLine="0" w:firstLineChars="0"/>
      <w:jc w:val="left"/>
    </w:pPr>
    <w:rPr>
      <w:rFonts w:eastAsia="宋体"/>
      <w:b/>
      <w:color w:val="000000"/>
      <w:sz w:val="24"/>
    </w:rPr>
  </w:style>
  <w:style w:type="paragraph" w:customStyle="1" w:styleId="55">
    <w:name w:val="List Paragraph"/>
    <w:basedOn w:val="1"/>
    <w:qFormat/>
    <w:uiPriority w:val="99"/>
    <w:pPr>
      <w:ind w:firstLine="420" w:firstLineChars="200"/>
    </w:pPr>
  </w:style>
  <w:style w:type="paragraph" w:customStyle="1" w:styleId="56">
    <w:name w:val="样式 样式 样式 四号 左侧:  1.53 厘米 + 首行缩进:  2 字符 + 居中 左侧:  2 字符 首行缩进:  2..."/>
    <w:basedOn w:val="57"/>
    <w:qFormat/>
    <w:uiPriority w:val="0"/>
    <w:pPr>
      <w:jc w:val="center"/>
    </w:pPr>
  </w:style>
  <w:style w:type="paragraph" w:customStyle="1" w:styleId="57">
    <w:name w:val="样式 样式 四号 左侧:  1.53 厘米 + 首行缩进:  2 字符"/>
    <w:basedOn w:val="58"/>
    <w:qFormat/>
    <w:uiPriority w:val="0"/>
    <w:pPr>
      <w:ind w:left="200" w:leftChars="200"/>
    </w:pPr>
    <w:rPr>
      <w:szCs w:val="20"/>
    </w:rPr>
  </w:style>
  <w:style w:type="paragraph" w:customStyle="1" w:styleId="58">
    <w:name w:val="样式 四号 左侧:  1.53 厘米"/>
    <w:basedOn w:val="1"/>
    <w:qFormat/>
    <w:uiPriority w:val="0"/>
    <w:pPr>
      <w:adjustRightInd w:val="0"/>
    </w:pPr>
    <w:rPr>
      <w:w w:val="90"/>
      <w:sz w:val="28"/>
      <w:szCs w:val="28"/>
    </w:rPr>
  </w:style>
  <w:style w:type="paragraph" w:customStyle="1" w:styleId="59">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60">
    <w:name w:val="表头--兰"/>
    <w:basedOn w:val="61"/>
    <w:qFormat/>
    <w:uiPriority w:val="0"/>
    <w:pPr>
      <w:spacing w:before="40" w:line="360" w:lineRule="auto"/>
      <w:jc w:val="center"/>
    </w:pPr>
    <w:rPr>
      <w:rFonts w:ascii="Times New Roman" w:hAnsi="Times New Roman" w:eastAsia="宋体"/>
      <w:b/>
      <w:color w:val="000000"/>
      <w:sz w:val="24"/>
    </w:rPr>
  </w:style>
  <w:style w:type="paragraph" w:customStyle="1" w:styleId="61">
    <w:name w:val="正文---兰"/>
    <w:basedOn w:val="1"/>
    <w:qFormat/>
    <w:uiPriority w:val="0"/>
    <w:pPr>
      <w:spacing w:line="360" w:lineRule="auto"/>
      <w:ind w:firstLine="200" w:firstLineChars="200"/>
      <w:jc w:val="left"/>
    </w:pPr>
    <w:rPr>
      <w:rFonts w:ascii="Times New Roman" w:hAnsi="Times New Roman" w:eastAsia="宋体"/>
      <w:snapToGrid w:val="0"/>
      <w:kern w:val="0"/>
      <w:sz w:val="24"/>
      <w:szCs w:val="20"/>
    </w:rPr>
  </w:style>
  <w:style w:type="paragraph" w:customStyle="1" w:styleId="62">
    <w:name w:val="表格--兰"/>
    <w:qFormat/>
    <w:uiPriority w:val="0"/>
    <w:pPr>
      <w:spacing w:line="320" w:lineRule="exact"/>
      <w:jc w:val="center"/>
      <w:textAlignment w:val="center"/>
    </w:pPr>
    <w:rPr>
      <w:rFonts w:ascii="Times New Roman" w:hAnsi="Times New Roman" w:eastAsia="宋体" w:cs="Times New Roman"/>
      <w:sz w:val="21"/>
      <w:lang w:val="en-US" w:eastAsia="zh-CN" w:bidi="ar-SA"/>
    </w:rPr>
  </w:style>
  <w:style w:type="paragraph" w:customStyle="1" w:styleId="63">
    <w:name w:val="Table Paragraph"/>
    <w:basedOn w:val="1"/>
    <w:qFormat/>
    <w:uiPriority w:val="1"/>
    <w:pPr>
      <w:autoSpaceDE w:val="0"/>
      <w:autoSpaceDN w:val="0"/>
      <w:jc w:val="center"/>
    </w:pPr>
    <w:rPr>
      <w:rFonts w:ascii="hakuyoxingshu7000" w:hAnsi="hakuyoxingshu7000" w:eastAsia="hakuyoxingshu7000" w:cs="hakuyoxingshu7000"/>
      <w:kern w:val="0"/>
      <w:sz w:val="22"/>
      <w:szCs w:val="20"/>
      <w:lang w:eastAsia="en-US"/>
    </w:rPr>
  </w:style>
  <w:style w:type="table" w:customStyle="1" w:styleId="64">
    <w:name w:val="Table Normal"/>
    <w:unhideWhenUsed/>
    <w:qFormat/>
    <w:uiPriority w:val="0"/>
    <w:rPr>
      <w:rFonts w:ascii="Arial" w:hAnsi="Arial" w:cs="Arial"/>
      <w:lang w:val="en-US" w:eastAsia="zh-CN" w:bidi="ar-SA"/>
    </w:rPr>
    <w:tblPr>
      <w:tblCellMar>
        <w:top w:w="0" w:type="dxa"/>
        <w:left w:w="0" w:type="dxa"/>
        <w:bottom w:w="0" w:type="dxa"/>
        <w:right w:w="0" w:type="dxa"/>
      </w:tblCellMar>
    </w:tblPr>
  </w:style>
  <w:style w:type="paragraph" w:customStyle="1" w:styleId="65">
    <w:name w:val="样式 正文缩进正文缩进2正文缩进 Char Char正文缩进 Char Char Char Char正文缩进 Char ..."/>
    <w:basedOn w:val="11"/>
    <w:qFormat/>
    <w:uiPriority w:val="0"/>
    <w:pPr>
      <w:spacing w:line="360" w:lineRule="auto"/>
      <w:ind w:firstLine="200"/>
    </w:pPr>
    <w:rPr>
      <w:rFonts w:cs="宋体"/>
      <w:sz w:val="24"/>
    </w:rPr>
  </w:style>
  <w:style w:type="paragraph" w:customStyle="1" w:styleId="66">
    <w:name w:val="文章正文"/>
    <w:basedOn w:val="1"/>
    <w:next w:val="1"/>
    <w:qFormat/>
    <w:uiPriority w:val="0"/>
    <w:pPr>
      <w:spacing w:line="440" w:lineRule="exact"/>
      <w:ind w:firstLine="600" w:firstLineChars="200"/>
    </w:pPr>
    <w:rPr>
      <w:kern w:val="0"/>
      <w:sz w:val="24"/>
    </w:rPr>
  </w:style>
  <w:style w:type="table" w:customStyle="1" w:styleId="67">
    <w:name w:val="TableGrid"/>
    <w:basedOn w:val="25"/>
    <w:qFormat/>
    <w:uiPriority w:val="0"/>
    <w:rPr>
      <w:rFonts w:hint="eastAsia" w:ascii="等线" w:hAnsi="等线" w:eastAsia="等线" w:cs="等线"/>
      <w:kern w:val="2"/>
      <w:sz w:val="21"/>
      <w:szCs w:val="22"/>
    </w:rPr>
    <w:tblPr>
      <w:tblCellMar>
        <w:left w:w="0" w:type="dxa"/>
        <w:right w:w="0" w:type="dxa"/>
      </w:tblCellMar>
    </w:tblPr>
  </w:style>
  <w:style w:type="paragraph" w:customStyle="1" w:styleId="68">
    <w:name w:val="样式19"/>
    <w:basedOn w:val="1"/>
    <w:qFormat/>
    <w:uiPriority w:val="0"/>
    <w:pPr>
      <w:spacing w:line="240" w:lineRule="auto"/>
      <w:ind w:firstLine="0" w:firstLineChars="0"/>
    </w:pPr>
    <w:rPr>
      <w:rFonts w:ascii="黑体" w:hAnsi="黑体" w:eastAsia="黑体"/>
      <w:sz w:val="30"/>
      <w:szCs w:val="30"/>
    </w:rPr>
  </w:style>
  <w:style w:type="paragraph" w:customStyle="1" w:styleId="69">
    <w:name w:val="Table Text"/>
    <w:basedOn w:val="1"/>
    <w:semiHidden/>
    <w:qFormat/>
    <w:uiPriority w:val="0"/>
    <w:rPr>
      <w:rFonts w:ascii="宋体" w:hAnsi="宋体" w:eastAsia="宋体" w:cs="宋体"/>
      <w:sz w:val="24"/>
      <w:szCs w:val="24"/>
      <w:lang w:val="en-US" w:eastAsia="en-US" w:bidi="ar-SA"/>
    </w:rPr>
  </w:style>
  <w:style w:type="paragraph" w:customStyle="1" w:styleId="70">
    <w:name w:val="M正文"/>
    <w:basedOn w:val="1"/>
    <w:qFormat/>
    <w:uiPriority w:val="0"/>
    <w:pPr>
      <w:spacing w:line="360" w:lineRule="auto"/>
      <w:ind w:firstLine="200" w:firstLineChars="200"/>
    </w:pPr>
    <w:rPr>
      <w:sz w:val="24"/>
      <w:szCs w:val="21"/>
    </w:rPr>
  </w:style>
  <w:style w:type="paragraph" w:customStyle="1" w:styleId="71">
    <w:name w:val="环评表头"/>
    <w:basedOn w:val="1"/>
    <w:next w:val="1"/>
    <w:qFormat/>
    <w:uiPriority w:val="0"/>
    <w:pPr>
      <w:tabs>
        <w:tab w:val="left" w:pos="1260"/>
        <w:tab w:val="left" w:pos="6327"/>
      </w:tabs>
      <w:spacing w:line="480" w:lineRule="exact"/>
      <w:jc w:val="center"/>
    </w:pPr>
    <w:rPr>
      <w:b/>
      <w:spacing w:val="-6"/>
    </w:rPr>
  </w:style>
  <w:style w:type="paragraph" w:customStyle="1" w:styleId="72">
    <w:name w:val="环评表格文字"/>
    <w:basedOn w:val="1"/>
    <w:next w:val="1"/>
    <w:qFormat/>
    <w:uiPriority w:val="0"/>
    <w:pPr>
      <w:pBdr>
        <w:top w:val="none" w:color="auto" w:sz="0" w:space="1"/>
        <w:left w:val="none" w:color="auto" w:sz="0" w:space="4"/>
        <w:bottom w:val="none" w:color="auto" w:sz="0" w:space="1"/>
        <w:right w:val="none" w:color="auto" w:sz="0" w:space="4"/>
      </w:pBdr>
      <w:tabs>
        <w:tab w:val="left" w:pos="6327"/>
      </w:tabs>
      <w:spacing w:line="240" w:lineRule="exact"/>
      <w:jc w:val="center"/>
    </w:pPr>
    <w:rPr>
      <w:sz w:val="18"/>
    </w:rPr>
  </w:style>
  <w:style w:type="paragraph" w:customStyle="1" w:styleId="73">
    <w:name w:val="新正文"/>
    <w:basedOn w:val="1"/>
    <w:qFormat/>
    <w:uiPriority w:val="0"/>
    <w:pPr>
      <w:topLinePunct/>
      <w:spacing w:line="360" w:lineRule="auto"/>
      <w:ind w:firstLine="200" w:firstLineChars="200"/>
    </w:pPr>
    <w:rPr>
      <w:sz w:val="24"/>
      <w:lang w:val="zh-CN"/>
    </w:rPr>
  </w:style>
  <w:style w:type="paragraph" w:customStyle="1" w:styleId="74">
    <w:name w:val="表格标题"/>
    <w:qFormat/>
    <w:uiPriority w:val="0"/>
    <w:pPr>
      <w:widowControl w:val="0"/>
      <w:numPr>
        <w:ilvl w:val="0"/>
        <w:numId w:val="2"/>
      </w:numPr>
      <w:ind w:left="0" w:firstLine="0"/>
      <w:jc w:val="center"/>
    </w:pPr>
    <w:rPr>
      <w:rFonts w:ascii="Times New Roman" w:hAnsi="Times New Roman" w:eastAsia="宋体" w:cs="Times New Roman"/>
      <w:b/>
      <w:kern w:val="2"/>
      <w:sz w:val="24"/>
      <w:szCs w:val="22"/>
      <w:lang w:val="en-US" w:eastAsia="zh-CN" w:bidi="ar-SA"/>
    </w:rPr>
  </w:style>
  <w:style w:type="paragraph" w:customStyle="1" w:styleId="75">
    <w:name w:val="111111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73.png"/><Relationship Id="rId98" Type="http://schemas.openxmlformats.org/officeDocument/2006/relationships/image" Target="media/image72.png"/><Relationship Id="rId97" Type="http://schemas.openxmlformats.org/officeDocument/2006/relationships/image" Target="media/image71.png"/><Relationship Id="rId96" Type="http://schemas.openxmlformats.org/officeDocument/2006/relationships/image" Target="media/image70.png"/><Relationship Id="rId95" Type="http://schemas.openxmlformats.org/officeDocument/2006/relationships/image" Target="media/image69.png"/><Relationship Id="rId94" Type="http://schemas.openxmlformats.org/officeDocument/2006/relationships/image" Target="media/image68.jpeg"/><Relationship Id="rId93" Type="http://schemas.openxmlformats.org/officeDocument/2006/relationships/image" Target="media/image67.jpeg"/><Relationship Id="rId92" Type="http://schemas.openxmlformats.org/officeDocument/2006/relationships/image" Target="media/image66.jpeg"/><Relationship Id="rId91" Type="http://schemas.openxmlformats.org/officeDocument/2006/relationships/image" Target="media/image65.jpeg"/><Relationship Id="rId90" Type="http://schemas.openxmlformats.org/officeDocument/2006/relationships/image" Target="media/image64.jpeg"/><Relationship Id="rId9" Type="http://schemas.openxmlformats.org/officeDocument/2006/relationships/footer" Target="footer3.xml"/><Relationship Id="rId89" Type="http://schemas.openxmlformats.org/officeDocument/2006/relationships/image" Target="media/image63.jpeg"/><Relationship Id="rId88" Type="http://schemas.openxmlformats.org/officeDocument/2006/relationships/image" Target="media/image62.png"/><Relationship Id="rId87" Type="http://schemas.openxmlformats.org/officeDocument/2006/relationships/image" Target="media/image61.png"/><Relationship Id="rId86" Type="http://schemas.openxmlformats.org/officeDocument/2006/relationships/image" Target="media/image60.jpeg"/><Relationship Id="rId85" Type="http://schemas.openxmlformats.org/officeDocument/2006/relationships/image" Target="media/image59.png"/><Relationship Id="rId84" Type="http://schemas.openxmlformats.org/officeDocument/2006/relationships/image" Target="media/image58.jpeg"/><Relationship Id="rId83" Type="http://schemas.openxmlformats.org/officeDocument/2006/relationships/image" Target="media/image57.png"/><Relationship Id="rId82" Type="http://schemas.openxmlformats.org/officeDocument/2006/relationships/image" Target="media/image56.png"/><Relationship Id="rId81" Type="http://schemas.openxmlformats.org/officeDocument/2006/relationships/image" Target="media/image55.png"/><Relationship Id="rId80" Type="http://schemas.openxmlformats.org/officeDocument/2006/relationships/image" Target="media/image54.png"/><Relationship Id="rId8" Type="http://schemas.openxmlformats.org/officeDocument/2006/relationships/header" Target="header2.xml"/><Relationship Id="rId79" Type="http://schemas.openxmlformats.org/officeDocument/2006/relationships/image" Target="media/image53.png"/><Relationship Id="rId78" Type="http://schemas.openxmlformats.org/officeDocument/2006/relationships/image" Target="media/image52.png"/><Relationship Id="rId77" Type="http://schemas.openxmlformats.org/officeDocument/2006/relationships/image" Target="media/image51.png"/><Relationship Id="rId76" Type="http://schemas.openxmlformats.org/officeDocument/2006/relationships/image" Target="media/image50.jpeg"/><Relationship Id="rId75" Type="http://schemas.openxmlformats.org/officeDocument/2006/relationships/image" Target="media/image49.png"/><Relationship Id="rId74" Type="http://schemas.openxmlformats.org/officeDocument/2006/relationships/image" Target="media/image48.png"/><Relationship Id="rId73" Type="http://schemas.openxmlformats.org/officeDocument/2006/relationships/image" Target="media/image47.png"/><Relationship Id="rId72" Type="http://schemas.openxmlformats.org/officeDocument/2006/relationships/image" Target="media/image46.jpeg"/><Relationship Id="rId71" Type="http://schemas.openxmlformats.org/officeDocument/2006/relationships/image" Target="media/image45.png"/><Relationship Id="rId70" Type="http://schemas.openxmlformats.org/officeDocument/2006/relationships/image" Target="media/image44.png"/><Relationship Id="rId7" Type="http://schemas.openxmlformats.org/officeDocument/2006/relationships/footer" Target="footer2.xml"/><Relationship Id="rId69" Type="http://schemas.openxmlformats.org/officeDocument/2006/relationships/image" Target="media/image43.png"/><Relationship Id="rId68" Type="http://schemas.openxmlformats.org/officeDocument/2006/relationships/image" Target="media/image42.png"/><Relationship Id="rId67" Type="http://schemas.openxmlformats.org/officeDocument/2006/relationships/image" Target="media/image41.jpeg"/><Relationship Id="rId66" Type="http://schemas.openxmlformats.org/officeDocument/2006/relationships/image" Target="media/image40.png"/><Relationship Id="rId65" Type="http://schemas.openxmlformats.org/officeDocument/2006/relationships/image" Target="media/image39.jpeg"/><Relationship Id="rId64" Type="http://schemas.openxmlformats.org/officeDocument/2006/relationships/image" Target="media/image38.jpeg"/><Relationship Id="rId63" Type="http://schemas.openxmlformats.org/officeDocument/2006/relationships/image" Target="media/image37.png"/><Relationship Id="rId62" Type="http://schemas.openxmlformats.org/officeDocument/2006/relationships/image" Target="media/image36.png"/><Relationship Id="rId61" Type="http://schemas.openxmlformats.org/officeDocument/2006/relationships/image" Target="media/image35.png"/><Relationship Id="rId60" Type="http://schemas.openxmlformats.org/officeDocument/2006/relationships/image" Target="media/image34.jpeg"/><Relationship Id="rId6" Type="http://schemas.openxmlformats.org/officeDocument/2006/relationships/footer" Target="footer1.xml"/><Relationship Id="rId59" Type="http://schemas.openxmlformats.org/officeDocument/2006/relationships/image" Target="media/image33.jpeg"/><Relationship Id="rId58" Type="http://schemas.openxmlformats.org/officeDocument/2006/relationships/image" Target="media/image32.png"/><Relationship Id="rId57" Type="http://schemas.openxmlformats.org/officeDocument/2006/relationships/image" Target="media/image31.png"/><Relationship Id="rId56" Type="http://schemas.openxmlformats.org/officeDocument/2006/relationships/image" Target="media/image30.jpe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wmf"/><Relationship Id="rId51" Type="http://schemas.openxmlformats.org/officeDocument/2006/relationships/oleObject" Target="embeddings/oleObject13.bin"/><Relationship Id="rId50" Type="http://schemas.openxmlformats.org/officeDocument/2006/relationships/image" Target="media/image25.wmf"/><Relationship Id="rId5" Type="http://schemas.openxmlformats.org/officeDocument/2006/relationships/header" Target="header1.xml"/><Relationship Id="rId49" Type="http://schemas.openxmlformats.org/officeDocument/2006/relationships/oleObject" Target="embeddings/oleObject12.bin"/><Relationship Id="rId48" Type="http://schemas.openxmlformats.org/officeDocument/2006/relationships/image" Target="media/image24.wmf"/><Relationship Id="rId47" Type="http://schemas.openxmlformats.org/officeDocument/2006/relationships/oleObject" Target="embeddings/oleObject11.bin"/><Relationship Id="rId46" Type="http://schemas.openxmlformats.org/officeDocument/2006/relationships/image" Target="media/image23.wmf"/><Relationship Id="rId45" Type="http://schemas.openxmlformats.org/officeDocument/2006/relationships/oleObject" Target="embeddings/oleObject10.bin"/><Relationship Id="rId44" Type="http://schemas.openxmlformats.org/officeDocument/2006/relationships/image" Target="media/image22.wmf"/><Relationship Id="rId43" Type="http://schemas.openxmlformats.org/officeDocument/2006/relationships/oleObject" Target="embeddings/oleObject9.bin"/><Relationship Id="rId42" Type="http://schemas.openxmlformats.org/officeDocument/2006/relationships/image" Target="media/image21.wmf"/><Relationship Id="rId41" Type="http://schemas.openxmlformats.org/officeDocument/2006/relationships/oleObject" Target="embeddings/oleObject8.bin"/><Relationship Id="rId40" Type="http://schemas.openxmlformats.org/officeDocument/2006/relationships/image" Target="media/image20.wmf"/><Relationship Id="rId4" Type="http://schemas.openxmlformats.org/officeDocument/2006/relationships/endnotes" Target="endnotes.xml"/><Relationship Id="rId39" Type="http://schemas.openxmlformats.org/officeDocument/2006/relationships/oleObject" Target="embeddings/oleObject7.bin"/><Relationship Id="rId38" Type="http://schemas.openxmlformats.org/officeDocument/2006/relationships/image" Target="media/image19.wmf"/><Relationship Id="rId37" Type="http://schemas.openxmlformats.org/officeDocument/2006/relationships/oleObject" Target="embeddings/oleObject6.bin"/><Relationship Id="rId36" Type="http://schemas.openxmlformats.org/officeDocument/2006/relationships/image" Target="media/image18.wmf"/><Relationship Id="rId35" Type="http://schemas.openxmlformats.org/officeDocument/2006/relationships/oleObject" Target="embeddings/oleObject5.bin"/><Relationship Id="rId34" Type="http://schemas.openxmlformats.org/officeDocument/2006/relationships/image" Target="media/image17.wmf"/><Relationship Id="rId33" Type="http://schemas.openxmlformats.org/officeDocument/2006/relationships/oleObject" Target="embeddings/oleObject4.bin"/><Relationship Id="rId32" Type="http://schemas.openxmlformats.org/officeDocument/2006/relationships/image" Target="media/image16.wmf"/><Relationship Id="rId31" Type="http://schemas.openxmlformats.org/officeDocument/2006/relationships/oleObject" Target="embeddings/oleObject3.bin"/><Relationship Id="rId30" Type="http://schemas.openxmlformats.org/officeDocument/2006/relationships/image" Target="media/image15.wmf"/><Relationship Id="rId3" Type="http://schemas.openxmlformats.org/officeDocument/2006/relationships/footnotes" Target="footnotes.xml"/><Relationship Id="rId29" Type="http://schemas.openxmlformats.org/officeDocument/2006/relationships/oleObject" Target="embeddings/oleObject2.bin"/><Relationship Id="rId28" Type="http://schemas.openxmlformats.org/officeDocument/2006/relationships/image" Target="media/image14.wmf"/><Relationship Id="rId27" Type="http://schemas.openxmlformats.org/officeDocument/2006/relationships/oleObject" Target="embeddings/oleObject1.bin"/><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3" Type="http://schemas.openxmlformats.org/officeDocument/2006/relationships/fontTable" Target="fontTable.xml"/><Relationship Id="rId202" Type="http://schemas.openxmlformats.org/officeDocument/2006/relationships/customXml" Target="../customXml/item2.xml"/><Relationship Id="rId201" Type="http://schemas.openxmlformats.org/officeDocument/2006/relationships/numbering" Target="numbering.xml"/><Relationship Id="rId200" Type="http://schemas.openxmlformats.org/officeDocument/2006/relationships/customXml" Target="../customXml/item1.xml"/><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73.png"/><Relationship Id="rId198" Type="http://schemas.openxmlformats.org/officeDocument/2006/relationships/image" Target="media/image172.png"/><Relationship Id="rId197" Type="http://schemas.openxmlformats.org/officeDocument/2006/relationships/image" Target="media/image171.png"/><Relationship Id="rId196" Type="http://schemas.openxmlformats.org/officeDocument/2006/relationships/image" Target="media/image170.png"/><Relationship Id="rId195" Type="http://schemas.openxmlformats.org/officeDocument/2006/relationships/image" Target="media/image169.png"/><Relationship Id="rId194" Type="http://schemas.openxmlformats.org/officeDocument/2006/relationships/image" Target="media/image168.png"/><Relationship Id="rId193" Type="http://schemas.openxmlformats.org/officeDocument/2006/relationships/image" Target="media/image167.png"/><Relationship Id="rId192" Type="http://schemas.openxmlformats.org/officeDocument/2006/relationships/image" Target="media/image166.png"/><Relationship Id="rId191" Type="http://schemas.openxmlformats.org/officeDocument/2006/relationships/image" Target="media/image165.png"/><Relationship Id="rId190" Type="http://schemas.openxmlformats.org/officeDocument/2006/relationships/image" Target="media/image164.png"/><Relationship Id="rId19" Type="http://schemas.openxmlformats.org/officeDocument/2006/relationships/image" Target="media/image6.jpeg"/><Relationship Id="rId189" Type="http://schemas.openxmlformats.org/officeDocument/2006/relationships/image" Target="media/image163.png"/><Relationship Id="rId188" Type="http://schemas.openxmlformats.org/officeDocument/2006/relationships/image" Target="media/image162.png"/><Relationship Id="rId187" Type="http://schemas.openxmlformats.org/officeDocument/2006/relationships/image" Target="media/image161.png"/><Relationship Id="rId186" Type="http://schemas.openxmlformats.org/officeDocument/2006/relationships/image" Target="media/image160.png"/><Relationship Id="rId185" Type="http://schemas.openxmlformats.org/officeDocument/2006/relationships/image" Target="media/image159.png"/><Relationship Id="rId184" Type="http://schemas.openxmlformats.org/officeDocument/2006/relationships/image" Target="media/image158.jpeg"/><Relationship Id="rId183" Type="http://schemas.openxmlformats.org/officeDocument/2006/relationships/image" Target="media/image157.jpeg"/><Relationship Id="rId182" Type="http://schemas.openxmlformats.org/officeDocument/2006/relationships/image" Target="media/image156.jpeg"/><Relationship Id="rId181" Type="http://schemas.openxmlformats.org/officeDocument/2006/relationships/image" Target="media/image155.png"/><Relationship Id="rId180" Type="http://schemas.openxmlformats.org/officeDocument/2006/relationships/image" Target="media/image154.png"/><Relationship Id="rId18" Type="http://schemas.openxmlformats.org/officeDocument/2006/relationships/image" Target="media/image5.png"/><Relationship Id="rId179" Type="http://schemas.openxmlformats.org/officeDocument/2006/relationships/image" Target="media/image153.png"/><Relationship Id="rId178" Type="http://schemas.openxmlformats.org/officeDocument/2006/relationships/image" Target="media/image152.png"/><Relationship Id="rId177" Type="http://schemas.openxmlformats.org/officeDocument/2006/relationships/image" Target="media/image151.png"/><Relationship Id="rId176" Type="http://schemas.openxmlformats.org/officeDocument/2006/relationships/image" Target="media/image150.png"/><Relationship Id="rId175" Type="http://schemas.openxmlformats.org/officeDocument/2006/relationships/image" Target="media/image149.png"/><Relationship Id="rId174" Type="http://schemas.openxmlformats.org/officeDocument/2006/relationships/image" Target="media/image148.jpeg"/><Relationship Id="rId173" Type="http://schemas.openxmlformats.org/officeDocument/2006/relationships/image" Target="media/image147.png"/><Relationship Id="rId172" Type="http://schemas.openxmlformats.org/officeDocument/2006/relationships/image" Target="media/image146.png"/><Relationship Id="rId171" Type="http://schemas.openxmlformats.org/officeDocument/2006/relationships/image" Target="media/image145.png"/><Relationship Id="rId170" Type="http://schemas.openxmlformats.org/officeDocument/2006/relationships/image" Target="media/image144.png"/><Relationship Id="rId17" Type="http://schemas.openxmlformats.org/officeDocument/2006/relationships/image" Target="media/image4.jpeg"/><Relationship Id="rId169" Type="http://schemas.openxmlformats.org/officeDocument/2006/relationships/image" Target="media/image143.png"/><Relationship Id="rId168" Type="http://schemas.openxmlformats.org/officeDocument/2006/relationships/image" Target="media/image142.png"/><Relationship Id="rId167" Type="http://schemas.openxmlformats.org/officeDocument/2006/relationships/image" Target="media/image141.png"/><Relationship Id="rId166" Type="http://schemas.openxmlformats.org/officeDocument/2006/relationships/image" Target="media/image140.png"/><Relationship Id="rId165" Type="http://schemas.openxmlformats.org/officeDocument/2006/relationships/image" Target="media/image139.png"/><Relationship Id="rId164" Type="http://schemas.openxmlformats.org/officeDocument/2006/relationships/image" Target="media/image138.png"/><Relationship Id="rId163" Type="http://schemas.openxmlformats.org/officeDocument/2006/relationships/image" Target="media/image137.png"/><Relationship Id="rId162" Type="http://schemas.openxmlformats.org/officeDocument/2006/relationships/image" Target="media/image136.png"/><Relationship Id="rId161" Type="http://schemas.openxmlformats.org/officeDocument/2006/relationships/image" Target="media/image135.png"/><Relationship Id="rId160" Type="http://schemas.openxmlformats.org/officeDocument/2006/relationships/image" Target="media/image134.png"/><Relationship Id="rId16" Type="http://schemas.openxmlformats.org/officeDocument/2006/relationships/image" Target="media/image3.png"/><Relationship Id="rId159" Type="http://schemas.openxmlformats.org/officeDocument/2006/relationships/image" Target="media/image133.png"/><Relationship Id="rId158" Type="http://schemas.openxmlformats.org/officeDocument/2006/relationships/image" Target="media/image132.png"/><Relationship Id="rId157" Type="http://schemas.openxmlformats.org/officeDocument/2006/relationships/image" Target="media/image131.png"/><Relationship Id="rId156" Type="http://schemas.openxmlformats.org/officeDocument/2006/relationships/image" Target="media/image130.png"/><Relationship Id="rId155" Type="http://schemas.openxmlformats.org/officeDocument/2006/relationships/image" Target="media/image129.png"/><Relationship Id="rId154" Type="http://schemas.openxmlformats.org/officeDocument/2006/relationships/image" Target="media/image128.png"/><Relationship Id="rId153" Type="http://schemas.openxmlformats.org/officeDocument/2006/relationships/image" Target="media/image127.png"/><Relationship Id="rId152" Type="http://schemas.openxmlformats.org/officeDocument/2006/relationships/image" Target="media/image126.png"/><Relationship Id="rId151" Type="http://schemas.openxmlformats.org/officeDocument/2006/relationships/image" Target="media/image125.png"/><Relationship Id="rId150" Type="http://schemas.openxmlformats.org/officeDocument/2006/relationships/image" Target="media/image124.png"/><Relationship Id="rId15" Type="http://schemas.openxmlformats.org/officeDocument/2006/relationships/image" Target="media/image2.png"/><Relationship Id="rId149" Type="http://schemas.openxmlformats.org/officeDocument/2006/relationships/image" Target="media/image123.png"/><Relationship Id="rId148" Type="http://schemas.openxmlformats.org/officeDocument/2006/relationships/image" Target="media/image122.png"/><Relationship Id="rId147" Type="http://schemas.openxmlformats.org/officeDocument/2006/relationships/image" Target="media/image121.png"/><Relationship Id="rId146" Type="http://schemas.openxmlformats.org/officeDocument/2006/relationships/image" Target="media/image120.png"/><Relationship Id="rId145" Type="http://schemas.openxmlformats.org/officeDocument/2006/relationships/image" Target="media/image119.png"/><Relationship Id="rId144" Type="http://schemas.openxmlformats.org/officeDocument/2006/relationships/image" Target="media/image118.png"/><Relationship Id="rId143" Type="http://schemas.openxmlformats.org/officeDocument/2006/relationships/image" Target="media/image117.png"/><Relationship Id="rId142" Type="http://schemas.openxmlformats.org/officeDocument/2006/relationships/image" Target="media/image116.png"/><Relationship Id="rId141" Type="http://schemas.openxmlformats.org/officeDocument/2006/relationships/image" Target="media/image115.png"/><Relationship Id="rId140" Type="http://schemas.openxmlformats.org/officeDocument/2006/relationships/image" Target="media/image114.png"/><Relationship Id="rId14" Type="http://schemas.openxmlformats.org/officeDocument/2006/relationships/image" Target="media/image1.png"/><Relationship Id="rId139" Type="http://schemas.openxmlformats.org/officeDocument/2006/relationships/image" Target="media/image113.png"/><Relationship Id="rId138" Type="http://schemas.openxmlformats.org/officeDocument/2006/relationships/image" Target="media/image112.png"/><Relationship Id="rId137" Type="http://schemas.openxmlformats.org/officeDocument/2006/relationships/image" Target="media/image111.png"/><Relationship Id="rId136" Type="http://schemas.openxmlformats.org/officeDocument/2006/relationships/image" Target="media/image110.png"/><Relationship Id="rId135" Type="http://schemas.openxmlformats.org/officeDocument/2006/relationships/image" Target="media/image109.png"/><Relationship Id="rId134" Type="http://schemas.openxmlformats.org/officeDocument/2006/relationships/image" Target="media/image108.png"/><Relationship Id="rId133" Type="http://schemas.openxmlformats.org/officeDocument/2006/relationships/image" Target="media/image107.png"/><Relationship Id="rId132" Type="http://schemas.openxmlformats.org/officeDocument/2006/relationships/image" Target="media/image106.png"/><Relationship Id="rId131" Type="http://schemas.openxmlformats.org/officeDocument/2006/relationships/image" Target="media/image105.png"/><Relationship Id="rId130" Type="http://schemas.openxmlformats.org/officeDocument/2006/relationships/image" Target="media/image104.png"/><Relationship Id="rId13" Type="http://schemas.openxmlformats.org/officeDocument/2006/relationships/theme" Target="theme/theme1.xml"/><Relationship Id="rId129" Type="http://schemas.openxmlformats.org/officeDocument/2006/relationships/image" Target="media/image103.png"/><Relationship Id="rId128" Type="http://schemas.openxmlformats.org/officeDocument/2006/relationships/image" Target="media/image102.png"/><Relationship Id="rId127" Type="http://schemas.openxmlformats.org/officeDocument/2006/relationships/image" Target="media/image101.png"/><Relationship Id="rId126" Type="http://schemas.openxmlformats.org/officeDocument/2006/relationships/image" Target="media/image100.png"/><Relationship Id="rId125" Type="http://schemas.openxmlformats.org/officeDocument/2006/relationships/image" Target="media/image99.png"/><Relationship Id="rId124" Type="http://schemas.openxmlformats.org/officeDocument/2006/relationships/image" Target="media/image98.png"/><Relationship Id="rId123" Type="http://schemas.openxmlformats.org/officeDocument/2006/relationships/image" Target="media/image97.png"/><Relationship Id="rId122" Type="http://schemas.openxmlformats.org/officeDocument/2006/relationships/image" Target="media/image96.png"/><Relationship Id="rId121" Type="http://schemas.openxmlformats.org/officeDocument/2006/relationships/image" Target="media/image95.png"/><Relationship Id="rId120" Type="http://schemas.openxmlformats.org/officeDocument/2006/relationships/image" Target="media/image94.png"/><Relationship Id="rId12" Type="http://schemas.openxmlformats.org/officeDocument/2006/relationships/footer" Target="footer6.xml"/><Relationship Id="rId119" Type="http://schemas.openxmlformats.org/officeDocument/2006/relationships/image" Target="media/image93.png"/><Relationship Id="rId118" Type="http://schemas.openxmlformats.org/officeDocument/2006/relationships/image" Target="media/image92.png"/><Relationship Id="rId117" Type="http://schemas.openxmlformats.org/officeDocument/2006/relationships/image" Target="media/image91.png"/><Relationship Id="rId116" Type="http://schemas.openxmlformats.org/officeDocument/2006/relationships/image" Target="media/image90.png"/><Relationship Id="rId115" Type="http://schemas.openxmlformats.org/officeDocument/2006/relationships/image" Target="media/image89.png"/><Relationship Id="rId114" Type="http://schemas.openxmlformats.org/officeDocument/2006/relationships/image" Target="media/image88.png"/><Relationship Id="rId113" Type="http://schemas.openxmlformats.org/officeDocument/2006/relationships/image" Target="media/image87.png"/><Relationship Id="rId112" Type="http://schemas.openxmlformats.org/officeDocument/2006/relationships/image" Target="media/image86.png"/><Relationship Id="rId111" Type="http://schemas.openxmlformats.org/officeDocument/2006/relationships/image" Target="media/image85.png"/><Relationship Id="rId110" Type="http://schemas.openxmlformats.org/officeDocument/2006/relationships/image" Target="media/image84.png"/><Relationship Id="rId11" Type="http://schemas.openxmlformats.org/officeDocument/2006/relationships/footer" Target="footer5.xml"/><Relationship Id="rId109" Type="http://schemas.openxmlformats.org/officeDocument/2006/relationships/image" Target="media/image83.png"/><Relationship Id="rId108" Type="http://schemas.openxmlformats.org/officeDocument/2006/relationships/image" Target="media/image82.png"/><Relationship Id="rId107" Type="http://schemas.openxmlformats.org/officeDocument/2006/relationships/image" Target="media/image81.png"/><Relationship Id="rId106" Type="http://schemas.openxmlformats.org/officeDocument/2006/relationships/image" Target="media/image80.png"/><Relationship Id="rId105" Type="http://schemas.openxmlformats.org/officeDocument/2006/relationships/image" Target="media/image79.png"/><Relationship Id="rId104" Type="http://schemas.openxmlformats.org/officeDocument/2006/relationships/image" Target="media/image78.png"/><Relationship Id="rId103" Type="http://schemas.openxmlformats.org/officeDocument/2006/relationships/image" Target="media/image77.png"/><Relationship Id="rId102" Type="http://schemas.openxmlformats.org/officeDocument/2006/relationships/image" Target="media/image76.png"/><Relationship Id="rId101" Type="http://schemas.openxmlformats.org/officeDocument/2006/relationships/image" Target="media/image75.png"/><Relationship Id="rId100" Type="http://schemas.openxmlformats.org/officeDocument/2006/relationships/image" Target="media/image74.png"/><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FZbkJhWWtSU1lXdFlNelE0TXpJeEpUSXlKVE5CSlRkQ0pUSXlhV1FsTWpJbE0wRWxNakpxWW5CYVlrUlNZV3RZTXpRNE16S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2VTNOVWFYVnBjbGxRT1RFNE5UazNKVEl5SlRkRUpUSkRKVGRDSlRJeWJtRnRaU1V5TWlVelFTVXlNaVZGTlNVNU1DVTRSQ1ZGTnlWQk55VkNNQ1V5TWlVeVF5VXlNblI1Y0dVbE1qSWxNMEVsTWpKemRISnBibWNsTWpJbE1rTWxNakoyWVd4MVpTVXlNaVV6UVNVeU1pVXlNaVV5UXlVeU1tTmhkR1ZuYjNKNUpUSXlKVE5CSlRJeVpHVm1ZWFZzZENVeU1pVXlReVV5TW1sa0pUSXlKVE5CSlRJeWFFRk9XRkYxYkdObVZ6STVNamM0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BbE1rTWxNako1SlRJeUpUTkJNQ1V5UXlVeU1uY2xNaklsTTBFbE1qSjNKVEl5SlRKREpUSXlhQ1V5TWlVelFTVXlNbWdsTWpJbE4wUWxNa01sTWpKMFpYaDBKVEl5SlROQkpUSXlKVVUySlRrMkpVSXdKVVU1SlVJeUpUbERKVVUySlVJd0pVSTBOUzQxT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1JTYkVsR2RHUnBVSGt3TlRVek5EZ2xNaklsTTBFbE4wSWxNakpwWkNVeU1pVXpRU1V5TWtSU2JFbEdkR1JwVUhrd05UVXpO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bFJLWTBkQ1JIZGhkVFE1TlRVMU5TVXlNaVUzUkNVeVF5VTNRaVV5TW01aGJXVWxNaklsTTBFbE1qSWxSVFVsT1RBbE9FUWxSVGNsUVRjbFFqQWxNaklsTWtNbE1qSjBlWEJsSlRJeUpUTkJKVEl5YzNSeWFXNW5KVEl5SlRKREpUSXlkbUZzZFdVbE1qSWxNMEVsTWpJbE1qSWxNa01sTWpKallYUmxaMjl5ZVNVeU1pVXpRU1V5TW1SbFptRjFiSFFsTWpJbE1rTWxNakpwWkNVeU1pVXpRU1V5TWtaRFUwZElSRVI0VDA4eU1URTJNa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eE1DVXlReVV5TW5rbE1qSWxNMEV3SlRKREpUSXlkeVV5TWlVelFTVXlNbmN0TWpBbE1qSWxNa01sTWpKb0pUSXlKVE5CSlRJeWFDVXlNaVUzUkNVeVF5VXlNblJsZUhRbE1qSWxNMEVsTWpJbFJUZ2xRa1FsUVVZbFJUWWxRakFsUWpRbFJUVWxPRGdsUWpZbFJUVWxRVFFsT0RjbFJUY2xRak1sUWtJbFJUY2xRa0lsT1V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Ym0xYWVYbFRabUZpT0RNNE5USTNKVEl5SlROQkpUZENKVEl5YVdRbE1qSWxNMEVsTWpKc2JtMWFlWGxUWm1GaU9ETTROVEk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TFJU1ZOb2RtbEVjbTgwTXpVd056QWxNaklsTjBRbE1rTWxOMElsTWpKdVlXMWxKVEl5SlROQkpUSXlKVVUxSlRrd0pUaEVKVVUzSlVFM0pVSXdKVEl5SlRKREpUSXlkSGx3WlNVeU1pVXpRU1V5TW5OMGNtbHVaeVV5TWlVeVF5VXlNblpoYkhWbEpUSXlKVE5CSlRJeUpUSXlKVEpESlRJeVkyRjBaV2R2Y25rbE1qSWxNMEVsTWpKa1pXWmhkV3gwSlRJeUpUSkRKVEl5YVdRbE1qSWxNMEVsTWpKcVdGZFJiM2gzZFdGak1EWTFOVGN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MEpVSkJKVUUzSlVVMUpUZzNKVUpCSlVVM0pVSkJKVUZH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RmxKV1VweWVHNTJaREU1TXpFM055VXlNaVV6UVNVM1FpVXlNbWxrSlRJeUpUTkJKVEl5ZEZsSldVcHllRzUyWkRFNU16RTNO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XbUZCVTNOS1FrRllNekV4TmpBeUpUSXlKVGRFSlRKREpUZENKVEl5Ym1GdFpTVXlNaVV6UVNVeU1pVkZOU1U1TUNVNFJDVkZOeVZCTnlWQ01DVXlNaVV5UXlVeU1uUjVjR1VsTWpJbE0wRWxNakp6ZEhKcGJtY2xNaklsTWtNbE1qSjJZV3gxWlNVeU1pVXpRU1V5TWlVeU1pVXlReVV5TW1OaGRHVm5iM0o1SlRJeUpUTkJKVEl5WkdWbVlYVnNkQ1V5TWlVeVF5VXlNbWxrSlRJeUpUTkJKVEl5YjNacVMzSjFRWFJGWkRjME56UTB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kpUZEVKVEpESlRJeWRHVjRkRUpzYjJOckpUSXlKVE5CSlRWQ0pUZENKVEl5Y0c5emFYUnBiMjRsTWpJbE0wRWxOMElsTWpKNEpUSXlKVE5CTVRBbE1rTWxNako1SlRJeUpUTkJNQ1V5UXlVeU1uY2xNaklsTTBFbE1qSjNMVEl3SlRJeUpUSkRKVEl5YUNVeU1pVXpRU1V5TW1nbE1qSWxOMFFsTWtNbE1qSjBaWGgwSlRJeUpUTkJKVEl5SlVVNEpUZzBKVUl4SlVVM0pVRXhKVGxFSlVVM0pVSXpKVUpDSlVVM0pVSkNKVGx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RMko2VW5GeGMwSldRVEUxTnpNMk1DVXlNaVV6UVNVM1FpVXlNbWxrSlRJeUpUTkJKVEl5UTJKNlVuRnhjMEpXUVRFMU56TTJNQ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TBGT1NtUkJla0YxYVRjeE5qYzNOaVV5TWlVM1JDVXlReVUzUWlVeU1tNWhiV1VsTWpJbE0wRWxNaklsUlRVbE9UQWxPRVFsUlRjbFFUY2xRakFsTWpJbE1rTWxNakowZVhCbEpUSXlKVE5CSlRJeWMzUnlhVzVuSlRJeUpUSkRKVEl5ZG1Gc2RXVWxNaklsTTBFbE1qSWxNaklsTWtNbE1qSmpZWFJsWjI5eWVTVXlNaVV6UVNVeU1tUmxabUYxYkhRbE1qSWxNa01sTWpKcFpDVXlNaVV6UVNVeU1sSjFkMFZ0YVZwUWEwMHlOemczTV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WWxOMFFsTWtNbE1qSjBaWGgwUW14dlkyc2xNaklsTTBFbE5VSWxOMElsTWpKd2IzTnBkR2x2YmlVeU1pVXpRU1UzUWlVeU1uZ2xNaklsTTBFd0pUSkRKVEl5ZVNVeU1pVXpRVEFsTWtNbE1qSjNKVEl5SlROQkpUSXlkeVV5TWlVeVF5VXlNbWdsTWpJbE0wRWxNakpvSlRJeUpUZEVKVEpESlRJeWRHVjRkQ1V5TWlVelFTVXlNaVZGTlNVNE5TVkJPQ1ZGT1NVNE15VkJPQ1ZGT0NVNU1pVkNPQ1ZGTlNVNFJpVTVNU1ZGTmlVNFJDVTVSaVZGT0NVNE1DVTVO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eGhURzVzVFVSVllXYzBNelkxT1RRbE1qSWxNMEVsTjBJbE1qSnBaQ1V5TWlVelFTVXlNbXhoVEc1c1RVUlZZV2MwTXpZMU9UU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XaExWMHB0VG5KV1pURTVPVGcxTWlVeU1pVTNSQ1V5UXlVM1FpVXlNbTVoYldVbE1qSWxNMEVsTWpJbFJUVWxPVEFsT0VRbFJUY2xRVGNsUWpBbE1qSWxNa01sTWpKMGVYQmxKVEl5SlROQkpUSXljM1J5YVc1bkpUSXlKVEpESlRJeWRtRnNkV1VsTWpJbE0wRWxNaklsTWpJbE1rTWxNakpqWVhSbFoyOXllU1V5TWlVelFTVXlNbVJsWm1GMWJIUWxNaklsTWtNbE1qSnBaQ1V5TWlVelFTVXlNbkpwUVVaWWFVaDJVa2d5TkRreE16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1SlRrMEpUZzFKVVUzSlRneUpUZzVKVVUzSlVJekpVSkNKVVUzSlVKQ0pUbE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IzZGhaVkJxZEVOR1pUYzJNVFE0T1NVeU1pVXpRU1UzUWlVeU1tbGtKVEl5SlROQkpUSXliM2RoWlZCcWRFTkdaVGMyTVRRNE9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1RGRkdUVVpQVWtwSk9EWTVOamN5SlRJeUpUZEVKVEpESlRkQ0pUSXlibUZ0WlNVeU1pVXpRU1V5TWlWRk5TVTVNQ1U0UkNWRk55VkJOeVZDTUNVeU1pVXlReVV5TW5SNWNHVWxNaklsTTBFbE1qSnpkSEpwYm1jbE1qSWxNa01sTWpKMllXeDFaU1V5TWlVelFTVXlNaVV5TWlVeVF5VXlNbU5oZEdWbmIzSjVKVEl5SlROQkpUSXlaR1ZtWVhWc2RDVXlNaVV5UXlVeU1tbGtKVEl5SlROQkpUSXlWa1pUZW1kTGJXRkNielkyTWpnM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WxSVGdsT0RRbFFqRWxSVGNsUVRFbFFVSWxSVGNsUWpNbFFrSWxSVGNsUWtJbE9V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lFYTnpSMDlMVGxoSE16Z3pOVGt6SlRJeUpUTkJKVGRDSlRJeWFXUWxNaklsTTBFbE1qSnZRWE56UjA5TFRsaEhNemd6TlRrek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5Sbkp0UjJGRGRuUkROemc1T1RVM0pUSXlKVGRFSlRKREpUZENKVEl5Ym1GdFpTVXlNaVV6UVNVeU1pVkZOU1U1TUNVNFJDVkZOeVZCTnlWQ01DVXlNaVV5UXlVeU1uUjVjR1VsTWpJbE0wRWxNakp6ZEhKcGJtY2xNaklsTWtNbE1qSjJZV3gxWlNVeU1pVXpRU1V5TWlVeU1pVXlReVV5TW1OaGRHVm5iM0o1SlRJeUpUTkJKVEl5WkdWbVlYVnNkQ1V5TWlVeVF5VXlNbWxrSlRJeUpUTkJKVEl5Ym5WVVVWUkRVa0poY2pFNE9UazJ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Y2xRVVVsUVRFbFJUa2xPREVsT1RNbFJUWWxPRVFsT1VZbFJUVWxRVFFsUWpFeExq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mFrUkxWMnBxVDBGWU1ETTVNRGd5SlRJeUpUTkJKVGRDSlRJeWFXUWxNaklsTTBFbE1qSlJha1JMVjJwcVQwRllNRE01TURn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VjMVJMYzNkVVVsUk5PREkzTmpVMkpUSXlKVGRFSlRKREpUZENKVEl5Ym1GdFpTVXlNaVV6UVNVeU1pVkZOU1U1TUNVNFJDVkZOeVZCTnlWQ01DVXlNaVV5UXlVeU1uUjVjR1VsTWpJbE0wRWxNakp6ZEhKcGJtY2xNaklsTWtNbE1qSjJZV3gxWlNVeU1pVXpRU1V5TWlVeU1pVXlReVV5TW1OaGRHVm5iM0o1SlRJeUpUTkJKVEl5WkdWbVlYVnNkQ1V5TWlVeVF5VXlNbWxrSlRJeUpUTkJKVEl5ZVZKMlQwaGpSV2xvU3prNE16TXd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Z2xPVElsUWpnbFJUVWxPRVlsT1RFbE1rSWxSVFlsT0VVbE9USWxSVFlsUWpFbFFURWxSVGNsUVVRbE9Ea2xSVGNsUWtJbFFrTWxSVFVsT1RBbE9EZ2xSVFlsT0VRbE9VWWxSVFVsUVRRbFFqRXpMak1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Ua2RTVldOS1YxZENjRFEwTkRrNE15VXlNaVV6UVNVM1FpVXlNbWxrSlRJeUpUTkJKVEl5VGtkU1ZXTktWMWRDY0RRME5EazRN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lZKc1JFdDJhMk5NWXpreU9UZzBOQ1V5TWlVM1JDVXlReVUzUWlVeU1tNWhiV1VsTWpJbE0wRWxNaklsUlRVbE9UQWxPRVFsUlRjbFFUY2xRakFsTWpJbE1rTWxNakowZVhCbEpUSXlKVE5CSlRJeWMzUnlhVzVuSlRJeUpUSkRKVEl5ZG1Gc2RXVWxNaklsTTBFbE1qSWxNaklsTWtNbE1qSmpZWFJsWjI5eWVTVXlNaVV6UVNVeU1tUmxabUYxYkhRbE1qSWxNa01sTWpKcFpDVXlNaVV6UVNVeU1tbHFTVUpQVVZwdmNrWXhOVFV5T1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VSTFKVGt6SlVVMkpVSXdKVUkwSlVVMkpVSXhKVUV3SlVVMkpUbEJKVGd5SlVVMUpVRkVKVGs0SlVVMUpUa3dKVGhGSlVWR0pVSkRKVGhESlVVMUpVRkZKVGxCSlVVMkpUbERKVGxHSlVVMEpVSkJKVUUwSlVVM0pUazBKVUl4SlVVMkpUbERKVGc1SlVVMkpVSTFKVGt6SlVVMkpVSXdKVUkwSlVVMUpVRTBKVGcwSlVVM0pVSkVKVUZGSlVVNEpVSTFKVGcwSlVVNEpVSTBKVUU0SlVVMUpUaEVKVGsxSlVVMEpVSkVKVGhFSlVVNEpVSkdKVGxDSlVVNEpVRXhKVGhESlVVMUpVRTBKVGcwSlVVM0pVSkVKVUZ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mI5YTc0OGJjLWQxNWEtNGVjZS05OWUzLTJiNDNlY2M2ZTIwMyIKfQo="/>
    </extobj>
    <extobj name="ECB019B1-382A-4266-B25C-5B523AA43C14-2">
      <extobjdata type="ECB019B1-382A-4266-B25C-5B523AA43C14" data="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NckUvd0V3c0hnQTd3eFVKQUFBQUFCSlJVNUVya0pnZ2c9PSIsCgkiVGhlbWUiIDogIiIsCgkiVHlwZSIgOiAiZmxvdyIsCgkiVXNlcklkIiA6ICIyNzU2MTcxNzAiLAoJIlZlcnNpb24iIDogIjEwIgp9Cg=="/>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k1lRVZHZGt4NWRtNTVPVGM1TnpJd0pUSXlKVE5CSlRkQ0pUSXlhV1FsTWpJbE0wRWxNakpNZUVWR2RreDVkbTU1T1RjNU56S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cE5lSE40VDFWQ2IzbzNOamMzTXpnbE1qSWxOMFFsTWtNbE4wSWxNakp1WVcxbEpUSXlKVE5CSlRJeUpVVTFKVGt3SlRoRUpVVTNKVUUzSlVJd0pUSXlKVEpESlRJeWRIbHdaU1V5TWlVelFTVXlNbk4wY21sdVp5VXlNaVV5UXlVeU1uWmhiSFZsSlRJeUpUTkJKVEl5SlRJeUpUSkRKVEl5WTJGMFpXZHZjbmtsTWpJbE0wRWxNakprWldaaGRXeDBKVEl5SlRKREpUSXlhV1FsTWpJbE0wRWxNakpHY0hsNlZIUkhTVWxHTnprek1qW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kwTUhRbE1rWm9KVVUzSlRnM0pUZ3pKVVUzSlRnMUpVRTBKVVU0SlRreUpVSTRKVVUySlVJeEpVSkVKVVU1SlRrMEpUZzFKVVUzSlRneUpUZ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uQlZTMFZtVEU1dFZ6TTBOalUwTUNVeU1pVXpRU1UzUWlVeU1tbGtKVEl5SlROQkpUSXlkbkJWUzBWbVRFNXRWek0wTmpVME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dlZFSm5TSGhMVGxSaU5ETTRNVGt4SlRJeUpUZEVKVEpESlRkQ0pUSXlibUZ0WlNVeU1pVXpRU1V5TWlWRk5TVTVNQ1U0UkNWRk55VkJOeVZDTUNVeU1pVXlReVV5TW5SNWNHVWxNaklsTTBFbE1qSnpkSEpwYm1jbE1qSWxNa01sTWpKMllXeDFaU1V5TWlVelFTVXlNaVV5TWlVeVF5VXlNbU5oZEdWbmIzSjVKVEl5SlROQkpUSXlaR1ZtWVhWc2RDVXlNaVV5UXlVeU1tbGtKVEl5SlROQkpUSXlhSFpQV0VwNFFWVmxZelU1T1RRd05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sQ2MybGpWbFp4ZFVVMk9URXdNekFsTWpJbE0wRWxOMElsTWpKcFpDVXlNaVV6UVNVeU1tbENjMmxqVmxaeGRVVTJPVEV3TXp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VZOVWFGbENkRk5FYWpjME5URTNOU1V5TWlVM1JDVXlReVUzUWlVeU1tNWhiV1VsTWpJbE0wRWxNaklsUlRVbE9UQWxPRVFsUlRjbFFUY2xRakFsTWpJbE1rTWxNakowZVhCbEpUSXlKVE5CSlRJeWMzUnlhVzVuSlRJeUpUSkRKVEl5ZG1Gc2RXVWxNaklsTTBFbE1qSWxNaklsTWtNbE1qSmpZWFJsWjI5eWVTVXlNaVV6UVNVeU1tUmxabUYxYkhRbE1qSWxNa01sTWpKcFpDVXlNaVV6UVNVeU1ubFJZbFZGVVc1cWNITXdPVEU0Tm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YybHhRM2RtY1hsQ1dqa3hNamMxTWlVeU1pVXpRU1UzUWlVeU1tbGtKVEl5SlROQkpUSXlWMmx4UTNkbWNYbENXamt4TWpjMU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WQybEliVlJ4VG5Gc05qQTNOVEV3SlRJeUpUZEVKVEpESlRkQ0pUSXlibUZ0WlNVeU1pVXpRU1V5TWlWRk5TVTVNQ1U0UkNWRk55VkJOeVZDTUNVeU1pVXlReVV5TW5SNWNHVWxNaklsTTBFbE1qSnpkSEpwYm1jbE1qSWxNa01sTWpKMllXeDFaU1V5TWlVelFTVXlNaVV5TWlVeVF5VXlNbU5oZEdWbmIzSjVKVEl5SlROQkpUSXlaR1ZtWVhWc2RDVXlNaVV5UXlVeU1tbGtKVEl5SlROQkpUSXlSVzFZWlVSQmEwSlFRVFUzTkRnd01D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4TUNVeVF5VXlNbmtsTWpJbE0wRXdKVEpESlRJeWR5VXlNaVV6UVNVeU1uY3RNakFsTWpJbE1rTWxNakpvSlRJeUpUTkJKVEl5YUNVeU1pVTNSQ1V5UXlVeU1uUmxlSFFsTWpJbE0wRWxNaklsUlRVbFFqZ2xPRE1sUlRnbFFUSWxPRUlsUlRrbE9Ua2xRVFFsUlRVbFFqQWxPVGdsUlRVbE9Ua2xRVGd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pkbnBRV0ZCeFQwcDBNRGcyTXprNEpUSXlKVE5CSlRkQ0pUSXlhV1FsTWpJbE0wRWxNakp6ZG5wUVdGQnhUMHAwTURnMk16azR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3YUdoNVkySjJRVlJGTlRnNU56RXhKVEl5SlRkRUpUSkRKVGRDSlRJeWJtRnRaU1V5TWlVelFTVXlNaVZGTlNVNU1DVTRSQ1ZGTnlWQk55VkNNQ1V5TWlVeVF5VXlNblI1Y0dVbE1qSWxNMEVsTWpKemRISnBibWNsTWpJbE1rTWxNakoyWVd4MVpTVXlNaVV6UVNVeU1pVXlNaVV5UXlVeU1tTmhkR1ZuYjNKNUpUSXlKVE5CSlRJeVpHVm1ZWFZzZENVeU1pVXlReVV5TW1sa0pUSXlKVE5CSlRJeWNrMXlSbk42WW01Q2NqYzRNVEl6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PQ1U1TWlWQ09DVkZOaVZDTVNWQ1J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MmNtRnBXVk5yU2tRMU1UVTFPRGNsTWpJbE0wRWxOMElsTWpKcFpDVXlNaVV6UVNVeU1sWjJjbUZwV1ZOclNrUTFNVFUxT0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ZHZUWHB5Y1dSc2RFMDJNRFV5TURVbE1qSWxOMFFsTWtNbE4wSWxNakp1WVcxbEpUSXlKVE5CSlRJeUpVVTFKVGt3SlRoRUpVVTNKVUUzSlVJd0pUSXlKVEpESlRJeWRIbHdaU1V5TWlVelFTVXlNbk4wY21sdVp5VXlNaVV5UXlVeU1uWmhiSFZsSlRJeUpUTkJKVEl5SlRJeUpUSkRKVEl5WTJGMFpXZHZjbmtsTWpJbE0wRWxNakprWldaaGRXeDBKVEl5SlRKREpUSXlhV1FsTWpJbE0wRWxNakpYY2tsUllrSllXSHByTmprM01qS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Q1V5UXlVeU1ua2xNaklsTTBFd0pUSkRKVEl5ZHlVeU1pVXpRU1V5TW5jbE1qSWxNa01sTWpKb0pUSXlKVE5CSlRJeWFDVXlNaVUzUkNVeVF5VXlNblJsZUhRbE1qSWxNMEVsTWpJbFJUUWxRa1VsT1VJbFJUY2xPRE1sUVV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JVldwT2FYWnFhSHBvTmpJek9ETTBKVEl5SlROQkpUZENKVEl5YVdRbE1qSWxNMEVsTWpKSVZXcE9hWFpxYUhwb05qSXpPRE0w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VptOURiMkpKU0Zaak5UazBNekk1SlRJeUpUZEVKVEpESlRkQ0pUSXlibUZ0WlNVeU1pVXpRU1V5TWlWRk5TVTVNQ1U0UkNWRk55VkJOeVZDTUNVeU1pVXlReVV5TW5SNWNHVWxNaklsTTBFbE1qSnpkSEpwYm1jbE1qSWxNa01sTWpKMllXeDFaU1V5TWlVelFTVXlNaVV5TWlVeVF5VXlNbU5oZEdWbmIzSjVKVEl5SlROQkpUSXlaR1ZtWVhWc2RDVXlNaVV5UXlVeU1tbGtKVEl5SlROQkpUSXlWbFZhUlZSVlpsWnVRams0TlRrNU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Y2xPRE1sT1VZbFJUWWxRakFsT1RRbFJUTWxPREFsT0RFbFJUVWxPVGtsUVVFbFJUVWxRVE1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UzFObVNuZDJhRnBITVRZMk5EVTVKVEl5SlROQkpUZENKVEl5YVdRbE1qSWxNMEVsTWpKWVMxTm1TbmQyYUZwSE1UWTJORFU1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blVXMW1VRWRGYjJWWk1EY3dORFE0SlRJeUpUZEVKVEpESlRkQ0pUSXlibUZ0WlNVeU1pVXpRU1V5TWlWRk5TVTVNQ1U0UkNWRk55VkJOeVZDTUNVeU1pVXlReVV5TW5SNWNHVWxNaklsTTBFbE1qSnpkSEpwYm1jbE1qSWxNa01sTWpKMllXeDFaU1V5TWlVelFTVXlNaVV5TWlVeVF5VXlNbU5oZEdWbmIzSjVKVEl5SlROQkpUSXlaR1ZtWVhWc2RDVXlNaVV5UXlVeU1tbGtKVEl5SlROQkpUSXlWMGxIVEV4aVQxQlljalkwTkRBeU5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Ra0VsT1VZbFJUVWxPRElsUVVNbFJUVWxPRU1sT1RZbFJUVWxPRGtsT0RJbFJUTWxPREFsT0RFbFJUY2xPRE1sT1VZbFJUWWxRakFsT1RRbFJUTWxPREFsT0RFbFJUVWxPVGtsUVVFbFJUVWxRVE1sUWp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3UTNKWlVYZDJibk5MTkRRMU1qVTVKVEl5SlROQkpUZENKVEl5YVdRbE1qSWxNMEVsTWpKd1EzSlpVWGQyYm5OTE5EUTFNalU1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GVHWlZUMEZPWTNGNU1EUTBPREk0SlRJeUpUZEVKVEpESlRkQ0pUSXlibUZ0WlNVeU1pVXpRU1V5TWlWRk5TVTVNQ1U0UkNWRk55VkJOeVZDTUNVeU1pVXlReVV5TW5SNWNHVWxNaklsTTBFbE1qSnpkSEpwYm1jbE1qSWxNa01sTWpKMllXeDFaU1V5TWlVelFTVXlNaVV5TWlVeVF5VXlNbU5oZEdWbmIzSjVKVEl5SlROQkpUSXlaR1ZtWVhWc2RDVXlNaVV5UXlVeU1tbGtKVEl5SlROQkpUSXliRmRFVEVkUlVVbFVjVEkyT1RRek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1NVNU9TVkJOQ1ZGTlNWQ01DVTVPQ1ZGTnlVNE1TVkNNQ1ZGTXlVNE1DVTRNU1ZGTnlVNE15VTVSaVZGTmlWQ01DVTVOQ1ZGTXlVNE1DVTRNU1ZGTlNVNU9TVkJRU1ZGTlNWQk15VkN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ZExTM3A2Y21aYVRHTTROelk1TVRZbE1qSWxNMEVsTjBJbE1qSnBaQ1V5TWlVelFTVXlNbmRMUzNwNmNtWmFUR000TnpZNU1UW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oyUW1wV2RXdExSR3d6TlRFeE56SWxNaklsTjBRbE1rTWxOMElsTWpKdVlXMWxKVEl5SlROQkpUSXlKVVUxSlRrd0pUaEVKVVUzSlVFM0pVSXdKVEl5SlRKREpUSXlkSGx3WlNVeU1pVXpRU1V5TW5OMGNtbHVaeVV5TWlVeVF5VXlNblpoYkhWbEpUSXlKVE5CSlRJeUpUSXlKVEpESlRJeVkyRjBaV2R2Y25rbE1qSWxNMEVsTWpKa1pXWmhkV3gwSlRJeUpUSkRKVEl5YVdRbE1qSWxNMEVsTWpKRlRXdDNRMVZhWVd4Uk1qa3dPVE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nlVNE1pVTRPU1ZGTmlWQ09DVkJNeVZGTXlVNE1DVTRNU1ZGTlNVNU9TVkJRU1ZGTlNWQk15VkNNQ1ZGTXlVNE1DVTRNU1ZGTnlVNE15VTVSaVZGTmlWQ01DVTVOQ1ZGTXlVNE1DVTRNU1ZGT1NVNU5DVTROU1ZGTnlVNE1pVTRPU1ZGTmlVNFJTVTVNaVZGTmlWQ01TVkJNU1ZGTlNWQ1FTVTVSaV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TnFkMEYzWm1wcVRtbzVOakk1TmpZbE1qSWxNMEVsTjBJbE1qSnBaQ1V5TWlVelFTVXlNbk5xZDBGM1ptcHFUbW81TmpJNU5qW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5TZVZscWVrdGthV2cyTkRZMk5qQWxNaklsTjBRbE1rTWxOMElsTWpKdVlXMWxKVEl5SlROQkpUSXlKVVUxSlRrd0pUaEVKVVUzSlVFM0pVSXdKVEl5SlRKREpUSXlkSGx3WlNVeU1pVXpRU1V5TW5OMGNtbHVaeVV5TWlVeVF5VXlNblpoYkhWbEpUSXlKVE5CSlRJeUpUSXlKVEpESlRJeVkyRjBaV2R2Y25rbE1qSWxNMEVsTWpKa1pXWmhkV3gwSlRJeUpUSkRKVEl5YVdRbE1qSWxNMEVsTWpKUFEybHdTRTEwU2twck9URTBPVEU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jbE9UUWxPVVlsUlRRbFFrRWxRVGNsUlRZbFFqVWxPREVsUlRjbFFUZ2xPRU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nRUSEZSU1hOVFQycGlOek14TnpJMkpUSXlKVE5CSlRkQ0pUSXlhV1FsTWpJbE0wRWxNakp0VEhGUlNYTlRUMnBpTnpNeE56STJ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VEZkVFYwZEZSM2xXT0RnME1qazVKVEl5SlRkRUpUSkRKVGRDSlRJeWJtRnRaU1V5TWlVelFTVXlNaVZGTlNVNU1DVTRSQ1ZGTnlWQk55VkNNQ1V5TWlVeVF5VXlNblI1Y0dVbE1qSWxNMEVsTWpKemRISnBibWNsTWpJbE1rTWxNakoyWVd4MVpTVXlNaVV6UVNVeU1pVXlNaVV5UXlVeU1tTmhkR1ZuYjNKNUpUSXlKVE5CSlRJeVpHVm1ZWFZzZENVeU1pVXlReVV5TW1sa0pUSXlKVE5CSlRJeVEwZEJaR0ZSZFcxV1dqWTRORGMx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UaEZKVGt5SlVVMkpVSXhKVUV4SlVVM0pUaEZKVUZHSlVVNEpUaEJKVGd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R1ZDVFhSWVdFbG9UelkyTnpJMU1TVXlNaVV6UVNVM1FpVXlNbWxrSlRJeUpUTkJKVEl5ZEdWQ1RYUllXRWxvVHpZMk56STFN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UhCRFVFWkdabkZpUkRJNU5qYzJNU1V5TWlVM1JDVXlReVUzUWlVeU1tNWhiV1VsTWpJbE0wRWxNaklsUlRVbE9UQWxPRVFsUlRjbFFUY2xRakFsTWpJbE1rTWxNakowZVhCbEpUSXlKVE5CSlRJeWMzUnlhVzVuSlRJeUpUSkRKVEl5ZG1Gc2RXVWxNaklsTTBFbE1qSWxNaklsTWtNbE1qSmpZWFJsWjI5eWVTVXlNaVV6UVNVeU1tUmxabUYxYkhRbE1qSWxNa01sTWpKcFpDVXlNaVV6UVNVeU1sVlhiV05PVGxKMlVYQTRNelUzTn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PVUlsUWtVbFJUUWxRa1VsT0V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HZVhaVFlraDFSM05NTWpZNU5USXlKVEl5SlROQkpUZENKVEl5YVdRbE1qSWxNMEVsTWpKR2VYWlRZa2gxUjNOTU1qWTVOVEl5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WxYU0VKcVMwTnZjbWM1TnpNMk5UWWxNaklsTjBRbE1rTWxOMElsTWpKdVlXMWxKVEl5SlROQkpUSXlKVVUxSlRrd0pUaEVKVVUzSlVFM0pVSXdKVEl5SlRKREpUSXlkSGx3WlNVeU1pVXpRU1V5TW5OMGNtbHVaeVV5TWlVeVF5VXlNblpoYkhWbEpUSXlKVE5CSlRJeUpUSXlKVEpESlRJeVkyRjBaV2R2Y25rbE1qSWxNMEVsTWpKa1pXWmhkV3gwSlRJeUpUSkRKVEl5YVdRbE1qSWxNMEVsTWpKaVoxUm9TVWRWZGt0cU1URXpORGt5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xSlRoR0pUaERKVVUzSlVFeUpVSXhKVVUySlVJekpUazFKVVU0SlRnMEpVSXhKVVUzSlVFeEpVRk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MxQkVTR04yVTNGSVlqRTBNekV3TnlVeU1pVXpRU1UzUWlVeU1tbGtKVEl5SlROQkpUSXlTMUJFU0dOMlUzRklZakUwTXpFd05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UWEZIWm14SlUwTm1WVFl5TnpBMk5TVXlNaVUzUkNVeVF5VTNRaVV5TW01aGJXVWxNaklsTTBFbE1qSWxSVFVsT1RBbE9FUWxSVGNsUVRjbFFqQWxNaklsTWtNbE1qSjBlWEJsSlRJeUpUTkJKVEl5YzNSeWFXNW5KVEl5SlRKREpUSXlkbUZzZFdVbE1qSWxNMEVsTWpJbE1qSWxNa01sTWpKallYUmxaMjl5ZVNVeU1pVXpRU1V5TW1SbFptRjFiSFFsTWpJbE1rTWxNakpwWkNVeU1pVXpRU1V5TWtaQ2JWaDFhV2xHUzJzME9UVTNOek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VZWFpQU0habmVtZFFPVEV3TWpBd0pUSXlKVE5CSlRkQ0pUSXlhV1FsTWpJbE0wRWxNako1WVhaUFNIWm5lbWRRT1RFd01qQ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NW5iRzFPZVhoM1NFRTBNakE1TlRJbE1qSWxOMFFsTWtNbE4wSWxNakp1WVcxbEpUSXlKVE5CSlRJeUpVVTFKVGt3SlRoRUpVVTNKVUUzSlVJd0pUSXlKVEpESlRJeWRIbHdaU1V5TWlVelFTVXlNbk4wY21sdVp5VXlNaVV5UXlVeU1uWmhiSFZsSlRJeUpUTkJKVEl5SlRJeUpUSkRKVEl5WTJGMFpXZHZjbmtsTWpJbE0wRWxNakprWldaaGRXeDBKVEl5SlRKREpUSXlhV1FsTWpJbE0wRWxNakpqWkVsSGNsZHJUbGhQTVRnMk5UU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mlVM1JDVXlReVV5TW5SbGVIUkNiRzlqYXlVeU1pVXpRU1UxUWlVM1FpVXlNbkJ2YzJsMGFXOXVKVEl5SlROQkpUZENKVEl5ZUNVeU1pVXpRVEV3SlRKREpUSXllU1V5TWlVelFUQWxNa01sTWpKM0pUSXlKVE5CSlRJeWR5MHlNQ1V5TWlVeVF5VXlNbWdsTWpJbE0wRWxNakpvSlRJeUpUZEVKVEpESlRJeWRHVjRkQ1V5TWlVelFTVXlNaVZGTlNWQ1F5VTVOU1ZGT1NWQk15VTRSU1ZGTmlVNVF5VkNR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UlhWbXhOWVU5d2NuWTVOakEwT0RBbE1qSWxNMEVsTjBJbE1qSnBaQ1V5TWlVelFTVXlNa1JYVm14TllVOXdjblk1TmpBME9E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FJYWm1OblQwOXplV3M0T1RnM01qY2xNaklsTjBRbE1rTWxOMElsTWpKdVlXMWxKVEl5SlROQkpUSXlKVVUxSlRrd0pUaEVKVVUzSlVFM0pVSXdKVEl5SlRKREpUSXlkSGx3WlNVeU1pVXpRU1V5TW5OMGNtbHVaeVV5TWlVeVF5VXlNblpoYkhWbEpUSXlKVE5CSlRJeUpUSXlKVEpESlRJeVkyRjBaV2R2Y25rbE1qSWxNMEVsTWpKa1pXWmhkV3gwSlRJeUpUSkRKVEl5YVdRbE1qSWxNMEVsTWpKblFrOWtXR1p6ZVdkU05qZzNNakF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4wUWxNa01sTWpKMFpYaDBRbXh2WTJzbE1qSWxNMEVsTlVJbE4wSWxNakp3YjNOcGRHbHZiaVV5TWlVelFTVTNRaVV5TW5nbE1qSWxNMEV3SlRKREpUSXllU1V5TWlVelFUQWxNa01sTWpKM0pUSXlKVE5CSlRJeWR5VXlNaVV5UXlVeU1tZ2xNaklsTTBFbE1qSm9KVEl5SlRkRUpUSkRKVEl5ZEdWNGRDVXlNaVV6UVNVeU1pVkZOeVU0UlNWQ01DVkZOaVU1UXlVNE9TVkZOaVU0UlNVNU1pVkZOaVZDTUNVNU5DVkZOeVZCUkNVNU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"/>
    </extobj>
  </extobjs>
</s:customData>
</file>

<file path=customXml/item2.xml><?xml version="1.0" encoding="utf-8"?>
<contractReview xmlns="http://schemas.wps.cn/vas-ai-hub/contract-review">
  <reviewItems>
    <reviewItem>
      <errorID>30b8c8df-373c-474a-aae0-33665ed47782</errorID>
      <errorWord>,</errorWord>
      <group>L1_Format</group>
      <groupName>格式问题</groupName>
      <ability>L2_HalfPunc_CN</ability>
      <abilityName>全半角问题</abilityName>
      <candidateList>
        <item>，</item>
      </candidateList>
      <explain>文本全半角错误。</explain>
      <paraID>4BC87E43</paraID>
      <start>41</start>
      <end>42</end>
      <status>unmodified</status>
      <modifiedWord/>
      <trackRevisions>false</trackRevisions>
    </reviewItem>
    <reviewItem>
      <errorID>6f0867fb-fc22-43b2-8489-a63d8bdd1232</errorID>
      <errorWord>低于300万</errorWord>
      <group>L1_Word</group>
      <groupName>字词问题</groupName>
      <ability>L2_Typo</ability>
      <abilityName>字词错误</abilityName>
      <candidateList>
        <item>低于300万元</item>
      </candidateList>
      <explain/>
      <paraID>4BC87E43</paraID>
      <start>112</start>
      <end>118</end>
      <status>unmodified</status>
      <modifiedWord/>
      <trackRevisions>false</trackRevisions>
    </reviewItem>
    <reviewItem>
      <errorID>7c6e7a7b-076b-4b3c-a6c7-2299399c0166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73315EFE</paraID>
      <start>11</start>
      <end>12</end>
      <status>unmodified</status>
      <modifiedWord/>
      <trackRevisions>false</trackRevisions>
    </reviewItem>
    <reviewItem>
      <errorID>2e2fdab9-dbc0-4229-a4cf-9278e802d9cc</errorID>
      <errorWord>&gt;》</errorWord>
      <group>L1_Punc</group>
      <groupName>标点问题</groupName>
      <ability>L2_Punc_CN</ability>
      <abilityName>标点符号问题</abilityName>
      <candidateList>
        <item>》</item>
      </candidateList>
      <explain/>
      <paraID>73315EFE</paraID>
      <start>27</start>
      <end>29</end>
      <status>unmodified</status>
      <modifiedWord/>
      <trackRevisions>false</trackRevisions>
    </reviewItem>
    <reviewItem>
      <errorID>7dba2214-c86a-4944-ae95-4487c8fe9430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235FA63A</paraID>
      <start>215</start>
      <end>216</end>
      <status>unmodified</status>
      <modifiedWord/>
      <trackRevisions>false</trackRevisions>
    </reviewItem>
    <reviewItem>
      <errorID>52b47422-4bcb-4abc-8b8c-22aa0d3ce7ae</errorID>
      <errorWord>&gt;》</errorWord>
      <group>L1_Punc</group>
      <groupName>标点问题</groupName>
      <ability>L2_Punc_CN</ability>
      <abilityName>标点符号问题</abilityName>
      <candidateList>
        <item>》</item>
      </candidateList>
      <explain/>
      <paraID>235FA63A</paraID>
      <start>231</start>
      <end>233</end>
      <status>unmodified</status>
      <modifiedWord/>
      <trackRevisions>false</trackRevisions>
    </reviewItem>
    <reviewItem>
      <errorID>dff46b26-32b7-4bd2-864c-3dfb9f3d0cbb</errorID>
      <errorWord>鄂尔多斯市大气污染防治条例</errorWord>
      <group>L1_Knowledge</group>
      <groupName>知识性问题</groupName>
      <ability>L2_Knowledge</ability>
      <abilityName>其他知识</abilityName>
      <candidateList>
        <item>《鄂尔多斯市大气污染防治条例》</item>
      </candidateList>
      <explain>完整法律法规名称需要加书名号，请注意检查。</explain>
      <paraID>761B02BD</paraID>
      <start>0</start>
      <end>13</end>
      <status>unmodified</status>
      <modifiedWord/>
      <trackRevisions>false</trackRevisions>
    </reviewItem>
    <reviewItem>
      <errorID>78d2dc78-d7df-4ec3-89e7-007eb53e65ec</errorID>
      <errorWord>鄂尔多斯市大气污染防治条例</errorWord>
      <group>L1_Knowledge</group>
      <groupName>知识性问题</groupName>
      <ability>L2_Knowledge</ability>
      <abilityName>其他知识</abilityName>
      <candidateList>
        <item>《鄂尔多斯市大气污染防治条例》</item>
      </candidateList>
      <explain>完整法律法规名称需要加书名号，请注意检查。</explain>
      <paraID>5862617E</paraID>
      <start>0</start>
      <end>15</end>
      <status>modified</status>
      <modifiedWord>《鄂尔多斯市大气污染防治条例》</modifiedWord>
      <trackRevisions>false</trackRevisions>
    </reviewItem>
    <reviewItem>
      <errorID>7230d866-8c80-44d8-907e-1d7203245b58</errorID>
      <errorWord>现有现有</errorWord>
      <group>L1_Word</group>
      <groupName>字词问题</groupName>
      <ability>L2_Typo</ability>
      <abilityName>字词错误</abilityName>
      <candidateList>
        <item>现有</item>
      </candidateList>
      <explain/>
      <paraID>2D625A5A</paraID>
      <start>5</start>
      <end>7</end>
      <status>modified</status>
      <modifiedWord>现有</modifiedWord>
      <trackRevisions>false</trackRevisions>
    </reviewItem>
    <reviewItem>
      <errorID>414469d0-ab81-4a18-bc04-1e9314d4c804</errorID>
      <errorWord>均均</errorWord>
      <group>L1_Word</group>
      <groupName>字词问题</groupName>
      <ability>L2_Typo</ability>
      <abilityName>字词错误</abilityName>
      <candidateList>
        <item>均</item>
      </candidateList>
      <explain/>
      <paraID>4CC94BDF</paraID>
      <start>94</start>
      <end>95</end>
      <status>modified</status>
      <modifiedWord>均</modifiedWord>
      <trackRevisions>false</trackRevisions>
    </reviewItem>
    <reviewItem>
      <errorID>c1ac721b-b254-4c40-aeb3-2fa508d80daa</errorID>
      <errorWord>内</errorWord>
      <group>L1_Word</group>
      <groupName>字词问题</groupName>
      <ability>L2_Typo</ability>
      <abilityName>字词错误</abilityName>
      <candidateList>
        <item>拟</item>
      </candidateList>
      <explain>存在发音相近字词的误用。</explain>
      <paraID>377DA0D6</paraID>
      <start>33</start>
      <end>34</end>
      <status>modified</status>
      <modifiedWord>拟</modifiedWord>
      <trackRevisions>false</trackRevisions>
    </reviewItem>
    <reviewItem>
      <errorID>1f4533d0-9004-401d-b20e-bdadcefddd9f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3E2C3F89</paraID>
      <start>91</start>
      <end>92</end>
      <status>unmodified</status>
      <modifiedWord/>
      <trackRevisions>false</trackRevisions>
    </reviewItem>
    <reviewItem>
      <errorID>e4cb1bf2-227e-431d-b021-b1fc9cf9a504</errorID>
      <errorWord>kw</errorWord>
      <group>L1_Word</group>
      <groupName>字词问题</groupName>
      <ability>L2_Typo</ability>
      <abilityName>字词错误</abilityName>
      <candidateList>
        <item>kW</item>
      </candidateList>
      <explain/>
      <paraID>72D1A467</paraID>
      <start>5</start>
      <end>7</end>
      <status>modified</status>
      <modifiedWord>kW</modifiedWord>
      <trackRevisions>false</trackRevisions>
    </reviewItem>
    <reviewItem>
      <errorID>c42a3830-3136-49e8-9cf5-3bf5c1d39991</errorID>
      <errorWord>，</errorWord>
      <group>L1_Format</group>
      <groupName>格式问题</groupName>
      <ability>L2_HalfPunc_CN</ability>
      <abilityName>全半角问题</abilityName>
      <candidateList>
        <item>, </item>
      </candidateList>
      <explain>文本全半角错误。</explain>
      <paraID>4A3AACB1</paraID>
      <start>7</start>
      <end>8</end>
      <status>unmodified</status>
      <modifiedWord/>
      <trackRevisions>false</trackRevisions>
    </reviewItem>
    <reviewItem>
      <errorID>ad16f650-9e51-40ea-ad91-2cee59d47b74</errorID>
      <errorWord>，</errorWord>
      <group>L1_Format</group>
      <groupName>格式问题</groupName>
      <ability>L2_HalfPunc_CN</ability>
      <abilityName>全半角问题</abilityName>
      <candidateList>
        <item>, </item>
      </candidateList>
      <explain>文本全半角错误。</explain>
      <paraID>61B991FE</paraID>
      <start>7</start>
      <end>8</end>
      <status>unmodified</status>
      <modifiedWord/>
      <trackRevisions>false</trackRevisions>
    </reviewItem>
    <reviewItem>
      <errorID>251a15eb-96a5-400f-bc22-3a38e240d959</errorID>
      <errorWord>（</errorWord>
      <group>L1_Format</group>
      <groupName>格式问题</groupName>
      <ability>L2_HalfPunc_CN</ability>
      <abilityName>全半角问题</abilityName>
      <candidateList>
        <item>(</item>
      </candidateList>
      <explain>文本全半角错误。</explain>
      <paraID>41AB3B4C</paraID>
      <start>0</start>
      <end>1</end>
      <status>unmodified</status>
      <modifiedWord/>
      <trackRevisions>false</trackRevisions>
    </reviewItem>
    <reviewItem>
      <errorID>1d10fce2-6788-4672-921b-76c4b7ef7aba</errorID>
      <errorWord>）</errorWord>
      <group>L1_Format</group>
      <groupName>格式问题</groupName>
      <ability>L2_HalfPunc_CN</ability>
      <abilityName>全半角问题</abilityName>
      <candidateList>
        <item>)</item>
      </candidateList>
      <explain>文本全半角错误。</explain>
      <paraID>41AB3B4C</paraID>
      <start>3</start>
      <end>4</end>
      <status>unmodified</status>
      <modifiedWord/>
      <trackRevisions>false</trackRevisions>
    </reviewItem>
    <reviewItem>
      <errorID>3bd85282-aeb3-4f95-ad7b-e1b0e4e7a57a</errorID>
      <errorWord>II</errorWord>
      <group>L1_Knowledge</group>
      <groupName>知识性问题</groupName>
      <ability>L2_Knowledge</ability>
      <abilityName>其他知识</abilityName>
      <candidateList>
        <item>Ⅱ</item>
      </candidateList>
      <explain>中文环境下罗马数字格式错误。</explain>
      <paraID>1C2F0E3F</paraID>
      <start>8</start>
      <end>10</end>
      <status>unmodified</status>
      <modifiedWord/>
      <trackRevisions>false</trackRevisions>
    </reviewItem>
    <reviewItem>
      <errorID>9409e287-220b-43ca-97ef-1453e14c76b0</errorID>
      <errorWord>见</errorWord>
      <group>L1_Word</group>
      <groupName>字词问题</groupName>
      <ability>L2_Typo</ability>
      <abilityName>字词错误</abilityName>
      <candidateList>
        <item>见下</item>
      </candidateList>
      <explain/>
      <paraID>507D69F5</paraID>
      <start>22</start>
      <end>24</end>
      <status>modified</status>
      <modifiedWord>见下</modifiedWord>
      <trackRevisions>false</trackRevisions>
    </reviewItem>
    <reviewItem>
      <errorID>993ec530-382b-4600-a303-9e8f8b52c778</errorID>
      <errorWord>与</errorWord>
      <group>L1_Word</group>
      <groupName>字词问题</groupName>
      <ability>L2_Typo</ability>
      <abilityName>字词错误</abilityName>
      <candidateList>
        <item>于</item>
      </candidateList>
      <explain>存在发音相同字词的误用。</explain>
      <paraID> 72382CB</paraID>
      <start>5</start>
      <end>6</end>
      <status>modified</status>
      <modifiedWord>于</modifiedWord>
      <trackRevisions>false</trackRevisions>
    </reviewItem>
    <reviewItem>
      <errorID>fbb7936f-9d2d-4ed0-9917-7d64f9dacbd3</errorID>
      <errorWord>（</errorWord>
      <group>L1_Punc</group>
      <groupName>标点问题</groupName>
      <ability>L2_Punc_CN</ability>
      <abilityName>标点符号问题</abilityName>
      <candidateList/>
      <explain>同一形式括号套用。</explain>
      <paraID>63AE9918</paraID>
      <start>9</start>
      <end>10</end>
      <status>unmodified</status>
      <modifiedWord/>
      <trackRevisions>false</trackRevisions>
    </reviewItem>
    <reviewItem>
      <errorID>a4036d21-bddb-432a-b753-4d7bcb755c84</errorID>
      <errorWord>）</errorWord>
      <group>L1_Punc</group>
      <groupName>标点问题</groupName>
      <ability>L2_Punc_CN</ability>
      <abilityName>标点符号问题</abilityName>
      <candidateList/>
      <explain>同一形式括号套用。</explain>
      <paraID>63AE9918</paraID>
      <start>12</start>
      <end>13</end>
      <status>unmodified</status>
      <modifiedWord/>
      <trackRevisions>false</trackRevisions>
    </reviewItem>
    <reviewItem>
      <errorID>4302f86c-e740-4f07-80a4-5882d634a700</errorID>
      <errorWord>富裕</errorWord>
      <group>L1_Word</group>
      <groupName>字词问题</groupName>
      <ability>L2_Typo</ability>
      <abilityName>字词错误</abilityName>
      <candidateList>
        <item>富余</item>
      </candidateList>
      <explain>存在发音相同字词的误用。</explain>
      <paraID>3F1DBFF1</paraID>
      <start>58</start>
      <end>60</end>
      <status>unmodified</status>
      <modifiedWord/>
      <trackRevisions>false</trackRevisions>
    </reviewItem>
    <reviewItem>
      <errorID>c68e81ed-f8df-4c46-91eb-0a92743fea93</errorID>
      <errorWord>即为</errorWord>
      <group>L1_Word</group>
      <groupName>字词问题</groupName>
      <ability>L2_Typo</ability>
      <abilityName>字词错误</abilityName>
      <candidateList>
        <item>即</item>
      </candidateList>
      <explain/>
      <paraID>66AB754D</paraID>
      <start>41</start>
      <end>42</end>
      <status>modified</status>
      <modifiedWord>即</modifiedWord>
      <trackRevisions>false</trackRevisions>
    </reviewItem>
    <reviewItem>
      <errorID>261dc884-a630-425f-a6b1-b4896dc9f459</errorID>
      <errorWord>~</errorWord>
      <group>L1_Format</group>
      <groupName>格式问题</groupName>
      <ability>L2_HalfPunc_CN</ability>
      <abilityName>全半角问题</abilityName>
      <candidateList>
        <item>～</item>
      </candidateList>
      <explain>文本全半角错误。</explain>
      <paraID>6DCC302D</paraID>
      <start>43</start>
      <end>44</end>
      <status>unmodified</status>
      <modifiedWord/>
      <trackRevisions>false</trackRevisions>
    </reviewItem>
    <reviewItem>
      <errorID>2a08fc2a-f856-4182-ab52-93cfec2678ac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144D9A44</paraID>
      <start>0</start>
      <end>2</end>
      <status>unmodified</status>
      <modifiedWord/>
      <trackRevisions>false</trackRevisions>
    </reviewItem>
    <reviewItem>
      <errorID>810aa89d-4619-49ad-9bed-cff2631cb7fd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235DB6D</paraID>
      <start>36</start>
      <end>37</end>
      <status>unmodified</status>
      <modifiedWord/>
      <trackRevisions>false</trackRevisions>
    </reviewItem>
    <reviewItem>
      <errorID>74aab766-de03-4c1d-ac79-59f638533eb2</errorID>
      <errorWord>反应</errorWord>
      <group>L1_Word</group>
      <groupName>字词问题</groupName>
      <ability>L2_Typo</ability>
      <abilityName>字词错误</abilityName>
      <candidateList>
        <item>反映</item>
      </candidateList>
      <explain>反映【词汇用法】1、将客观事物的面貌或者实质表现出来（例：这本书反映了当前社会的一些发展规律。）2、将意见，情况告诉给上级（例：我已经将相关情况反映给了上级部门。）</explain>
      <paraID>22511527</paraID>
      <start>90</start>
      <end>92</end>
      <status>modified</status>
      <modifiedWord>反映</modifiedWord>
      <trackRevisions>false</trackRevisions>
    </reviewItem>
    <reviewItem>
      <errorID>cacea4f2-ec28-43c6-a48b-9b86e8bc0085</errorID>
      <errorWord>（</errorWord>
      <group>L1_Format</group>
      <groupName>格式问题</groupName>
      <ability>L2_HalfPunc_CN</ability>
      <abilityName>全半角问题</abilityName>
      <candidateList>
        <item>(</item>
      </candidateList>
      <explain>文本全半角错误。</explain>
      <paraID>6E2C9FD5</paraID>
      <start>2</start>
      <end>3</end>
      <status>unmodified</status>
      <modifiedWord/>
      <trackRevisions>false</trackRevisions>
    </reviewItem>
    <reviewItem>
      <errorID>b11a85a5-e2f5-4f2a-9e78-2b74308a22a7</errorID>
      <errorWord>）</errorWord>
      <group>L1_Format</group>
      <groupName>格式问题</groupName>
      <ability>L2_HalfPunc_CN</ability>
      <abilityName>全半角问题</abilityName>
      <candidateList>
        <item>)</item>
      </candidateList>
      <explain>文本全半角错误。</explain>
      <paraID>6E2C9FD5</paraID>
      <start>6</start>
      <end>7</end>
      <status>unmodified</status>
      <modifiedWord/>
      <trackRevisions>false</trackRevisions>
    </reviewItem>
    <reviewItem>
      <errorID>028a5f7c-e930-410c-b166-727991239f7e</errorID>
      <errorWord>（</errorWord>
      <group>L1_Punc</group>
      <groupName>标点问题</groupName>
      <ability>L2_Punc_CN</ability>
      <abilityName>标点符号问题</abilityName>
      <candidateList/>
      <explain>同一形式括号套用。</explain>
      <paraID>4399553C</paraID>
      <start>227</start>
      <end>228</end>
      <status>unmodified</status>
      <modifiedWord/>
      <trackRevisions>false</trackRevisions>
    </reviewItem>
    <reviewItem>
      <errorID>f5ce1fe8-7f2a-4eee-b80e-5c33755d648b</errorID>
      <errorWord>（</errorWord>
      <group>L1_Punc</group>
      <groupName>标点问题</groupName>
      <ability>L2_Punc_CN</ability>
      <abilityName>标点符号问题</abilityName>
      <candidateList/>
      <explain>同一形式括号套用。</explain>
      <paraID>1C963215</paraID>
      <start>10</start>
      <end>11</end>
      <status>unmodified</status>
      <modifiedWord/>
      <trackRevisions>false</trackRevisions>
    </reviewItem>
    <reviewItem>
      <errorID>bbabcced-fe6c-47e5-8a3f-06d0aeb7e78b</errorID>
      <errorWord>）</errorWord>
      <group>L1_Punc</group>
      <groupName>标点问题</groupName>
      <ability>L2_Punc_CN</ability>
      <abilityName>标点符号问题</abilityName>
      <candidateList/>
      <explain>同一形式括号套用。</explain>
      <paraID>1C963215</paraID>
      <start>13</start>
      <end>14</end>
      <status>unmodified</status>
      <modifiedWord/>
      <trackRevisions>false</trackRevisions>
    </reviewItem>
    <reviewItem>
      <errorID>f546e1f0-7920-4bfa-9ee5-386444f1a5d0</errorID>
      <errorWord>（</errorWord>
      <group>L1_Format</group>
      <groupName>格式问题</groupName>
      <ability>L2_HalfPunc_CN</ability>
      <abilityName>全半角问题</abilityName>
      <candidateList>
        <item>(</item>
      </candidateList>
      <explain>文本全半角错误。</explain>
      <paraID>4F678A80</paraID>
      <start>2</start>
      <end>3</end>
      <status>unmodified</status>
      <modifiedWord/>
      <trackRevisions>false</trackRevisions>
    </reviewItem>
    <reviewItem>
      <errorID>74f9cc75-beda-41ba-883d-e6f3d5773519</errorID>
      <errorWord>）</errorWord>
      <group>L1_Format</group>
      <groupName>格式问题</groupName>
      <ability>L2_HalfPunc_CN</ability>
      <abilityName>全半角问题</abilityName>
      <candidateList>
        <item>)</item>
      </candidateList>
      <explain>文本全半角错误。</explain>
      <paraID>4F678A80</paraID>
      <start>5</start>
      <end>6</end>
      <status>unmodified</status>
      <modifiedWord/>
      <trackRevisions>false</trackRevisions>
    </reviewItem>
    <reviewItem>
      <errorID>e548baa8-8ee4-4ba4-b696-466e1c5bb610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59CD728C</paraID>
      <start>0</start>
      <end>2</end>
      <status>unmodified</status>
      <modifiedWord/>
      <trackRevisions>false</trackRevisions>
    </reviewItem>
    <reviewItem>
      <errorID>88dd7245-1197-468a-9b0b-665c39c29734</errorID>
      <errorWord>炉炉</errorWord>
      <group>L1_Word</group>
      <groupName>字词问题</groupName>
      <ability>L2_Typo</ability>
      <abilityName>字词错误</abilityName>
      <candidateList>
        <item>炉</item>
      </candidateList>
      <explain/>
      <paraID>46D8B038</paraID>
      <start>24</start>
      <end>25</end>
      <status>modified</status>
      <modifiedWord>炉</modifiedWord>
      <trackRevisions>false</trackRevisions>
    </reviewItem>
    <reviewItem>
      <errorID>442406e8-3990-4315-841d-03be0b087c96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D2F9612</paraID>
      <start>28</start>
      <end>29</end>
      <status>unmodified</status>
      <modifiedWord/>
      <trackRevisions>false</trackRevisions>
    </reviewItem>
    <reviewItem>
      <errorID>fa0ad3c3-f5ec-4c61-8431-cff3a078e96b</errorID>
      <errorWord>过度阶段</errorWord>
      <group>L1_Word</group>
      <groupName>字词问题</groupName>
      <ability>L2_Typo</ability>
      <abilityName>字词错误</abilityName>
      <candidateList>
        <item>过渡阶段</item>
      </candidateList>
      <explain/>
      <paraID> D2F9612</paraID>
      <start>52</start>
      <end>56</end>
      <status>modified</status>
      <modifiedWord>过渡阶段</modifiedWord>
      <trackRevisions>false</trackRevisions>
    </reviewItem>
    <reviewItem>
      <errorID>ed43cdab-3b50-405c-8f36-77e723b74d04</errorID>
      <errorWord>》（试行）</errorWord>
      <group>L1_Word</group>
      <groupName>字词问题</groupName>
      <ability>L2_Typo</ability>
      <abilityName>字词错误</abilityName>
      <candidateList>
        <item>（试行）》</item>
      </candidateList>
      <explain/>
      <paraID>21B93FEF</paraID>
      <start>27</start>
      <end>32</end>
      <status>unmodified</status>
      <modifiedWord/>
      <trackRevisions>false</trackRevisions>
    </reviewItem>
    <reviewItem>
      <errorID>a6f6231c-ea76-4b5b-bc89-adbbe4c14cdc</errorID>
      <errorWord>》（试行）</errorWord>
      <group>L1_Word</group>
      <groupName>字词问题</groupName>
      <ability>L2_Typo</ability>
      <abilityName>字词错误</abilityName>
      <candidateList>
        <item>（试行）》</item>
      </candidateList>
      <explain/>
      <paraID>62C95667</paraID>
      <start>27</start>
      <end>32</end>
      <status>unmodified</status>
      <modifiedWord/>
      <trackRevisions>false</trackRevisions>
    </reviewItem>
    <reviewItem>
      <errorID>fe78bc39-426d-44a1-846f-51c4f7d9280a</errorID>
      <errorWord>项目在</errorWord>
      <group>L1_Word</group>
      <groupName>字词问题</groupName>
      <ability>L2_Typo</ability>
      <abilityName>字词错误</abilityName>
      <candidateList>
        <item>项目</item>
      </candidateList>
      <explain/>
      <paraID>7BA07ADB</paraID>
      <start>147</start>
      <end>149</end>
      <status>modified</status>
      <modifiedWord>项目</modifiedWord>
      <trackRevisions>false</trackRevisions>
    </reviewItem>
    <reviewItem>
      <errorID>48ed655d-8353-4909-bdeb-1bf5186e469e</errorID>
      <errorWord>《建设项目环境影响报告表编制技术指南》（试行）</errorWord>
      <group>L1_Knowledge</group>
      <groupName>知识性问题</groupName>
      <ability>L2_Knowledge</ability>
      <abilityName>其他知识</abilityName>
      <candidateList>
        <item>《建设项目环境影响报告表编制技术指南（试行）》</item>
      </candidateList>
      <explain>疑似政策文件、法律法规名称等书写不规范，请注意检查。</explain>
      <paraID> CCD4540</paraID>
      <start>30</start>
      <end>53</end>
      <status>unmodified</status>
      <modifiedWord/>
      <trackRevisions>false</trackRevisions>
    </reviewItem>
    <reviewItem>
      <errorID>9da03799-ffe0-4b5f-8c55-0534f8d7fa60</errorID>
      <errorWord>过度阶段</errorWord>
      <group>L1_Word</group>
      <groupName>字词问题</groupName>
      <ability>L2_Typo</ability>
      <abilityName>字词错误</abilityName>
      <candidateList>
        <item>过渡阶段</item>
      </candidateList>
      <explain/>
      <paraID> C6FE9A2</paraID>
      <start>23</start>
      <end>27</end>
      <status>modified</status>
      <modifiedWord>过渡阶段</modifiedWord>
      <trackRevisions>false</trackRevisions>
    </reviewItem>
    <reviewItem>
      <errorID>96677f89-6401-48bb-8291-4b483f058465</errorID>
      <errorWord>（</errorWord>
      <group>L1_Format</group>
      <groupName>格式问题</groupName>
      <ability>L2_HalfPunc_CN</ability>
      <abilityName>全半角问题</abilityName>
      <candidateList>
        <item>(</item>
      </candidateList>
      <explain>文本全半角错误。</explain>
      <paraID>5BE4BBF3</paraID>
      <start>4</start>
      <end>5</end>
      <status>unmodified</status>
      <modifiedWord/>
      <trackRevisions>false</trackRevisions>
    </reviewItem>
    <reviewItem>
      <errorID>bc30c49f-3f7a-4a8a-ac6c-7f398e489cf6</errorID>
      <errorWord>）</errorWord>
      <group>L1_Format</group>
      <groupName>格式问题</groupName>
      <ability>L2_HalfPunc_CN</ability>
      <abilityName>全半角问题</abilityName>
      <candidateList>
        <item>)</item>
      </candidateList>
      <explain>文本全半角错误。</explain>
      <paraID>5BE4BBF3</paraID>
      <start>6</start>
      <end>7</end>
      <status>unmodified</status>
      <modifiedWord/>
      <trackRevisions>false</trackRevisions>
    </reviewItem>
    <reviewItem>
      <errorID>f1760081-3d32-40b0-b5f3-8b05675991e3</errorID>
      <errorWord>（</errorWord>
      <group>L1_Format</group>
      <groupName>格式问题</groupName>
      <ability>L2_HalfPunc_CN</ability>
      <abilityName>全半角问题</abilityName>
      <candidateList>
        <item>(</item>
      </candidateList>
      <explain>文本全半角错误。</explain>
      <paraID>575FAA4A</paraID>
      <start>4</start>
      <end>5</end>
      <status>unmodified</status>
      <modifiedWord/>
      <trackRevisions>false</trackRevisions>
    </reviewItem>
    <reviewItem>
      <errorID>fbded9b9-85c5-41ab-bfde-e7e233616d9d</errorID>
      <errorWord>）</errorWord>
      <group>L1_Format</group>
      <groupName>格式问题</groupName>
      <ability>L2_HalfPunc_CN</ability>
      <abilityName>全半角问题</abilityName>
      <candidateList>
        <item>)</item>
      </candidateList>
      <explain>文本全半角错误。</explain>
      <paraID>575FAA4A</paraID>
      <start>6</start>
      <end>7</end>
      <status>unmodified</status>
      <modifiedWord/>
      <trackRevisions>false</trackRevisions>
    </reviewItem>
    <reviewItem>
      <errorID>ce63aa78-7cfd-469c-873d-1d4f750247ad</errorID>
      <errorWord>（</errorWord>
      <group>L1_Format</group>
      <groupName>格式问题</groupName>
      <ability>L2_HalfPunc_CN</ability>
      <abilityName>全半角问题</abilityName>
      <candidateList>
        <item>(</item>
      </candidateList>
      <explain>文本全半角错误。</explain>
      <paraID>683D29E8</paraID>
      <start>4</start>
      <end>5</end>
      <status>unmodified</status>
      <modifiedWord/>
      <trackRevisions>false</trackRevisions>
    </reviewItem>
    <reviewItem>
      <errorID>e2fef2ab-d4f1-43df-98ed-224d3e641c42</errorID>
      <errorWord>）</errorWord>
      <group>L1_Format</group>
      <groupName>格式问题</groupName>
      <ability>L2_HalfPunc_CN</ability>
      <abilityName>全半角问题</abilityName>
      <candidateList>
        <item>)</item>
      </candidateList>
      <explain>文本全半角错误。</explain>
      <paraID>683D29E8</paraID>
      <start>6</start>
      <end>7</end>
      <status>unmodified</status>
      <modifiedWord/>
      <trackRevisions>false</trackRevisions>
    </reviewItem>
    <reviewItem>
      <errorID>777caa0b-e15f-4546-b142-25d7562bd194</errorID>
      <errorWord>（</errorWord>
      <group>L1_Format</group>
      <groupName>格式问题</groupName>
      <ability>L2_HalfPunc_CN</ability>
      <abilityName>全半角问题</abilityName>
      <candidateList>
        <item>(</item>
      </candidateList>
      <explain>文本全半角错误。</explain>
      <paraID>2A697AB9</paraID>
      <start>4</start>
      <end>5</end>
      <status>unmodified</status>
      <modifiedWord/>
      <trackRevisions>false</trackRevisions>
    </reviewItem>
    <reviewItem>
      <errorID>d28898b4-0118-4f63-b138-6c861ed11259</errorID>
      <errorWord>）</errorWord>
      <group>L1_Format</group>
      <groupName>格式问题</groupName>
      <ability>L2_HalfPunc_CN</ability>
      <abilityName>全半角问题</abilityName>
      <candidateList>
        <item>)</item>
      </candidateList>
      <explain>文本全半角错误。</explain>
      <paraID>2A697AB9</paraID>
      <start>6</start>
      <end>7</end>
      <status>unmodified</status>
      <modifiedWord/>
      <trackRevisions>false</trackRevisions>
    </reviewItem>
    <reviewItem>
      <errorID>4e42cb0f-a5e3-44ab-8ddc-95fca9030a10</errorID>
      <errorWord>吸音</errorWord>
      <group>L1_Word</group>
      <groupName>字词问题</groupName>
      <ability>L2_Typo</ability>
      <abilityName>字词错误</abilityName>
      <candidateList>
        <item>吸声</item>
      </candidateList>
      <explain/>
      <paraID>1B571DBF</paraID>
      <start>75</start>
      <end>77</end>
      <status>modified</status>
      <modifiedWord>吸声</modifiedWord>
      <trackRevisions>false</trackRevisions>
    </reviewItem>
    <reviewItem>
      <errorID>96774b1c-4095-4455-b2ee-cb6353487128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2C2E8151</paraID>
      <start>100</start>
      <end>101</end>
      <status>unmodified</status>
      <modifiedWord/>
      <trackRevisions>false</trackRevisions>
    </reviewItem>
    <reviewItem>
      <errorID>37c254f6-4b33-4e61-b0fe-b4120b827478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2C2E8151</paraID>
      <start>110</start>
      <end>111</end>
      <status>unmodified</status>
      <modifiedWord/>
      <trackRevisions>false</trackRevisions>
    </reviewItem>
    <reviewItem>
      <errorID>67107aab-a8ea-4a38-8f81-aa82b6adc8ee</errorID>
      <errorWord>99%~99.99%</errorWord>
      <group>L1_Knowledge</group>
      <groupName>知识性问题</groupName>
      <ability>L2_Knowledge</ability>
      <abilityName>其他知识</abilityName>
      <candidateList>
        <item>99%～99.99%</item>
      </candidateList>
      <explain>1. “99%~99.99%”中的单位“%”仅出现在后一个数字上，容易引起歧义；根据《现代汉语标点符号数字用法规范手册》，数字表示范围两边需要使用统一的格式。2. 根据标点国标 4.13 中的规则，数字、时间或地域连接符应使用（视觉上更长的）“—”或“～”。</explain>
      <paraID>57B23BC8</paraID>
      <start>56</start>
      <end>66</end>
      <status>unmodified</status>
      <modifiedWord/>
      <trackRevisions>false</trackRevisions>
    </reviewItem>
    <reviewItem>
      <errorID>8ca5b0ba-9a8a-4f57-a85c-ea325d4f63f2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C1A30FF</paraID>
      <start>95</start>
      <end>96</end>
      <status>unmodified</status>
      <modifiedWord/>
      <trackRevisions>false</trackRevisions>
    </reviewItem>
    <reviewItem>
      <errorID>a1340dfe-3402-440e-91e4-51bc9cda02bd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C1A30FF</paraID>
      <start>98</start>
      <end>99</end>
      <status>unmodified</status>
      <modifiedWord/>
      <trackRevisions>false</trackRevisions>
    </reviewItem>
    <reviewItem>
      <errorID>51cb0f81-62bd-42bb-8b33-cde926cb3ff0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C1A30FF</paraID>
      <start>101</start>
      <end>102</end>
      <status>unmodified</status>
      <modifiedWord/>
      <trackRevisions>false</trackRevisions>
    </reviewItem>
    <reviewItem>
      <errorID>3f5faef7-87fc-4cc7-8e33-72b84b4bdbee</errorID>
      <errorWord>（</errorWord>
      <group>L1_Format</group>
      <groupName>格式问题</groupName>
      <ability>L2_HalfPunc_CN</ability>
      <abilityName>全半角问题</abilityName>
      <candidateList>
        <item>(</item>
      </candidateList>
      <explain>文本全半角错误。</explain>
      <paraID>6790847B</paraID>
      <start>4</start>
      <end>5</end>
      <status>unmodified</status>
      <modifiedWord/>
      <trackRevisions>false</trackRevisions>
    </reviewItem>
    <reviewItem>
      <errorID>fbf83591-13b8-4fd8-a241-394ed8531319</errorID>
      <errorWord>（</errorWord>
      <group>L1_Punc</group>
      <groupName>标点问题</groupName>
      <ability>L2_Punc_CN</ability>
      <abilityName>标点符号问题</abilityName>
      <candidateList/>
      <explain>同一形式括号套用。</explain>
      <paraID>6790847B</paraID>
      <start>7</start>
      <end>8</end>
      <status>unmodified</status>
      <modifiedWord/>
      <trackRevisions>false</trackRevisions>
    </reviewItem>
    <reviewItem>
      <errorID>c3ca4c82-fc21-4dde-ae39-7c151c5c4e80</errorID>
      <errorWord>）</errorWord>
      <group>L1_Punc</group>
      <groupName>标点问题</groupName>
      <ability>L2_Punc_CN</ability>
      <abilityName>标点符号问题</abilityName>
      <candidateList/>
      <explain>同一形式括号套用。</explain>
      <paraID>6790847B</paraID>
      <start>9</start>
      <end>10</end>
      <status>unmodified</status>
      <modifiedWord/>
      <trackRevisions>false</trackRevisions>
    </reviewItem>
    <reviewItem>
      <errorID>58ba8c53-cdec-4af6-80d5-b5aa12a9934b</errorID>
      <errorWord>；</errorWord>
      <group>L1_Punc</group>
      <groupName>标点问题</groupName>
      <ability>L2_Punc_CN</ability>
      <abilityName>标点符号问题</abilityName>
      <candidateList/>
      <explain/>
      <paraID>5C3225D5</paraID>
      <start>25</start>
      <end>26</end>
      <status>unmodified</status>
      <modifiedWord/>
      <trackRevisions>false</trackRevisions>
    </reviewItem>
    <reviewItem>
      <errorID>a2d456d4-5913-4d2d-b4f3-53eb43566910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39BD436E</paraID>
      <start>0</start>
      <end>2</end>
      <status>unmodified</status>
      <modifiedWord/>
      <trackRevisions>false</trackRevisions>
    </reviewItem>
    <reviewItem>
      <errorID>09660c30-a858-42db-8f9c-4439ae7c33e2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5B8D84AE</paraID>
      <start>0</start>
      <end>2</end>
      <status>unmodified</status>
      <modifiedWord/>
      <trackRevisions>false</trackRevisions>
    </reviewItem>
    <reviewItem>
      <errorID>dd298926-8f8e-45fc-ac93-f95f612dae5c</errorID>
      <errorWord>泄露</errorWord>
      <group>L1_Word</group>
      <groupName>字词问题</groupName>
      <ability>L2_Typo</ability>
      <abilityName>字词错误</abilityName>
      <candidateList>
        <item>泄漏</item>
      </candidateList>
      <explain/>
      <paraID>1B629E12</paraID>
      <start>60</start>
      <end>62</end>
      <status>unmodified</status>
      <modifiedWord/>
      <trackRevisions>false</trackRevisions>
    </reviewItem>
    <reviewItem>
      <errorID>4560a0fa-2554-4cf7-830d-94145f8cf36d</errorID>
      <errorWord>法律、法规，严格</errorWord>
      <group>L1_Word</group>
      <groupName>字词问题</groupName>
      <ability>L2_Typo</ability>
      <abilityName>字词错误</abilityName>
      <candidateList>
        <item>法律法规，严格</item>
      </candidateList>
      <explain/>
      <paraID>7BABF056</paraID>
      <start>93</start>
      <end>101</end>
      <status>unmodified</status>
      <modifiedWord/>
      <trackRevisions>false</trackRevisions>
    </reviewItem>
    <reviewItem>
      <errorID>a02138c0-0d01-437c-83b3-c8770c73a6c4</errorID>
      <errorWord>位于整个选煤厂的位置</errorWord>
      <group>L1_Grammar</group>
      <groupName>语法问题</groupName>
      <ability>L2_Grammar</ability>
      <abilityName>语法错误</abilityName>
      <candidateList>
        <item>位于整个选煤厂</item>
      </candidateList>
      <explain>该表达中的“位于整个选煤厂的位置”存在语义重复。</explain>
      <paraID>654B903A</paraID>
      <start>5</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def8b7-a990-43e9-8629-3dba8f9dda96}">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219</Pages>
  <Words>45</Words>
  <Characters>45</Characters>
  <Lines>13</Lines>
  <Paragraphs>3</Paragraphs>
  <TotalTime>70</TotalTime>
  <ScaleCrop>false</ScaleCrop>
  <LinksUpToDate>false</LinksUpToDate>
  <CharactersWithSpaces>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WPS_1535080285</cp:lastModifiedBy>
  <cp:lastPrinted>2026-07-08T07:39:00Z</cp:lastPrinted>
  <dcterms:modified xsi:type="dcterms:W3CDTF">2026-09-01T08:13:45Z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86A2D47A5AB84E00A3931E7BFB0296B2_13</vt:lpwstr>
  </property>
  <property fmtid="{D5CDD505-2E9C-101B-9397-08002B2CF9AE}" pid="4" name="KSOTemplateDocerSaveRecord">
    <vt:lpwstr>eyJoZGlkIjoiMTk2OTI4YmMxMzc2MjEzYjIzZmVmZjM5OTliMjZkZjEiLCJ1c2VySWQiOiIzOTczOTY3MjYifQ==</vt:lpwstr>
  </property>
</Properties>
</file>