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A504D">
      <w:pPr>
        <w:keepNext w:val="0"/>
        <w:keepLines w:val="0"/>
        <w:pageBreakBefore w:val="0"/>
        <w:widowControl w:val="0"/>
        <w:tabs>
          <w:tab w:val="left" w:pos="2562"/>
        </w:tabs>
        <w:kinsoku/>
        <w:wordWrap/>
        <w:overflowPunct/>
        <w:topLinePunct w:val="0"/>
        <w:autoSpaceDE/>
        <w:autoSpaceDN/>
        <w:bidi w:val="0"/>
        <w:adjustRightInd/>
        <w:snapToGrid/>
        <w:spacing w:before="5460" w:beforeLines="1750" w:after="0" w:afterLines="0" w:line="578" w:lineRule="exact"/>
        <w:ind w:left="0" w:leftChars="0" w:right="0" w:rightChars="0" w:firstLine="0" w:firstLineChars="0"/>
        <w:jc w:val="center"/>
        <w:textAlignment w:val="auto"/>
        <w:outlineLvl w:val="9"/>
        <w:rPr>
          <w:rFonts w:hint="eastAsia" w:ascii="仿宋" w:hAnsi="仿宋" w:eastAsia="仿宋"/>
          <w:color w:val="auto"/>
          <w:sz w:val="32"/>
          <w:szCs w:val="32"/>
        </w:rPr>
      </w:pPr>
      <w:r>
        <w:rPr>
          <w:rFonts w:hint="eastAsia" w:ascii="仿宋_GB2312" w:hAnsi="仿宋_GB2312" w:eastAsia="仿宋_GB2312" w:cs="仿宋_GB2312"/>
          <w:color w:val="auto"/>
          <w:sz w:val="32"/>
          <w:szCs w:val="32"/>
          <w:lang w:eastAsia="zh-CN"/>
        </w:rPr>
        <w:t>鄂环准审字</w:t>
      </w:r>
      <w:r>
        <w:rPr>
          <w:rFonts w:hint="eastAsia" w:ascii="仿宋_GB2312" w:hAnsi="仿宋_GB2312" w:eastAsia="仿宋_GB2312" w:cs="仿宋_GB2312"/>
          <w:color w:val="auto"/>
          <w:sz w:val="32"/>
          <w:szCs w:val="32"/>
          <w:highlight w:val="none"/>
        </w:rPr>
        <w:t>〔20</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w:t>
      </w:r>
      <w:r>
        <w:rPr>
          <w:rFonts w:hint="eastAsia" w:ascii="仿宋_GB2312" w:hAnsi="仿宋_GB2312" w:cs="仿宋_GB2312"/>
          <w:color w:val="auto"/>
          <w:sz w:val="32"/>
          <w:szCs w:val="32"/>
          <w:highlight w:val="none"/>
          <w:lang w:val="en-US" w:eastAsia="zh-CN"/>
        </w:rPr>
        <w:t>22</w:t>
      </w:r>
      <w:r>
        <w:rPr>
          <w:rFonts w:hint="eastAsia" w:ascii="仿宋_GB2312" w:hAnsi="仿宋_GB2312" w:eastAsia="仿宋_GB2312" w:cs="仿宋_GB2312"/>
          <w:color w:val="auto"/>
          <w:sz w:val="32"/>
          <w:szCs w:val="32"/>
          <w:highlight w:val="none"/>
        </w:rPr>
        <w:t>号</w:t>
      </w:r>
    </w:p>
    <w:p w14:paraId="2F53953D">
      <w:pPr>
        <w:keepNext w:val="0"/>
        <w:keepLines w:val="0"/>
        <w:pageBreakBefore w:val="0"/>
        <w:widowControl w:val="0"/>
        <w:kinsoku/>
        <w:wordWrap/>
        <w:overflowPunct/>
        <w:topLinePunct w:val="0"/>
        <w:autoSpaceDE/>
        <w:autoSpaceDN/>
        <w:bidi w:val="0"/>
        <w:adjustRightInd/>
        <w:snapToGrid/>
        <w:spacing w:before="875" w:beforeLines="280" w:beforeAutospacing="0" w:afterAutospacing="0" w:line="578" w:lineRule="exact"/>
        <w:jc w:val="center"/>
        <w:textAlignment w:val="auto"/>
        <w:rPr>
          <w:rFonts w:hint="eastAsia" w:ascii="方正小标宋简体" w:hAnsi="仿宋" w:eastAsia="方正小标宋简体" w:cs="Times New Roman"/>
          <w:color w:val="auto"/>
          <w:spacing w:val="0"/>
          <w:sz w:val="44"/>
          <w:szCs w:val="44"/>
          <w:highlight w:val="none"/>
          <w:lang w:val="en-US" w:eastAsia="zh-CN"/>
        </w:rPr>
      </w:pPr>
      <w:r>
        <w:rPr>
          <w:rFonts w:hint="eastAsia" w:ascii="方正小标宋简体" w:hAnsi="仿宋" w:eastAsia="方正小标宋简体" w:cs="Times New Roman"/>
          <w:color w:val="auto"/>
          <w:spacing w:val="0"/>
          <w:sz w:val="44"/>
          <w:szCs w:val="44"/>
          <w:highlight w:val="none"/>
          <w:lang w:eastAsia="zh-CN"/>
        </w:rPr>
        <w:t>鄂尔多斯市生态环境局准格尔旗分局</w:t>
      </w:r>
      <w:r>
        <w:rPr>
          <w:rFonts w:hint="eastAsia" w:ascii="方正小标宋简体" w:hAnsi="仿宋" w:eastAsia="方正小标宋简体"/>
          <w:color w:val="auto"/>
          <w:spacing w:val="-11"/>
          <w:sz w:val="44"/>
          <w:szCs w:val="44"/>
          <w:highlight w:val="none"/>
        </w:rPr>
        <w:t>关</w:t>
      </w:r>
      <w:r>
        <w:rPr>
          <w:rFonts w:hint="eastAsia" w:ascii="方正小标宋简体" w:hAnsi="仿宋" w:eastAsia="方正小标宋简体" w:cs="Times New Roman"/>
          <w:color w:val="auto"/>
          <w:spacing w:val="0"/>
          <w:sz w:val="44"/>
          <w:szCs w:val="44"/>
          <w:highlight w:val="none"/>
          <w:lang w:eastAsia="zh-CN"/>
        </w:rPr>
        <w:t>于内蒙古天润化肥股份有限公司15万吨/年大颗粒尿素项目</w:t>
      </w:r>
      <w:r>
        <w:rPr>
          <w:rFonts w:hint="eastAsia" w:ascii="方正小标宋简体" w:hAnsi="仿宋" w:eastAsia="方正小标宋简体" w:cs="Times New Roman"/>
          <w:color w:val="auto"/>
          <w:spacing w:val="0"/>
          <w:sz w:val="44"/>
          <w:szCs w:val="44"/>
          <w:highlight w:val="none"/>
          <w:lang w:val="en-US" w:eastAsia="zh-CN"/>
        </w:rPr>
        <w:t>环境影响报告表的批复</w:t>
      </w:r>
    </w:p>
    <w:p w14:paraId="488DD6F6">
      <w:pPr>
        <w:spacing w:beforeAutospacing="0" w:afterAutospacing="0" w:line="578" w:lineRule="exact"/>
        <w:jc w:val="center"/>
        <w:rPr>
          <w:rFonts w:hint="eastAsia" w:ascii="方正小标宋简体" w:hAnsi="仿宋" w:eastAsia="方正小标宋简体"/>
          <w:color w:val="auto"/>
          <w:spacing w:val="0"/>
          <w:sz w:val="44"/>
          <w:szCs w:val="44"/>
          <w:lang w:eastAsia="zh-CN"/>
        </w:rPr>
      </w:pPr>
    </w:p>
    <w:p w14:paraId="6CE1FE43">
      <w:pPr>
        <w:keepNext w:val="0"/>
        <w:keepLines w:val="0"/>
        <w:pageBreakBefore w:val="0"/>
        <w:widowControl w:val="0"/>
        <w:kinsoku/>
        <w:overflowPunct/>
        <w:topLinePunct w:val="0"/>
        <w:autoSpaceDE/>
        <w:autoSpaceDN/>
        <w:bidi w:val="0"/>
        <w:spacing w:line="596" w:lineRule="exact"/>
        <w:ind w:left="0" w:leftChars="0" w:firstLine="0" w:firstLineChars="0"/>
        <w:textAlignment w:val="auto"/>
        <w:rPr>
          <w:rFonts w:hint="eastAsia" w:ascii="仿宋_GB2312" w:hAnsi="仿宋_GB2312" w:cs="仿宋_GB2312"/>
          <w:color w:val="000000"/>
          <w:szCs w:val="32"/>
          <w:lang w:val="en-US" w:eastAsia="zh-CN"/>
        </w:rPr>
      </w:pPr>
      <w:r>
        <w:rPr>
          <w:rFonts w:hint="eastAsia" w:ascii="仿宋_GB2312" w:hAnsi="仿宋_GB2312" w:eastAsia="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内蒙古天润化肥股份有限公司：</w:t>
      </w:r>
    </w:p>
    <w:p w14:paraId="0CD02F4A">
      <w:pPr>
        <w:spacing w:beforeAutospacing="0" w:afterAutospacing="0" w:line="578" w:lineRule="exact"/>
        <w:ind w:left="0" w:leftChars="0" w:firstLine="640" w:firstLineChars="200"/>
        <w:jc w:val="both"/>
        <w:rPr>
          <w:rFonts w:hint="eastAsia" w:ascii="仿宋_GB2312" w:hAnsi="仿宋_GB2312" w:eastAsia="仿宋_GB2312" w:cs="仿宋_GB2312"/>
          <w:color w:val="000000"/>
          <w:szCs w:val="32"/>
          <w:lang w:val="en-US" w:eastAsia="zh-CN"/>
        </w:rPr>
      </w:pPr>
      <w:r>
        <w:rPr>
          <w:rFonts w:hint="eastAsia" w:ascii="仿宋_GB2312" w:hAnsi="仿宋_GB2312" w:eastAsia="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你</w:t>
      </w:r>
      <w:r>
        <w:rPr>
          <w:rFonts w:hint="eastAsia" w:ascii="仿宋_GB2312" w:hAnsi="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公司</w:t>
      </w:r>
      <w:r>
        <w:rPr>
          <w:rFonts w:hint="eastAsia" w:ascii="仿宋_GB2312" w:hAnsi="仿宋_GB2312" w:eastAsia="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报送的由内蒙古绿之垠环保科技发展有限公司编制的《内蒙古天润化肥股份有限公司15万吨/年大颗粒尿素项目环境影响报告表》（以下简称《报告表》）收悉。经研究，现</w:t>
      </w:r>
      <w:bookmarkStart w:id="0" w:name="_GoBack"/>
      <w:bookmarkEnd w:id="0"/>
      <w:r>
        <w:rPr>
          <w:rFonts w:hint="eastAsia" w:ascii="仿宋_GB2312" w:hAnsi="仿宋_GB2312" w:eastAsia="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批复如下：</w:t>
      </w:r>
    </w:p>
    <w:p w14:paraId="708C29CD">
      <w:pPr>
        <w:pStyle w:val="29"/>
        <w:keepNext w:val="0"/>
        <w:keepLines w:val="0"/>
        <w:pageBreakBefore w:val="0"/>
        <w:widowControl w:val="0"/>
        <w:kinsoku/>
        <w:wordWrap/>
        <w:overflowPunct/>
        <w:topLinePunct w:val="0"/>
        <w:autoSpaceDE/>
        <w:autoSpaceDN/>
        <w:bidi w:val="0"/>
        <w:adjustRightInd/>
        <w:snapToGrid/>
        <w:spacing w:line="360" w:lineRule="auto"/>
        <w:ind w:left="0" w:leftChars="0" w:firstLine="960" w:firstLineChars="300"/>
        <w:textAlignment w:val="auto"/>
        <w:rPr>
          <w:rFonts w:hint="eastAsia" w:ascii="仿宋_GB2312" w:hAnsi="仿宋_GB2312" w:eastAsia="仿宋_GB2312" w:cs="仿宋_GB2312"/>
          <w:color w:val="000000"/>
          <w:szCs w:val="32"/>
          <w:highlight w:val="none"/>
          <w:lang w:val="en-US" w:eastAsia="zh-CN"/>
        </w:rPr>
      </w:pPr>
      <w:r>
        <w:rPr>
          <w:rFonts w:hint="default" w:ascii="仿宋_GB2312" w:hAnsi="仿宋_GB2312" w:eastAsia="仿宋_GB2312" w:cs="仿宋_GB2312"/>
          <w:color w:val="000000"/>
          <w:kern w:val="2"/>
          <w:sz w:val="32"/>
          <w:szCs w:val="32"/>
          <w:highlight w:val="none"/>
          <w:lang w:val="en-US" w:eastAsia="zh-CN" w:bidi="ar-SA"/>
        </w:rPr>
        <w:t>一</w:t>
      </w:r>
      <w:r>
        <w:rPr>
          <w:rFonts w:hint="default" w:ascii="仿宋_GB2312" w:hAnsi="仿宋_GB2312" w:cs="仿宋_GB2312"/>
          <w:color w:val="000000"/>
          <w:szCs w:val="32"/>
          <w:lang w:eastAsia="zh-CN"/>
        </w:rPr>
        <w:t>、</w:t>
      </w:r>
      <w:r>
        <w:rPr>
          <w:rFonts w:hint="eastAsia" w:ascii="仿宋_GB2312" w:hAnsi="仿宋_GB2312" w:eastAsia="仿宋_GB2312" w:cs="仿宋_GB2312"/>
          <w:i w:val="0"/>
          <w:caps w:val="0"/>
          <w:color w:val="000000" w:themeColor="text1"/>
          <w:spacing w:val="0"/>
          <w:kern w:val="0"/>
          <w:sz w:val="32"/>
          <w:szCs w:val="32"/>
          <w:highlight w:val="none"/>
          <w:shd w:val="clear" w:fill="FFFFFF"/>
          <w:lang w:val="en-US" w:eastAsia="zh-CN" w:bidi="ar"/>
          <w14:textFill>
            <w14:solidFill>
              <w14:schemeClr w14:val="tx1"/>
            </w14:solidFill>
          </w14:textFill>
        </w:rPr>
        <w:t>本项目位于鄂尔多斯准格尔经济开发区大路产业园内蒙古天润化肥股份有限公司厂区内，拟对现有尿素装置区进行技改，新建1套15万吨/年大颗粒尿素生产装置，与现有造粒塔共同分担尿素造粒任务，原产能52万吨/年不变。项目总投资为1800万元，其中环保投资为216万元，占总投资12%。</w:t>
      </w:r>
    </w:p>
    <w:p w14:paraId="0FAAFDCD">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_GB2312" w:hAnsi="仿宋_GB2312" w:eastAsia="仿宋_GB2312" w:cs="仿宋_GB2312"/>
          <w:color w:val="000000"/>
          <w:szCs w:val="32"/>
          <w:highlight w:val="none"/>
          <w:lang w:val="en-US" w:eastAsia="zh-CN"/>
        </w:rPr>
      </w:pPr>
      <w:r>
        <w:rPr>
          <w:rFonts w:hint="eastAsia" w:ascii="仿宋_GB2312" w:hAnsi="仿宋_GB2312" w:eastAsia="仿宋_GB2312" w:cs="仿宋_GB2312"/>
          <w:color w:val="000000"/>
          <w:szCs w:val="32"/>
          <w:highlight w:val="none"/>
          <w:lang w:val="en-US" w:eastAsia="zh-CN"/>
        </w:rPr>
        <w:t>《报告表》认为，在全面落实各项生态环境保护和环境污染防治措施的前提下，项目建设对环境的不利影响能够得到一定的缓解和控制。因此，我局原则同意你</w:t>
      </w:r>
      <w:r>
        <w:rPr>
          <w:rFonts w:hint="eastAsia" w:ascii="仿宋_GB2312" w:hAnsi="仿宋_GB2312" w:cs="仿宋_GB2312"/>
          <w:color w:val="000000"/>
          <w:szCs w:val="32"/>
          <w:highlight w:val="none"/>
          <w:lang w:val="en-US" w:eastAsia="zh-CN"/>
        </w:rPr>
        <w:t>公司</w:t>
      </w:r>
      <w:r>
        <w:rPr>
          <w:rFonts w:hint="eastAsia" w:ascii="仿宋_GB2312" w:hAnsi="仿宋_GB2312" w:eastAsia="仿宋_GB2312" w:cs="仿宋_GB2312"/>
          <w:color w:val="000000"/>
          <w:szCs w:val="32"/>
          <w:highlight w:val="none"/>
          <w:lang w:val="en-US" w:eastAsia="zh-CN"/>
        </w:rPr>
        <w:t>按照《报告表》中所列的建设项目性质、规模、地点、环境保护措施进行建设。</w:t>
      </w:r>
    </w:p>
    <w:p w14:paraId="7E9BD4C6">
      <w:pPr>
        <w:keepNext w:val="0"/>
        <w:keepLines w:val="0"/>
        <w:pageBreakBefore w:val="0"/>
        <w:widowControl w:val="0"/>
        <w:kinsoku/>
        <w:overflowPunct/>
        <w:topLinePunct w:val="0"/>
        <w:autoSpaceDE/>
        <w:autoSpaceDN/>
        <w:bidi w:val="0"/>
        <w:spacing w:line="596" w:lineRule="exact"/>
        <w:ind w:left="0" w:leftChars="0" w:firstLine="0" w:firstLineChars="0"/>
        <w:textAlignment w:val="auto"/>
        <w:rPr>
          <w:rFonts w:hint="eastAsia" w:ascii="仿宋_GB2312" w:hAnsi="仿宋_GB2312" w:eastAsia="仿宋_GB2312" w:cs="仿宋_GB2312"/>
          <w:color w:val="000000"/>
          <w:szCs w:val="32"/>
          <w:highlight w:val="none"/>
          <w:lang w:val="en-US" w:eastAsia="zh-CN"/>
        </w:rPr>
      </w:pPr>
      <w:r>
        <w:rPr>
          <w:rFonts w:hint="eastAsia" w:ascii="仿宋_GB2312" w:hAnsi="仿宋_GB2312" w:eastAsia="仿宋_GB2312" w:cs="仿宋_GB2312"/>
          <w:color w:val="000000"/>
          <w:szCs w:val="32"/>
          <w:highlight w:val="none"/>
          <w:lang w:val="en-US" w:eastAsia="zh-CN"/>
        </w:rPr>
        <w:t xml:space="preserve">    </w:t>
      </w:r>
      <w:r>
        <w:rPr>
          <w:rFonts w:hint="eastAsia" w:ascii="仿宋_GB2312" w:hAnsi="仿宋_GB2312" w:cs="仿宋_GB2312"/>
          <w:color w:val="000000"/>
          <w:szCs w:val="32"/>
          <w:highlight w:val="none"/>
          <w:lang w:val="en-US" w:eastAsia="zh-CN"/>
        </w:rPr>
        <w:t>二</w:t>
      </w:r>
      <w:r>
        <w:rPr>
          <w:rFonts w:hint="eastAsia" w:ascii="仿宋_GB2312" w:hAnsi="仿宋_GB2312" w:eastAsia="仿宋_GB2312" w:cs="仿宋_GB2312"/>
          <w:color w:val="000000"/>
          <w:szCs w:val="32"/>
          <w:highlight w:val="none"/>
          <w:lang w:val="en-US" w:eastAsia="zh-CN"/>
        </w:rPr>
        <w:t>、项目建设与运行管理中应重点做好的工作</w:t>
      </w:r>
      <w:r>
        <w:rPr>
          <w:rFonts w:hint="eastAsia" w:ascii="仿宋_GB2312" w:hAnsi="仿宋_GB2312" w:cs="仿宋_GB2312"/>
          <w:color w:val="000000"/>
          <w:szCs w:val="32"/>
          <w:highlight w:val="none"/>
          <w:lang w:val="en-US" w:eastAsia="zh-CN"/>
        </w:rPr>
        <w:t>：</w:t>
      </w:r>
    </w:p>
    <w:p w14:paraId="52672884">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一）严格落实《报告表》提出的大气污染防治措施。运营期造粒、筛分、冷却、包装等工序产生的工艺废气，全部采用布袋除尘+水洗塔工艺集中处理，处理后废气经1根96米高标准化排气筒高空排放。氨排放执行《恶臭污染物排放标准》（GB14554-93）表2标准限值</w:t>
      </w:r>
      <w:r>
        <w:rPr>
          <w:rFonts w:hint="eastAsia" w:ascii="仿宋_GB2312" w:hAnsi="仿宋_GB2312" w:cs="仿宋_GB2312"/>
          <w:color w:val="000000"/>
          <w:kern w:val="2"/>
          <w:sz w:val="32"/>
          <w:szCs w:val="32"/>
          <w:lang w:val="en-US" w:eastAsia="zh-CN" w:bidi="ar-SA"/>
        </w:rPr>
        <w:t>要求</w:t>
      </w:r>
      <w:r>
        <w:rPr>
          <w:rFonts w:hint="eastAsia" w:ascii="仿宋_GB2312" w:hAnsi="仿宋_GB2312" w:eastAsia="仿宋_GB2312" w:cs="仿宋_GB2312"/>
          <w:color w:val="000000"/>
          <w:kern w:val="2"/>
          <w:sz w:val="32"/>
          <w:szCs w:val="32"/>
          <w:lang w:val="en-US" w:eastAsia="zh-CN" w:bidi="ar-SA"/>
        </w:rPr>
        <w:t>。颗粒物排放执行《大气污染物综合排放标准》（GB16297-1996）表2二级标准限值</w:t>
      </w:r>
      <w:r>
        <w:rPr>
          <w:rFonts w:hint="eastAsia" w:ascii="仿宋_GB2312" w:hAnsi="仿宋_GB2312" w:cs="仿宋_GB2312"/>
          <w:color w:val="000000"/>
          <w:kern w:val="2"/>
          <w:sz w:val="32"/>
          <w:szCs w:val="32"/>
          <w:lang w:val="en-US" w:eastAsia="zh-CN" w:bidi="ar-SA"/>
        </w:rPr>
        <w:t>要求。</w:t>
      </w:r>
    </w:p>
    <w:p w14:paraId="5216EFFF">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w:t>
      </w:r>
      <w:r>
        <w:rPr>
          <w:rFonts w:hint="eastAsia" w:ascii="仿宋_GB2312" w:hAnsi="仿宋_GB2312" w:cs="仿宋_GB2312"/>
          <w:color w:val="000000"/>
          <w:kern w:val="2"/>
          <w:sz w:val="32"/>
          <w:szCs w:val="32"/>
          <w:lang w:val="en-US" w:eastAsia="zh-CN" w:bidi="ar-SA"/>
        </w:rPr>
        <w:t>二</w:t>
      </w:r>
      <w:r>
        <w:rPr>
          <w:rFonts w:hint="eastAsia" w:ascii="仿宋_GB2312" w:hAnsi="仿宋_GB2312" w:eastAsia="仿宋_GB2312" w:cs="仿宋_GB2312"/>
          <w:color w:val="000000"/>
          <w:kern w:val="2"/>
          <w:sz w:val="32"/>
          <w:szCs w:val="32"/>
          <w:lang w:val="en-US" w:eastAsia="zh-CN" w:bidi="ar-SA"/>
        </w:rPr>
        <w:t>）强化各项水环境保护和风险防范措施。运营期水洗塔排水全部回用至现有尿素蒸发系统循环生产，</w:t>
      </w:r>
      <w:r>
        <w:rPr>
          <w:rFonts w:hint="eastAsia" w:ascii="仿宋_GB2312" w:hAnsi="仿宋_GB2312" w:cs="仿宋_GB2312"/>
          <w:color w:val="000000"/>
          <w:kern w:val="2"/>
          <w:sz w:val="32"/>
          <w:szCs w:val="32"/>
          <w:lang w:val="en-US" w:eastAsia="zh-CN" w:bidi="ar-SA"/>
        </w:rPr>
        <w:t>不得</w:t>
      </w:r>
      <w:r>
        <w:rPr>
          <w:rFonts w:hint="eastAsia" w:ascii="仿宋_GB2312" w:hAnsi="仿宋_GB2312" w:eastAsia="仿宋_GB2312" w:cs="仿宋_GB2312"/>
          <w:color w:val="000000"/>
          <w:kern w:val="2"/>
          <w:sz w:val="32"/>
          <w:szCs w:val="32"/>
          <w:lang w:val="en-US" w:eastAsia="zh-CN" w:bidi="ar-SA"/>
        </w:rPr>
        <w:t>外排；新增浓盐水依托园区浓盐水管网统一集中处置</w:t>
      </w:r>
      <w:r>
        <w:rPr>
          <w:rFonts w:hint="eastAsia" w:ascii="仿宋_GB2312" w:hAnsi="仿宋_GB2312" w:cs="仿宋_GB2312"/>
          <w:color w:val="000000"/>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项目全程依托厂区现有成熟的雨污分流、初期雨水收集、事故废水收集导排及应急池设施，有效防控水环境污染风险。</w:t>
      </w:r>
    </w:p>
    <w:p w14:paraId="1CF185B8">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仿宋_GB2312" w:hAnsi="仿宋_GB2312" w:cs="仿宋_GB2312"/>
          <w:color w:val="000000"/>
          <w:szCs w:val="32"/>
          <w:lang w:eastAsia="zh-CN"/>
        </w:rPr>
      </w:pPr>
      <w:r>
        <w:rPr>
          <w:rFonts w:hint="eastAsia" w:ascii="仿宋_GB2312" w:hAnsi="仿宋_GB2312" w:cs="仿宋_GB2312"/>
          <w:color w:val="000000"/>
          <w:szCs w:val="32"/>
        </w:rPr>
        <w:t>（</w:t>
      </w:r>
      <w:r>
        <w:rPr>
          <w:rFonts w:hint="eastAsia" w:ascii="仿宋_GB2312" w:hAnsi="仿宋_GB2312" w:cs="仿宋_GB2312"/>
          <w:color w:val="000000"/>
          <w:szCs w:val="32"/>
          <w:lang w:val="en-US" w:eastAsia="zh-CN"/>
        </w:rPr>
        <w:t>三</w:t>
      </w:r>
      <w:r>
        <w:rPr>
          <w:rFonts w:hint="eastAsia" w:ascii="仿宋_GB2312" w:hAnsi="仿宋_GB2312" w:cs="仿宋_GB2312"/>
          <w:color w:val="000000"/>
          <w:szCs w:val="32"/>
        </w:rPr>
        <w:t>）</w:t>
      </w:r>
      <w:r>
        <w:rPr>
          <w:rFonts w:hint="eastAsia" w:ascii="仿宋_GB2312" w:hAnsi="仿宋_GB2312" w:cs="仿宋_GB2312"/>
          <w:color w:val="000000"/>
          <w:szCs w:val="32"/>
          <w:lang w:eastAsia="zh-CN"/>
        </w:rPr>
        <w:t>认真落实并优化各项噪声污染防治措施。运营期选用低噪声造粒机、筛分机、风机、泵类等设备，通过设备基础减振、厂房密闭隔声、管道减振等综合降噪措施，确保厂界噪声满足《工业企业厂界环境噪声排放标准》（GB 12348-2008）3类标准要求。</w:t>
      </w:r>
    </w:p>
    <w:p w14:paraId="66F1BEBF">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仿宋_GB2312" w:hAnsi="仿宋_GB2312" w:cs="仿宋_GB2312"/>
          <w:color w:val="000000"/>
          <w:szCs w:val="32"/>
          <w:lang w:val="en-US" w:eastAsia="zh-CN"/>
        </w:rPr>
      </w:pPr>
      <w:r>
        <w:rPr>
          <w:rFonts w:hint="eastAsia" w:ascii="仿宋_GB2312" w:hAnsi="仿宋_GB2312" w:cs="仿宋_GB2312"/>
          <w:color w:val="000000"/>
          <w:szCs w:val="32"/>
          <w:lang w:val="en-US" w:eastAsia="zh-CN"/>
        </w:rPr>
        <w:t>（四）</w:t>
      </w:r>
      <w:r>
        <w:rPr>
          <w:rFonts w:hint="default" w:ascii="仿宋_GB2312" w:hAnsi="仿宋_GB2312" w:cs="仿宋_GB2312"/>
          <w:color w:val="000000"/>
          <w:szCs w:val="32"/>
        </w:rPr>
        <w:t>严格落实固体废物处置措施。</w:t>
      </w:r>
      <w:r>
        <w:rPr>
          <w:rFonts w:hint="eastAsia" w:ascii="仿宋_GB2312" w:hAnsi="仿宋_GB2312" w:cs="仿宋_GB2312"/>
          <w:color w:val="000000"/>
          <w:szCs w:val="32"/>
          <w:lang w:val="en-US" w:eastAsia="zh-CN"/>
        </w:rPr>
        <w:t>运营期废布袋由厂家定期回收处置；废矿物油属于危险废物，依托厂区现有规范化危废库房密闭分区暂存，定期委托有资质单位合规处置，全程杜绝固废二次污染。</w:t>
      </w:r>
    </w:p>
    <w:p w14:paraId="5C9EB6F5">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仿宋_GB2312" w:hAnsi="仿宋_GB2312" w:cs="仿宋_GB2312"/>
          <w:color w:val="000000"/>
          <w:szCs w:val="32"/>
          <w:lang w:val="en-US" w:eastAsia="zh-CN"/>
        </w:rPr>
      </w:pPr>
      <w:r>
        <w:rPr>
          <w:rFonts w:hint="eastAsia" w:ascii="仿宋_GB2312" w:hAnsi="仿宋_GB2312" w:cs="仿宋_GB2312"/>
          <w:color w:val="000000"/>
          <w:szCs w:val="32"/>
          <w:lang w:val="en-US" w:eastAsia="zh-CN"/>
        </w:rPr>
        <w:t>（五）严格落实“源头控制、分区防控、污染监控、应急响应”防控原则。完善装置区易泄漏点位防渗、收集措施，定期开展防渗设施完整性巡检排查，持续落实土壤、地下水跟踪监测工作，发现问题立即整改，严防土壤及地下水污染。新增生产单元选用密闭耐腐蚀设备，配套联锁报警装置，落实日常检漏、隐患排查制度，将本装置纳入企业现有应急管理体系，定期开展氨气泄漏等应急演练，健全风险防控长效机制，确保环境风险可防可控。</w:t>
      </w:r>
    </w:p>
    <w:p w14:paraId="6D05808F">
      <w:pPr>
        <w:spacing w:line="600" w:lineRule="exact"/>
        <w:ind w:firstLine="640"/>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cs="仿宋_GB2312"/>
          <w:szCs w:val="32"/>
        </w:rPr>
        <w:t>（</w:t>
      </w:r>
      <w:r>
        <w:rPr>
          <w:rFonts w:hint="eastAsia" w:ascii="仿宋_GB2312" w:hAnsi="仿宋_GB2312" w:cs="仿宋_GB2312"/>
          <w:szCs w:val="32"/>
          <w:lang w:val="en-US" w:eastAsia="zh-CN"/>
        </w:rPr>
        <w:t>六</w:t>
      </w:r>
      <w:r>
        <w:rPr>
          <w:rFonts w:hint="eastAsia" w:ascii="仿宋_GB2312" w:hAnsi="仿宋_GB2312" w:cs="仿宋_GB2312"/>
          <w:szCs w:val="32"/>
        </w:rPr>
        <w:t>）</w:t>
      </w:r>
      <w:r>
        <w:rPr>
          <w:rFonts w:hint="eastAsia" w:ascii="仿宋_GB2312" w:hAnsi="仿宋_GB2312" w:eastAsia="仿宋_GB2312" w:cs="仿宋_GB2312"/>
          <w:color w:val="000000"/>
          <w:kern w:val="2"/>
          <w:sz w:val="32"/>
          <w:szCs w:val="32"/>
          <w:lang w:val="en-US" w:eastAsia="zh-CN" w:bidi="ar-SA"/>
        </w:rPr>
        <w:t>强化绿色施工，贯彻生态文明理念，加强对施工企业的生态环保宣传教育和管理，推进绿色施工，创建绿色工程。</w:t>
      </w:r>
    </w:p>
    <w:p w14:paraId="38671FCB">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8" w:lineRule="exact"/>
        <w:ind w:left="0" w:leftChars="0" w:right="0" w:rightChars="0" w:firstLine="640" w:firstLineChars="200"/>
        <w:jc w:val="left"/>
        <w:textAlignment w:val="auto"/>
        <w:outlineLvl w:val="9"/>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pPr>
      <w:r>
        <w:rPr>
          <w:rFonts w:hint="eastAsia" w:ascii="仿宋_GB2312" w:hAnsi="仿宋_GB2312" w:eastAsia="仿宋_GB2312" w:cs="仿宋_GB2312"/>
          <w:color w:val="auto"/>
          <w:kern w:val="2"/>
          <w:sz w:val="32"/>
          <w:szCs w:val="32"/>
          <w:lang w:val="en-US" w:eastAsia="zh-CN" w:bidi="ar-SA"/>
        </w:rPr>
        <w:t>三、</w:t>
      </w: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该项目建设必须严格执行环境保护“三同时”制度。项目竣工后，须按照规定程序实施竣工环境保护验收。</w:t>
      </w:r>
    </w:p>
    <w:p w14:paraId="701104DA">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8" w:lineRule="exact"/>
        <w:ind w:left="0" w:leftChars="0" w:right="0" w:rightChars="0" w:firstLine="640" w:firstLineChars="200"/>
        <w:jc w:val="left"/>
        <w:textAlignment w:val="auto"/>
        <w:outlineLvl w:val="9"/>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pPr>
      <w:r>
        <w:rPr>
          <w:rFonts w:hint="eastAsia" w:ascii="仿宋_GB2312" w:hAnsi="仿宋_GB2312" w:eastAsia="仿宋_GB2312" w:cs="仿宋_GB2312"/>
          <w:color w:val="auto"/>
          <w:kern w:val="2"/>
          <w:sz w:val="32"/>
          <w:szCs w:val="32"/>
          <w:lang w:val="en-US" w:eastAsia="zh-CN" w:bidi="ar-SA"/>
        </w:rPr>
        <w:t>四、</w:t>
      </w: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该项目从批准之日起超过五年方决定开工建设，其环评文件应重新审核。如果建设地点、规模、防治污染和防止生态破坏措施等发生重大变化时，需重新报批环评文件。</w:t>
      </w:r>
    </w:p>
    <w:p w14:paraId="2FE09FA3">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78" w:lineRule="exact"/>
        <w:ind w:left="0" w:leftChars="0" w:right="0" w:rightChars="0" w:firstLine="640" w:firstLineChars="200"/>
        <w:jc w:val="left"/>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五、</w:t>
      </w:r>
      <w:r>
        <w:rPr>
          <w:rFonts w:hint="eastAsia" w:ascii="仿宋_GB2312" w:hAnsi="仿宋_GB2312" w:eastAsia="仿宋_GB2312" w:cs="仿宋_GB2312"/>
          <w:b w:val="0"/>
          <w:i w:val="0"/>
          <w:caps w:val="0"/>
          <w:snapToGrid/>
          <w:color w:val="000000" w:themeColor="text1"/>
          <w:spacing w:val="0"/>
          <w:kern w:val="0"/>
          <w:sz w:val="32"/>
          <w:szCs w:val="32"/>
          <w:highlight w:val="none"/>
          <w:shd w:val="clear" w:fill="FFFFFF"/>
          <w:lang w:val="en-US" w:eastAsia="zh-CN" w:bidi="ar"/>
          <w14:textFill>
            <w14:solidFill>
              <w14:schemeClr w14:val="tx1"/>
            </w14:solidFill>
          </w14:textFill>
        </w:rPr>
        <w:t>项目开工时，应立即通知我局，以便日常监督检查。</w:t>
      </w:r>
    </w:p>
    <w:p w14:paraId="02252BF1">
      <w:pPr>
        <w:keepNext w:val="0"/>
        <w:keepLines w:val="0"/>
        <w:pageBreakBefore w:val="0"/>
        <w:widowControl w:val="0"/>
        <w:kinsoku/>
        <w:wordWrap w:val="0"/>
        <w:overflowPunct/>
        <w:topLinePunct w:val="0"/>
        <w:autoSpaceDE/>
        <w:autoSpaceDN/>
        <w:bidi w:val="0"/>
        <w:adjustRightInd w:val="0"/>
        <w:snapToGrid w:val="0"/>
        <w:spacing w:before="0" w:beforeLines="0" w:after="0" w:afterLines="0" w:line="596" w:lineRule="exact"/>
        <w:ind w:left="0" w:leftChars="0" w:right="0" w:rightChars="0" w:firstLine="0" w:firstLineChars="0"/>
        <w:jc w:val="both"/>
        <w:textAlignment w:val="auto"/>
        <w:outlineLvl w:val="9"/>
        <w:rPr>
          <w:rFonts w:hint="eastAsia" w:ascii="仿宋_GB2312" w:hAnsi="仿宋_GB2312" w:eastAsia="仿宋_GB2312" w:cs="仿宋_GB2312"/>
          <w:color w:val="auto"/>
          <w:spacing w:val="0"/>
          <w:kern w:val="0"/>
          <w:sz w:val="32"/>
          <w:szCs w:val="32"/>
          <w:lang w:eastAsia="zh-CN"/>
        </w:rPr>
      </w:pPr>
    </w:p>
    <w:p w14:paraId="14476469">
      <w:pPr>
        <w:pStyle w:val="6"/>
        <w:rPr>
          <w:rFonts w:hint="eastAsia"/>
          <w:lang w:val="en-US" w:eastAsia="zh-CN"/>
        </w:rPr>
      </w:pPr>
    </w:p>
    <w:p w14:paraId="5811DFBC">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96" w:lineRule="exact"/>
        <w:ind w:left="0" w:leftChars="0" w:right="0" w:rightChars="0" w:firstLine="640" w:firstLineChars="200"/>
        <w:jc w:val="left"/>
        <w:textAlignment w:val="auto"/>
        <w:outlineLvl w:val="9"/>
        <w:rPr>
          <w:rFonts w:hint="eastAsia" w:ascii="仿宋_GB2312" w:hAnsi="仿宋_GB2312" w:cs="仿宋_GB2312"/>
          <w:color w:val="000000"/>
          <w:szCs w:val="32"/>
          <w:highlight w:val="none"/>
          <w:lang w:val="en-US" w:eastAsia="zh-CN"/>
        </w:rPr>
      </w:pPr>
      <w:r>
        <w:rPr>
          <w:rFonts w:hint="eastAsia" w:ascii="仿宋_GB2312" w:hAnsi="仿宋_GB2312" w:cs="仿宋_GB2312"/>
          <w:color w:val="000000"/>
          <w:szCs w:val="32"/>
          <w:highlight w:val="none"/>
          <w:lang w:val="en-US" w:eastAsia="zh-CN"/>
        </w:rPr>
        <w:t xml:space="preserve">    </w:t>
      </w:r>
    </w:p>
    <w:p w14:paraId="20E7106B">
      <w:pPr>
        <w:pStyle w:val="2"/>
        <w:rPr>
          <w:rFonts w:hint="eastAsia"/>
          <w:lang w:val="en-US" w:eastAsia="zh-CN"/>
        </w:rPr>
      </w:pPr>
    </w:p>
    <w:p w14:paraId="3D266830">
      <w:pPr>
        <w:keepNext w:val="0"/>
        <w:keepLines w:val="0"/>
        <w:pageBreakBefore w:val="0"/>
        <w:widowControl w:val="0"/>
        <w:kinsoku/>
        <w:wordWrap w:val="0"/>
        <w:overflowPunct/>
        <w:topLinePunct w:val="0"/>
        <w:autoSpaceDE/>
        <w:autoSpaceDN/>
        <w:bidi w:val="0"/>
        <w:adjustRightInd w:val="0"/>
        <w:snapToGrid w:val="0"/>
        <w:spacing w:before="0" w:beforeLines="0" w:after="0" w:afterLines="0" w:line="596" w:lineRule="exact"/>
        <w:ind w:left="0" w:leftChars="0" w:right="0" w:rightChars="0" w:firstLine="0" w:firstLineChars="0"/>
        <w:jc w:val="right"/>
        <w:textAlignment w:val="auto"/>
        <w:outlineLvl w:val="9"/>
        <w:rPr>
          <w:rFonts w:hint="eastAsia" w:ascii="仿宋_GB2312" w:hAnsi="仿宋_GB2312" w:eastAsia="仿宋_GB2312" w:cs="仿宋_GB2312"/>
          <w:color w:val="auto"/>
          <w:spacing w:val="0"/>
          <w:kern w:val="0"/>
          <w:sz w:val="32"/>
          <w:szCs w:val="32"/>
          <w:lang w:eastAsia="zh-CN"/>
        </w:rPr>
      </w:pPr>
      <w:r>
        <w:rPr>
          <w:rFonts w:hint="eastAsia" w:ascii="仿宋_GB2312" w:hAnsi="仿宋_GB2312" w:eastAsia="仿宋_GB2312" w:cs="仿宋_GB2312"/>
          <w:color w:val="auto"/>
          <w:spacing w:val="0"/>
          <w:kern w:val="0"/>
          <w:sz w:val="32"/>
          <w:szCs w:val="32"/>
          <w:lang w:eastAsia="zh-CN"/>
        </w:rPr>
        <w:t>鄂尔多斯市生态环境局准格尔旗分局</w:t>
      </w:r>
    </w:p>
    <w:p w14:paraId="396BDC27">
      <w:pPr>
        <w:keepNext w:val="0"/>
        <w:keepLines w:val="0"/>
        <w:pageBreakBefore w:val="0"/>
        <w:widowControl w:val="0"/>
        <w:kinsoku/>
        <w:wordWrap w:val="0"/>
        <w:overflowPunct/>
        <w:topLinePunct w:val="0"/>
        <w:autoSpaceDE/>
        <w:autoSpaceDN/>
        <w:bidi w:val="0"/>
        <w:adjustRightInd w:val="0"/>
        <w:snapToGrid w:val="0"/>
        <w:spacing w:before="0" w:beforeLines="0" w:after="0" w:afterLines="0" w:line="596" w:lineRule="exact"/>
        <w:ind w:left="0" w:leftChars="0" w:right="0" w:rightChars="0" w:firstLine="0" w:firstLineChars="0"/>
        <w:jc w:val="center"/>
        <w:textAlignment w:val="auto"/>
        <w:outlineLvl w:val="9"/>
        <w:rPr>
          <w:rFonts w:hint="eastAsia" w:ascii="仿宋_GB2312" w:hAnsi="仿宋_GB2312" w:eastAsia="仿宋_GB2312" w:cs="仿宋_GB2312"/>
          <w:color w:val="auto"/>
          <w:spacing w:val="0"/>
          <w:kern w:val="0"/>
          <w:sz w:val="32"/>
          <w:szCs w:val="32"/>
          <w:lang w:val="en-US" w:eastAsia="zh-CN"/>
        </w:rPr>
      </w:pPr>
      <w:r>
        <w:rPr>
          <w:rFonts w:hint="default" w:ascii="仿宋_GB2312" w:hAnsi="仿宋_GB2312" w:cs="仿宋_GB2312"/>
          <w:color w:val="auto"/>
          <w:spacing w:val="0"/>
          <w:kern w:val="0"/>
          <w:sz w:val="32"/>
          <w:szCs w:val="32"/>
          <w:highlight w:val="none"/>
        </w:rPr>
        <w:t xml:space="preserve">                         </w:t>
      </w:r>
      <w:r>
        <w:rPr>
          <w:rFonts w:hint="eastAsia" w:ascii="仿宋_GB2312" w:hAnsi="仿宋_GB2312" w:eastAsia="仿宋_GB2312" w:cs="仿宋_GB2312"/>
          <w:color w:val="auto"/>
          <w:spacing w:val="0"/>
          <w:kern w:val="0"/>
          <w:sz w:val="32"/>
          <w:szCs w:val="32"/>
          <w:highlight w:val="none"/>
        </w:rPr>
        <w:t>20</w:t>
      </w:r>
      <w:r>
        <w:rPr>
          <w:rFonts w:hint="eastAsia" w:ascii="仿宋_GB2312" w:hAnsi="仿宋_GB2312" w:eastAsia="仿宋_GB2312" w:cs="仿宋_GB2312"/>
          <w:color w:val="auto"/>
          <w:spacing w:val="0"/>
          <w:kern w:val="0"/>
          <w:sz w:val="32"/>
          <w:szCs w:val="32"/>
          <w:highlight w:val="none"/>
          <w:lang w:val="en-US" w:eastAsia="zh-CN"/>
        </w:rPr>
        <w:t>2</w:t>
      </w:r>
      <w:r>
        <w:rPr>
          <w:rFonts w:hint="eastAsia" w:ascii="仿宋_GB2312" w:hAnsi="仿宋_GB2312" w:cs="仿宋_GB2312"/>
          <w:color w:val="auto"/>
          <w:spacing w:val="0"/>
          <w:kern w:val="0"/>
          <w:sz w:val="32"/>
          <w:szCs w:val="32"/>
          <w:highlight w:val="none"/>
          <w:lang w:val="en-US" w:eastAsia="zh-CN"/>
        </w:rPr>
        <w:t>6</w:t>
      </w:r>
      <w:r>
        <w:rPr>
          <w:rFonts w:hint="eastAsia" w:ascii="仿宋_GB2312" w:hAnsi="仿宋_GB2312" w:eastAsia="仿宋_GB2312" w:cs="仿宋_GB2312"/>
          <w:color w:val="auto"/>
          <w:spacing w:val="0"/>
          <w:kern w:val="0"/>
          <w:sz w:val="32"/>
          <w:szCs w:val="32"/>
          <w:highlight w:val="none"/>
        </w:rPr>
        <w:t>年</w:t>
      </w:r>
      <w:r>
        <w:rPr>
          <w:rFonts w:hint="eastAsia" w:ascii="仿宋_GB2312" w:hAnsi="仿宋_GB2312" w:cs="仿宋_GB2312"/>
          <w:color w:val="auto"/>
          <w:spacing w:val="0"/>
          <w:kern w:val="0"/>
          <w:sz w:val="32"/>
          <w:szCs w:val="32"/>
          <w:highlight w:val="none"/>
          <w:lang w:val="en-US" w:eastAsia="zh-CN"/>
        </w:rPr>
        <w:t>8</w:t>
      </w:r>
      <w:r>
        <w:rPr>
          <w:rFonts w:hint="eastAsia" w:ascii="仿宋_GB2312" w:hAnsi="仿宋_GB2312" w:eastAsia="仿宋_GB2312" w:cs="仿宋_GB2312"/>
          <w:color w:val="auto"/>
          <w:spacing w:val="0"/>
          <w:kern w:val="0"/>
          <w:sz w:val="32"/>
          <w:szCs w:val="32"/>
          <w:highlight w:val="none"/>
        </w:rPr>
        <w:t>月</w:t>
      </w:r>
      <w:r>
        <w:rPr>
          <w:rFonts w:hint="eastAsia" w:ascii="仿宋_GB2312" w:hAnsi="仿宋_GB2312" w:cs="仿宋_GB2312"/>
          <w:color w:val="auto"/>
          <w:spacing w:val="0"/>
          <w:kern w:val="0"/>
          <w:sz w:val="32"/>
          <w:szCs w:val="32"/>
          <w:highlight w:val="none"/>
          <w:lang w:val="en-US" w:eastAsia="zh-CN"/>
        </w:rPr>
        <w:t>5</w:t>
      </w:r>
      <w:r>
        <w:rPr>
          <w:rFonts w:hint="eastAsia" w:ascii="仿宋_GB2312" w:hAnsi="仿宋_GB2312" w:eastAsia="仿宋_GB2312" w:cs="仿宋_GB2312"/>
          <w:color w:val="auto"/>
          <w:spacing w:val="0"/>
          <w:kern w:val="0"/>
          <w:sz w:val="32"/>
          <w:szCs w:val="32"/>
          <w:highlight w:val="none"/>
        </w:rPr>
        <w:t>日</w:t>
      </w:r>
      <w:r>
        <w:rPr>
          <w:rFonts w:hint="eastAsia" w:ascii="仿宋_GB2312" w:hAnsi="仿宋_GB2312" w:eastAsia="仿宋_GB2312" w:cs="仿宋_GB2312"/>
          <w:color w:val="auto"/>
          <w:spacing w:val="0"/>
          <w:kern w:val="0"/>
          <w:sz w:val="32"/>
          <w:szCs w:val="32"/>
          <w:highlight w:val="none"/>
          <w:lang w:val="en-US" w:eastAsia="zh-CN"/>
        </w:rPr>
        <w:t xml:space="preserve">   </w:t>
      </w:r>
    </w:p>
    <w:p w14:paraId="56DE597D">
      <w:pPr>
        <w:pStyle w:val="3"/>
        <w:ind w:firstLine="4800" w:firstLineChars="1500"/>
        <w:rPr>
          <w:rFonts w:hint="eastAsia" w:ascii="仿宋_GB2312" w:hAnsi="仿宋_GB2312" w:eastAsia="仿宋_GB2312" w:cs="仿宋_GB2312"/>
          <w:color w:val="auto"/>
          <w:spacing w:val="0"/>
          <w:kern w:val="0"/>
          <w:sz w:val="32"/>
          <w:szCs w:val="32"/>
          <w:lang w:val="en-US" w:eastAsia="zh-CN"/>
        </w:rPr>
      </w:pPr>
      <w:r>
        <w:rPr>
          <w:rFonts w:hint="eastAsia" w:ascii="仿宋_GB2312" w:hAnsi="仿宋_GB2312" w:eastAsia="仿宋_GB2312" w:cs="仿宋_GB2312"/>
          <w:color w:val="auto"/>
          <w:spacing w:val="0"/>
          <w:kern w:val="0"/>
          <w:sz w:val="32"/>
          <w:szCs w:val="32"/>
          <w:highlight w:val="none"/>
          <w:lang w:val="en-US" w:eastAsia="zh-CN"/>
        </w:rPr>
        <w:t xml:space="preserve">  </w:t>
      </w:r>
      <w:r>
        <w:rPr>
          <w:rFonts w:hint="eastAsia" w:ascii="仿宋_GB2312" w:hAnsi="仿宋_GB2312" w:eastAsia="仿宋_GB2312" w:cs="仿宋_GB2312"/>
          <w:color w:val="auto"/>
          <w:spacing w:val="0"/>
          <w:kern w:val="0"/>
          <w:sz w:val="32"/>
          <w:szCs w:val="32"/>
          <w:lang w:val="en-US" w:eastAsia="zh-CN"/>
        </w:rPr>
        <w:t xml:space="preserve">      </w:t>
      </w:r>
    </w:p>
    <w:p w14:paraId="25004AA2">
      <w:pPr>
        <w:pStyle w:val="3"/>
        <w:ind w:firstLine="4800" w:firstLineChars="1500"/>
        <w:rPr>
          <w:rFonts w:hint="eastAsia" w:ascii="仿宋_GB2312" w:hAnsi="仿宋_GB2312" w:eastAsia="仿宋_GB2312" w:cs="仿宋_GB2312"/>
          <w:color w:val="auto"/>
          <w:spacing w:val="0"/>
          <w:kern w:val="0"/>
          <w:sz w:val="32"/>
          <w:szCs w:val="32"/>
          <w:lang w:val="en-US" w:eastAsia="zh-CN"/>
        </w:rPr>
      </w:pPr>
    </w:p>
    <w:p w14:paraId="18F960FF">
      <w:pPr>
        <w:pStyle w:val="3"/>
        <w:ind w:firstLine="4800" w:firstLineChars="1500"/>
        <w:rPr>
          <w:rFonts w:hint="eastAsia" w:ascii="仿宋_GB2312" w:hAnsi="仿宋_GB2312" w:eastAsia="仿宋_GB2312" w:cs="仿宋_GB2312"/>
          <w:color w:val="auto"/>
          <w:spacing w:val="0"/>
          <w:kern w:val="0"/>
          <w:sz w:val="32"/>
          <w:szCs w:val="32"/>
          <w:lang w:val="en-US" w:eastAsia="zh-CN"/>
        </w:rPr>
      </w:pPr>
    </w:p>
    <w:p w14:paraId="21FB138B">
      <w:pPr>
        <w:pStyle w:val="3"/>
        <w:ind w:firstLine="4800" w:firstLineChars="1500"/>
        <w:rPr>
          <w:rFonts w:hint="eastAsia" w:ascii="仿宋_GB2312" w:hAnsi="仿宋_GB2312" w:eastAsia="仿宋_GB2312" w:cs="仿宋_GB2312"/>
          <w:color w:val="auto"/>
          <w:spacing w:val="0"/>
          <w:kern w:val="0"/>
          <w:sz w:val="32"/>
          <w:szCs w:val="32"/>
          <w:lang w:val="en-US" w:eastAsia="zh-CN"/>
        </w:rPr>
      </w:pPr>
    </w:p>
    <w:p w14:paraId="0C536631">
      <w:pPr>
        <w:pStyle w:val="3"/>
        <w:ind w:firstLine="4800" w:firstLineChars="1500"/>
        <w:rPr>
          <w:rFonts w:hint="eastAsia" w:ascii="仿宋_GB2312" w:hAnsi="仿宋_GB2312" w:eastAsia="仿宋_GB2312" w:cs="仿宋_GB2312"/>
          <w:color w:val="auto"/>
          <w:spacing w:val="0"/>
          <w:kern w:val="0"/>
          <w:sz w:val="32"/>
          <w:szCs w:val="32"/>
          <w:lang w:val="en-US" w:eastAsia="zh-CN"/>
        </w:rPr>
      </w:pPr>
    </w:p>
    <w:p w14:paraId="6447430D">
      <w:pPr>
        <w:pStyle w:val="3"/>
        <w:ind w:firstLine="4800" w:firstLineChars="1500"/>
        <w:rPr>
          <w:rFonts w:hint="eastAsia" w:ascii="仿宋_GB2312" w:hAnsi="仿宋_GB2312" w:eastAsia="仿宋_GB2312" w:cs="仿宋_GB2312"/>
          <w:color w:val="auto"/>
          <w:spacing w:val="0"/>
          <w:kern w:val="0"/>
          <w:sz w:val="32"/>
          <w:szCs w:val="32"/>
          <w:lang w:val="en-US" w:eastAsia="zh-CN"/>
        </w:rPr>
      </w:pPr>
    </w:p>
    <w:p w14:paraId="1CDB297C">
      <w:pPr>
        <w:pStyle w:val="3"/>
        <w:ind w:firstLine="4800" w:firstLineChars="1500"/>
        <w:rPr>
          <w:rFonts w:hint="eastAsia" w:ascii="仿宋_GB2312" w:hAnsi="仿宋_GB2312" w:eastAsia="仿宋_GB2312" w:cs="仿宋_GB2312"/>
          <w:color w:val="auto"/>
          <w:spacing w:val="0"/>
          <w:kern w:val="0"/>
          <w:sz w:val="32"/>
          <w:szCs w:val="32"/>
          <w:lang w:val="en-US" w:eastAsia="zh-CN"/>
        </w:rPr>
      </w:pPr>
    </w:p>
    <w:tbl>
      <w:tblPr>
        <w:tblStyle w:val="15"/>
        <w:tblpPr w:leftFromText="180" w:rightFromText="180" w:vertAnchor="text" w:horzAnchor="page" w:tblpX="1550" w:tblpY="43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1"/>
      </w:tblGrid>
      <w:tr w14:paraId="465D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861" w:type="dxa"/>
            <w:tcBorders>
              <w:top w:val="single" w:color="auto" w:sz="4" w:space="0"/>
              <w:left w:val="nil"/>
              <w:bottom w:val="single" w:color="auto" w:sz="4" w:space="0"/>
              <w:right w:val="nil"/>
            </w:tcBorders>
            <w:noWrap w:val="0"/>
            <w:vAlign w:val="top"/>
          </w:tcPr>
          <w:p w14:paraId="4FAF7D47">
            <w:pPr>
              <w:keepNext w:val="0"/>
              <w:keepLines w:val="0"/>
              <w:pageBreakBefore w:val="0"/>
              <w:widowControl w:val="0"/>
              <w:tabs>
                <w:tab w:val="left" w:pos="8295"/>
              </w:tabs>
              <w:kinsoku/>
              <w:wordWrap/>
              <w:overflowPunct/>
              <w:topLinePunct w:val="0"/>
              <w:autoSpaceDE/>
              <w:autoSpaceDN/>
              <w:bidi w:val="0"/>
              <w:spacing w:line="600" w:lineRule="exact"/>
              <w:ind w:left="0" w:leftChars="0" w:firstLine="0" w:firstLineChars="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28"/>
                <w:szCs w:val="28"/>
                <w:lang w:val="en-US" w:eastAsia="zh-CN"/>
              </w:rPr>
              <w:t>抄送：准格尔旗生态环境综合行政执法大队，内蒙古绿之垠环保科技发展有限公司。</w:t>
            </w:r>
          </w:p>
        </w:tc>
      </w:tr>
      <w:tr w14:paraId="5F743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8861" w:type="dxa"/>
            <w:tcBorders>
              <w:top w:val="single" w:color="auto" w:sz="4" w:space="0"/>
              <w:left w:val="nil"/>
              <w:bottom w:val="single" w:color="auto" w:sz="4" w:space="0"/>
              <w:right w:val="nil"/>
            </w:tcBorders>
            <w:noWrap w:val="0"/>
            <w:vAlign w:val="top"/>
          </w:tcPr>
          <w:p w14:paraId="10A19DAA">
            <w:pPr>
              <w:keepNext w:val="0"/>
              <w:keepLines w:val="0"/>
              <w:pageBreakBefore w:val="0"/>
              <w:widowControl w:val="0"/>
              <w:tabs>
                <w:tab w:val="left" w:pos="8295"/>
              </w:tabs>
              <w:kinsoku/>
              <w:wordWrap/>
              <w:overflowPunct/>
              <w:topLinePunct w:val="0"/>
              <w:autoSpaceDE/>
              <w:autoSpaceDN/>
              <w:bidi w:val="0"/>
              <w:spacing w:line="600" w:lineRule="exact"/>
              <w:ind w:left="0" w:leftChars="0" w:firstLine="0" w:firstLineChars="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鄂尔多斯市生态环境局准格尔旗分局</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20</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月</w:t>
            </w:r>
            <w:r>
              <w:rPr>
                <w:rFonts w:hint="eastAsia" w:ascii="仿宋_GB2312" w:hAnsi="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rPr>
              <w:t>日印发</w:t>
            </w:r>
          </w:p>
        </w:tc>
      </w:tr>
    </w:tbl>
    <w:p w14:paraId="6F646997">
      <w:pPr>
        <w:pStyle w:val="3"/>
        <w:ind w:left="0" w:leftChars="0" w:firstLine="0" w:firstLineChars="0"/>
        <w:rPr>
          <w:rFonts w:hint="eastAsia" w:ascii="仿宋_GB2312" w:hAnsi="仿宋_GB2312" w:eastAsia="仿宋_GB2312" w:cs="仿宋_GB2312"/>
          <w:color w:val="auto"/>
          <w:spacing w:val="0"/>
          <w:kern w:val="0"/>
          <w:sz w:val="32"/>
          <w:szCs w:val="32"/>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588" w:left="1588" w:header="851" w:footer="992" w:gutter="0"/>
      <w:pgNumType w:fmt="decimal"/>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Lucida Console">
    <w:panose1 w:val="020B0609040504020204"/>
    <w:charset w:val="00"/>
    <w:family w:val="modern"/>
    <w:pitch w:val="default"/>
    <w:sig w:usb0="8000028F" w:usb1="00001800" w:usb2="00000000" w:usb3="00000000" w:csb0="0000001F" w:csb1="D7D7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F43C7">
    <w:pPr>
      <w:pStyle w:val="11"/>
      <w:tabs>
        <w:tab w:val="clear" w:pos="4153"/>
        <w:tab w:val="clear" w:pos="8306"/>
      </w:tabs>
      <w:ind w:firstLine="560"/>
      <w:jc w:val="right"/>
      <w:rPr>
        <w:rFonts w:hint="eastAsia" w:asci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posOffset>-317500</wp:posOffset>
              </wp:positionH>
              <wp:positionV relativeFrom="paragraph">
                <wp:posOffset>41910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BEC76E">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5pt;margin-top:3.3pt;height:144pt;width:144pt;mso-position-horizontal-relative:margin;mso-wrap-style:none;z-index:251659264;mso-width-relative:page;mso-height-relative:page;" filled="f" stroked="f" coordsize="21600,21600" o:gfxdata="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rtgpfWAAAACQ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p w14:paraId="3CBEC76E">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9DC18">
    <w:pPr>
      <w:pStyle w:val="11"/>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CF4C5">
    <w:pPr>
      <w:pStyle w:val="11"/>
      <w:tabs>
        <w:tab w:val="clear" w:pos="4153"/>
        <w:tab w:val="clear" w:pos="8306"/>
      </w:tabs>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AE1FA">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3DAE1FA">
                    <w:pPr>
                      <w:pStyle w:val="11"/>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26369">
    <w:pPr>
      <w:pStyle w:val="12"/>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D3A85">
    <w:pPr>
      <w:pStyle w:val="12"/>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23171">
    <w:pPr>
      <w:pStyle w:val="12"/>
      <w:pBdr>
        <w:bottom w:val="none" w:color="auto" w:sz="0" w:space="0"/>
      </w:pBdr>
      <w:tabs>
        <w:tab w:val="clear" w:pos="4153"/>
        <w:tab w:val="clear" w:pos="8306"/>
      </w:tabs>
      <w:ind w:firstLine="360"/>
    </w:pPr>
  </w:p>
  <w:p w14:paraId="010888C7">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2MjY4ZDEwNjFmNzJjMTk1OTkyMjNiOTViMzRhMjEifQ=="/>
  </w:docVars>
  <w:rsids>
    <w:rsidRoot w:val="00000000"/>
    <w:rsid w:val="00F67043"/>
    <w:rsid w:val="01361DAA"/>
    <w:rsid w:val="025B2C9B"/>
    <w:rsid w:val="026C6D7F"/>
    <w:rsid w:val="05D65CA7"/>
    <w:rsid w:val="0A5E2B1A"/>
    <w:rsid w:val="0A972C45"/>
    <w:rsid w:val="0E29643F"/>
    <w:rsid w:val="0F093581"/>
    <w:rsid w:val="12744071"/>
    <w:rsid w:val="147F00BF"/>
    <w:rsid w:val="14AB1989"/>
    <w:rsid w:val="15602773"/>
    <w:rsid w:val="15A17D18"/>
    <w:rsid w:val="1A88237D"/>
    <w:rsid w:val="1B8F3477"/>
    <w:rsid w:val="1F2667DB"/>
    <w:rsid w:val="25444A42"/>
    <w:rsid w:val="25FF5582"/>
    <w:rsid w:val="279554EB"/>
    <w:rsid w:val="28D27F73"/>
    <w:rsid w:val="2A5A6DE9"/>
    <w:rsid w:val="2AE35581"/>
    <w:rsid w:val="2D572253"/>
    <w:rsid w:val="2DFB52D7"/>
    <w:rsid w:val="2E453D15"/>
    <w:rsid w:val="2E9B6C16"/>
    <w:rsid w:val="2F6321CD"/>
    <w:rsid w:val="2FFE034A"/>
    <w:rsid w:val="31A068BA"/>
    <w:rsid w:val="335D3FE6"/>
    <w:rsid w:val="35CF73B2"/>
    <w:rsid w:val="390E2362"/>
    <w:rsid w:val="3B491927"/>
    <w:rsid w:val="3C7F1298"/>
    <w:rsid w:val="3ED95802"/>
    <w:rsid w:val="40285A68"/>
    <w:rsid w:val="406E4BD8"/>
    <w:rsid w:val="40C15F0C"/>
    <w:rsid w:val="428B3BBD"/>
    <w:rsid w:val="46582E6F"/>
    <w:rsid w:val="47156397"/>
    <w:rsid w:val="47A243B1"/>
    <w:rsid w:val="48A842A9"/>
    <w:rsid w:val="49E24EA6"/>
    <w:rsid w:val="4BB623F8"/>
    <w:rsid w:val="4F053468"/>
    <w:rsid w:val="4F396E7E"/>
    <w:rsid w:val="4F744245"/>
    <w:rsid w:val="553F04E2"/>
    <w:rsid w:val="55F35CBC"/>
    <w:rsid w:val="561F2482"/>
    <w:rsid w:val="575C69E3"/>
    <w:rsid w:val="584541E2"/>
    <w:rsid w:val="58983E80"/>
    <w:rsid w:val="58C90E1B"/>
    <w:rsid w:val="5B5511B7"/>
    <w:rsid w:val="5D7C1E11"/>
    <w:rsid w:val="5FBE1E93"/>
    <w:rsid w:val="608D2F12"/>
    <w:rsid w:val="622938C9"/>
    <w:rsid w:val="636B5B38"/>
    <w:rsid w:val="67612EF6"/>
    <w:rsid w:val="67D619EE"/>
    <w:rsid w:val="68CD78A0"/>
    <w:rsid w:val="698E2580"/>
    <w:rsid w:val="6A362676"/>
    <w:rsid w:val="6AB73717"/>
    <w:rsid w:val="6B1528EE"/>
    <w:rsid w:val="6BF66135"/>
    <w:rsid w:val="6C1769B8"/>
    <w:rsid w:val="701875CA"/>
    <w:rsid w:val="706B383A"/>
    <w:rsid w:val="72F924F0"/>
    <w:rsid w:val="74062C7E"/>
    <w:rsid w:val="74E474F8"/>
    <w:rsid w:val="751F0CEB"/>
    <w:rsid w:val="752D5343"/>
    <w:rsid w:val="7794086F"/>
    <w:rsid w:val="77F80836"/>
    <w:rsid w:val="78132F2A"/>
    <w:rsid w:val="786475B1"/>
    <w:rsid w:val="790D425A"/>
    <w:rsid w:val="79155BE7"/>
    <w:rsid w:val="7A1D0DF3"/>
    <w:rsid w:val="7BDE0F2D"/>
    <w:rsid w:val="7C2F2634"/>
    <w:rsid w:val="7CAE1E75"/>
    <w:rsid w:val="7F7678E7"/>
    <w:rsid w:val="7F7E3AD3"/>
    <w:rsid w:val="7FF72930"/>
    <w:rsid w:val="D6BF4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200" w:firstLineChars="200"/>
    </w:pPr>
  </w:style>
  <w:style w:type="paragraph" w:styleId="3">
    <w:name w:val="Body Text First Indent 2"/>
    <w:basedOn w:val="4"/>
    <w:qFormat/>
    <w:uiPriority w:val="0"/>
    <w:pPr>
      <w:widowControl/>
      <w:ind w:firstLine="420" w:firstLineChars="200"/>
    </w:pPr>
    <w:rPr>
      <w:rFonts w:eastAsia="仿宋_GB2312"/>
    </w:rPr>
  </w:style>
  <w:style w:type="paragraph" w:styleId="4">
    <w:name w:val="Body Text Indent"/>
    <w:basedOn w:val="1"/>
    <w:qFormat/>
    <w:uiPriority w:val="0"/>
    <w:pPr>
      <w:keepNext/>
      <w:widowControl w:val="0"/>
      <w:spacing w:line="360" w:lineRule="auto"/>
    </w:pPr>
    <w:rPr>
      <w:rFonts w:eastAsia="宋体"/>
      <w:sz w:val="24"/>
    </w:rPr>
  </w:style>
  <w:style w:type="paragraph" w:styleId="5">
    <w:name w:val="annotation text"/>
    <w:basedOn w:val="1"/>
    <w:next w:val="1"/>
    <w:semiHidden/>
    <w:qFormat/>
    <w:uiPriority w:val="0"/>
    <w:pPr>
      <w:jc w:val="left"/>
    </w:pPr>
    <w:rPr>
      <w:kern w:val="0"/>
      <w:sz w:val="20"/>
    </w:rPr>
  </w:style>
  <w:style w:type="paragraph" w:styleId="6">
    <w:name w:val="Body Text"/>
    <w:basedOn w:val="1"/>
    <w:next w:val="7"/>
    <w:qFormat/>
    <w:uiPriority w:val="0"/>
    <w:pPr>
      <w:spacing w:after="120" w:afterLines="0" w:afterAutospacing="0"/>
    </w:pPr>
  </w:style>
  <w:style w:type="paragraph" w:customStyle="1" w:styleId="7">
    <w:name w:val="Normal (Web)1"/>
    <w:basedOn w:val="1"/>
    <w:next w:val="8"/>
    <w:qFormat/>
    <w:uiPriority w:val="0"/>
    <w:pPr>
      <w:widowControl/>
      <w:jc w:val="left"/>
    </w:pPr>
    <w:rPr>
      <w:rFonts w:ascii="宋体" w:hAnsi="Times New Roman" w:eastAsia="宋体" w:cs="Times New Roman"/>
      <w:kern w:val="0"/>
      <w:sz w:val="24"/>
      <w:szCs w:val="21"/>
    </w:rPr>
  </w:style>
  <w:style w:type="paragraph" w:customStyle="1" w:styleId="8">
    <w:name w:val="Date1"/>
    <w:basedOn w:val="1"/>
    <w:next w:val="1"/>
    <w:qFormat/>
    <w:uiPriority w:val="0"/>
    <w:pPr>
      <w:adjustRightInd w:val="0"/>
      <w:textAlignment w:val="baseline"/>
    </w:pPr>
    <w:rPr>
      <w:szCs w:val="20"/>
    </w:rPr>
  </w:style>
  <w:style w:type="paragraph" w:styleId="9">
    <w:name w:val="Plain Text"/>
    <w:basedOn w:val="1"/>
    <w:qFormat/>
    <w:uiPriority w:val="0"/>
    <w:rPr>
      <w:rFonts w:ascii="宋体" w:hAnsi="Lucida Console" w:eastAsia="仿宋_GB2312"/>
      <w:sz w:val="24"/>
    </w:rPr>
  </w:style>
  <w:style w:type="paragraph" w:styleId="10">
    <w:name w:val="Body Text Indent 2"/>
    <w:basedOn w:val="1"/>
    <w:next w:val="1"/>
    <w:qFormat/>
    <w:uiPriority w:val="0"/>
    <w:pPr>
      <w:spacing w:after="120" w:line="480" w:lineRule="auto"/>
      <w:ind w:left="420" w:leftChars="200"/>
    </w:p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next w:val="13"/>
    <w:qFormat/>
    <w:uiPriority w:val="0"/>
    <w:pPr>
      <w:pBdr>
        <w:bottom w:val="single" w:color="auto" w:sz="6" w:space="1"/>
      </w:pBdr>
      <w:tabs>
        <w:tab w:val="center" w:pos="4153"/>
        <w:tab w:val="right" w:pos="8306"/>
      </w:tabs>
      <w:snapToGrid w:val="0"/>
      <w:jc w:val="center"/>
    </w:pPr>
    <w:rPr>
      <w:sz w:val="18"/>
      <w:szCs w:val="18"/>
    </w:rPr>
  </w:style>
  <w:style w:type="paragraph" w:customStyle="1" w:styleId="13">
    <w:name w:val="样式5"/>
    <w:basedOn w:val="14"/>
    <w:qFormat/>
    <w:uiPriority w:val="0"/>
    <w:pPr>
      <w:snapToGrid w:val="0"/>
      <w:spacing w:line="360" w:lineRule="auto"/>
      <w:ind w:firstLine="510"/>
    </w:pPr>
    <w:rPr>
      <w:sz w:val="24"/>
    </w:rPr>
  </w:style>
  <w:style w:type="paragraph" w:customStyle="1" w:styleId="14">
    <w:name w:val="正文1"/>
    <w:basedOn w:val="1"/>
    <w:next w:val="1"/>
    <w:qFormat/>
    <w:uiPriority w:val="0"/>
    <w:pPr>
      <w:adjustRightInd w:val="0"/>
      <w:spacing w:line="360" w:lineRule="auto"/>
      <w:jc w:val="center"/>
      <w:textAlignment w:val="baseline"/>
    </w:pPr>
    <w:rPr>
      <w:kern w:val="0"/>
      <w:sz w:val="28"/>
      <w:szCs w:val="20"/>
    </w:rPr>
  </w:style>
  <w:style w:type="character" w:styleId="17">
    <w:name w:val="Strong"/>
    <w:basedOn w:val="16"/>
    <w:qFormat/>
    <w:uiPriority w:val="0"/>
    <w:rPr>
      <w:b/>
    </w:rPr>
  </w:style>
  <w:style w:type="character" w:styleId="18">
    <w:name w:val="FollowedHyperlink"/>
    <w:basedOn w:val="16"/>
    <w:qFormat/>
    <w:uiPriority w:val="0"/>
    <w:rPr>
      <w:color w:val="333333"/>
      <w:u w:val="none"/>
    </w:rPr>
  </w:style>
  <w:style w:type="character" w:styleId="19">
    <w:name w:val="Hyperlink"/>
    <w:basedOn w:val="16"/>
    <w:qFormat/>
    <w:uiPriority w:val="0"/>
    <w:rPr>
      <w:color w:val="333333"/>
      <w:u w:val="none"/>
    </w:rPr>
  </w:style>
  <w:style w:type="character" w:styleId="20">
    <w:name w:val="HTML Sample"/>
    <w:basedOn w:val="16"/>
    <w:qFormat/>
    <w:uiPriority w:val="0"/>
    <w:rPr>
      <w:rFonts w:ascii="Courier New" w:hAnsi="Courier New"/>
    </w:rPr>
  </w:style>
  <w:style w:type="paragraph" w:customStyle="1" w:styleId="21">
    <w:name w:val="xl27"/>
    <w:basedOn w:val="1"/>
    <w:next w:val="5"/>
    <w:qFormat/>
    <w:uiPriority w:val="0"/>
    <w:pPr>
      <w:pBdr>
        <w:bottom w:val="single" w:color="auto" w:sz="12" w:space="0"/>
      </w:pBdr>
      <w:jc w:val="center"/>
    </w:pPr>
  </w:style>
  <w:style w:type="paragraph" w:customStyle="1" w:styleId="22">
    <w:name w:val="样式 正文缩进正文缩进2正文缩进 Char Char正文缩进 Char Char Char Char正文缩进 Char ..."/>
    <w:basedOn w:val="2"/>
    <w:qFormat/>
    <w:uiPriority w:val="0"/>
    <w:pPr>
      <w:spacing w:line="360" w:lineRule="auto"/>
      <w:ind w:firstLine="200"/>
    </w:pPr>
    <w:rPr>
      <w:rFonts w:cs="宋体"/>
      <w:sz w:val="24"/>
    </w:rPr>
  </w:style>
  <w:style w:type="paragraph" w:customStyle="1" w:styleId="23">
    <w:name w:val="Default"/>
    <w:basedOn w:val="24"/>
    <w:next w:val="25"/>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4">
    <w:name w:val="文本"/>
    <w:basedOn w:val="1"/>
    <w:next w:val="1"/>
    <w:qFormat/>
    <w:uiPriority w:val="0"/>
    <w:pPr>
      <w:autoSpaceDE w:val="0"/>
      <w:autoSpaceDN w:val="0"/>
      <w:ind w:firstLine="480"/>
    </w:pPr>
    <w:rPr>
      <w:lang w:val="zh-CN"/>
    </w:rPr>
  </w:style>
  <w:style w:type="paragraph" w:customStyle="1" w:styleId="25">
    <w:name w:val="表格文字"/>
    <w:basedOn w:val="6"/>
    <w:next w:val="1"/>
    <w:qFormat/>
    <w:uiPriority w:val="0"/>
    <w:pPr>
      <w:snapToGrid w:val="0"/>
      <w:contextualSpacing/>
      <w:jc w:val="center"/>
    </w:pPr>
    <w:rPr>
      <w:szCs w:val="21"/>
    </w:rPr>
  </w:style>
  <w:style w:type="paragraph" w:customStyle="1" w:styleId="26">
    <w:name w:val="Table Paragraph"/>
    <w:basedOn w:val="1"/>
    <w:qFormat/>
    <w:uiPriority w:val="1"/>
    <w:rPr>
      <w:rFonts w:ascii="宋体" w:hAnsi="宋体" w:eastAsia="宋体" w:cs="宋体"/>
      <w:lang w:val="zh-CN" w:eastAsia="zh-CN" w:bidi="zh-CN"/>
    </w:rPr>
  </w:style>
  <w:style w:type="character" w:customStyle="1" w:styleId="27">
    <w:name w:val="bsharetext"/>
    <w:basedOn w:val="16"/>
    <w:qFormat/>
    <w:uiPriority w:val="0"/>
  </w:style>
  <w:style w:type="paragraph" w:customStyle="1" w:styleId="28">
    <w:name w:val="付正文"/>
    <w:basedOn w:val="1"/>
    <w:qFormat/>
    <w:uiPriority w:val="0"/>
    <w:pPr>
      <w:spacing w:line="360" w:lineRule="auto"/>
    </w:pPr>
    <w:rPr>
      <w:rFonts w:ascii="宋体" w:eastAsia="宋体"/>
      <w:color w:val="000000"/>
      <w:szCs w:val="21"/>
    </w:rPr>
  </w:style>
  <w:style w:type="paragraph" w:customStyle="1" w:styleId="29">
    <w:name w:val="正文-Z"/>
    <w:basedOn w:val="1"/>
    <w:qFormat/>
    <w:uiPriority w:val="0"/>
    <w:pPr>
      <w:spacing w:line="360" w:lineRule="auto"/>
      <w:ind w:firstLine="420" w:firstLineChars="200"/>
      <w:jc w:val="left"/>
    </w:pPr>
    <w:rPr>
      <w:rFonts w:eastAsiaTheme="minorEastAsia"/>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1386</Words>
  <Characters>1436</Characters>
  <Lines>0</Lines>
  <Paragraphs>0</Paragraphs>
  <TotalTime>5</TotalTime>
  <ScaleCrop>false</ScaleCrop>
  <LinksUpToDate>false</LinksUpToDate>
  <CharactersWithSpaces>1493</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燕儿</cp:lastModifiedBy>
  <cp:lastPrinted>2026-08-05T02:58:09Z</cp:lastPrinted>
  <dcterms:modified xsi:type="dcterms:W3CDTF">2026-08-05T03:02:53Z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F926293E6B7B4F91BFA842F864850618</vt:lpwstr>
  </property>
  <property fmtid="{D5CDD505-2E9C-101B-9397-08002B2CF9AE}" pid="4" name="KSOTemplateDocerSaveRecord">
    <vt:lpwstr>eyJoZGlkIjoiYTZlOWI3ZGY4MTY5OGIzMGU2MDMzMTc0NWVkM2E0MmQiLCJ1c2VySWQiOiIyMDYzMTU3NjYifQ==</vt:lpwstr>
  </property>
</Properties>
</file>