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A504D">
      <w:pPr>
        <w:keepNext w:val="0"/>
        <w:keepLines w:val="0"/>
        <w:pageBreakBefore w:val="0"/>
        <w:widowControl w:val="0"/>
        <w:tabs>
          <w:tab w:val="left" w:pos="2562"/>
        </w:tabs>
        <w:kinsoku/>
        <w:wordWrap/>
        <w:overflowPunct/>
        <w:topLinePunct w:val="0"/>
        <w:autoSpaceDE/>
        <w:autoSpaceDN/>
        <w:bidi w:val="0"/>
        <w:adjustRightInd/>
        <w:snapToGrid/>
        <w:spacing w:before="5460" w:beforeLines="1750" w:after="0" w:afterLines="0" w:line="579" w:lineRule="exact"/>
        <w:ind w:left="0" w:leftChars="0" w:right="0" w:rightChars="0" w:firstLine="0" w:firstLineChars="0"/>
        <w:jc w:val="center"/>
        <w:textAlignment w:val="auto"/>
        <w:outlineLvl w:val="9"/>
        <w:rPr>
          <w:rFonts w:hint="eastAsia" w:ascii="仿宋" w:hAnsi="仿宋" w:eastAsia="仿宋"/>
          <w:color w:val="auto"/>
          <w:sz w:val="32"/>
          <w:szCs w:val="32"/>
        </w:rPr>
      </w:pPr>
      <w:r>
        <w:rPr>
          <w:rFonts w:hint="eastAsia" w:ascii="仿宋_GB2312" w:hAnsi="仿宋_GB2312" w:eastAsia="仿宋_GB2312" w:cs="仿宋_GB2312"/>
          <w:color w:val="auto"/>
          <w:sz w:val="32"/>
          <w:szCs w:val="32"/>
          <w:lang w:eastAsia="zh-CN"/>
        </w:rPr>
        <w:t>鄂环准审字</w:t>
      </w: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w:t>
      </w:r>
      <w:r>
        <w:rPr>
          <w:rFonts w:hint="eastAsia" w:ascii="仿宋_GB2312" w:hAnsi="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号</w:t>
      </w:r>
    </w:p>
    <w:p w14:paraId="21C73ABD">
      <w:pPr>
        <w:keepNext w:val="0"/>
        <w:keepLines w:val="0"/>
        <w:pageBreakBefore w:val="0"/>
        <w:widowControl w:val="0"/>
        <w:kinsoku/>
        <w:wordWrap/>
        <w:overflowPunct/>
        <w:topLinePunct w:val="0"/>
        <w:autoSpaceDE/>
        <w:autoSpaceDN/>
        <w:bidi w:val="0"/>
        <w:adjustRightInd/>
        <w:snapToGrid/>
        <w:spacing w:before="875" w:beforeLines="280" w:beforeAutospacing="0" w:afterAutospacing="0" w:line="579" w:lineRule="exact"/>
        <w:ind w:left="0" w:leftChars="0" w:firstLine="0" w:firstLineChars="0"/>
        <w:jc w:val="center"/>
        <w:textAlignment w:val="auto"/>
        <w:rPr>
          <w:rFonts w:hint="eastAsia" w:ascii="方正小标宋简体" w:hAnsi="仿宋" w:eastAsia="方正小标宋简体" w:cs="Times New Roman"/>
          <w:color w:val="auto"/>
          <w:spacing w:val="0"/>
          <w:sz w:val="44"/>
          <w:szCs w:val="44"/>
          <w:highlight w:val="none"/>
          <w:lang w:eastAsia="zh-CN"/>
        </w:rPr>
      </w:pPr>
      <w:r>
        <w:rPr>
          <w:rFonts w:hint="eastAsia" w:ascii="方正小标宋简体" w:hAnsi="仿宋" w:eastAsia="方正小标宋简体" w:cs="Times New Roman"/>
          <w:color w:val="auto"/>
          <w:spacing w:val="0"/>
          <w:sz w:val="44"/>
          <w:szCs w:val="44"/>
          <w:highlight w:val="none"/>
          <w:lang w:eastAsia="zh-CN"/>
        </w:rPr>
        <w:t>鄂尔多斯市生态环境局准格尔旗分局</w:t>
      </w:r>
    </w:p>
    <w:p w14:paraId="2F53953D">
      <w:pPr>
        <w:keepNext w:val="0"/>
        <w:keepLines w:val="0"/>
        <w:pageBreakBefore w:val="0"/>
        <w:widowControl w:val="0"/>
        <w:kinsoku/>
        <w:wordWrap/>
        <w:overflowPunct/>
        <w:topLinePunct w:val="0"/>
        <w:autoSpaceDE/>
        <w:autoSpaceDN/>
        <w:bidi w:val="0"/>
        <w:adjustRightInd/>
        <w:snapToGrid/>
        <w:spacing w:beforeAutospacing="0" w:afterAutospacing="0" w:line="579" w:lineRule="exact"/>
        <w:ind w:left="0" w:leftChars="0" w:firstLine="0" w:firstLineChars="0"/>
        <w:jc w:val="center"/>
        <w:textAlignment w:val="auto"/>
        <w:rPr>
          <w:rFonts w:hint="default" w:ascii="方正小标宋简体" w:hAnsi="仿宋" w:eastAsia="方正小标宋简体" w:cs="Times New Roman"/>
          <w:color w:val="auto"/>
          <w:spacing w:val="0"/>
          <w:sz w:val="44"/>
          <w:szCs w:val="44"/>
          <w:highlight w:val="none"/>
          <w:lang w:val="en-US" w:eastAsia="zh-CN"/>
        </w:rPr>
      </w:pPr>
      <w:r>
        <w:rPr>
          <w:rFonts w:hint="eastAsia" w:ascii="方正小标宋简体" w:hAnsi="仿宋" w:eastAsia="方正小标宋简体"/>
          <w:color w:val="auto"/>
          <w:spacing w:val="-11"/>
          <w:sz w:val="44"/>
          <w:szCs w:val="44"/>
          <w:highlight w:val="none"/>
        </w:rPr>
        <w:t>关</w:t>
      </w:r>
      <w:r>
        <w:rPr>
          <w:rFonts w:hint="eastAsia" w:ascii="方正小标宋简体" w:hAnsi="仿宋" w:eastAsia="方正小标宋简体" w:cs="Times New Roman"/>
          <w:color w:val="auto"/>
          <w:spacing w:val="0"/>
          <w:sz w:val="44"/>
          <w:szCs w:val="44"/>
          <w:highlight w:val="none"/>
          <w:lang w:eastAsia="zh-CN"/>
        </w:rPr>
        <w:t>于准格尔旗食联煤炭有限责任公司食联煤矿全封闭储煤棚迁建变更项目</w:t>
      </w:r>
      <w:r>
        <w:rPr>
          <w:rFonts w:hint="eastAsia" w:ascii="方正小标宋简体" w:hAnsi="仿宋" w:eastAsia="方正小标宋简体" w:cs="Times New Roman"/>
          <w:color w:val="auto"/>
          <w:spacing w:val="0"/>
          <w:sz w:val="44"/>
          <w:szCs w:val="44"/>
          <w:highlight w:val="none"/>
          <w:lang w:val="en-US" w:eastAsia="zh-CN"/>
        </w:rPr>
        <w:t xml:space="preserve">环境影响报告表的批复  </w:t>
      </w:r>
    </w:p>
    <w:p w14:paraId="488DD6F6">
      <w:pPr>
        <w:keepLines w:val="0"/>
        <w:pageBreakBefore w:val="0"/>
        <w:kinsoku/>
        <w:overflowPunct/>
        <w:topLinePunct w:val="0"/>
        <w:autoSpaceDE/>
        <w:autoSpaceDN/>
        <w:bidi w:val="0"/>
        <w:spacing w:beforeAutospacing="0" w:afterAutospacing="0" w:line="579" w:lineRule="exact"/>
        <w:jc w:val="center"/>
        <w:textAlignment w:val="auto"/>
        <w:rPr>
          <w:rFonts w:hint="eastAsia" w:ascii="方正小标宋简体" w:hAnsi="仿宋" w:eastAsia="方正小标宋简体"/>
          <w:color w:val="auto"/>
          <w:spacing w:val="0"/>
          <w:sz w:val="44"/>
          <w:szCs w:val="44"/>
          <w:lang w:eastAsia="zh-CN"/>
        </w:rPr>
      </w:pPr>
    </w:p>
    <w:p w14:paraId="6CE1FE43">
      <w:pPr>
        <w:keepNext w:val="0"/>
        <w:keepLines w:val="0"/>
        <w:pageBreakBefore w:val="0"/>
        <w:widowControl w:val="0"/>
        <w:kinsoku/>
        <w:overflowPunct/>
        <w:topLinePunct w:val="0"/>
        <w:autoSpaceDE/>
        <w:autoSpaceDN/>
        <w:bidi w:val="0"/>
        <w:spacing w:line="579" w:lineRule="exact"/>
        <w:ind w:left="0" w:leftChars="0" w:firstLine="0" w:firstLineChars="0"/>
        <w:textAlignment w:val="auto"/>
        <w:rPr>
          <w:rFonts w:hint="eastAsia" w:ascii="仿宋_GB2312" w:hAnsi="仿宋_GB2312" w:cs="仿宋_GB2312"/>
          <w:color w:val="000000"/>
          <w:szCs w:val="32"/>
          <w:lang w:val="en-US" w:eastAsia="zh-CN"/>
        </w:rPr>
      </w:pPr>
      <w:r>
        <w:rPr>
          <w:rFonts w:hint="eastAsia" w:ascii="仿宋_GB2312" w:hAnsi="仿宋_GB2312" w:eastAsia="仿宋_GB2312" w:cs="仿宋_GB2312"/>
          <w:i w:val="0"/>
          <w:caps w:val="0"/>
          <w:color w:val="000000" w:themeColor="text1"/>
          <w:spacing w:val="0"/>
          <w:kern w:val="0"/>
          <w:sz w:val="32"/>
          <w:szCs w:val="32"/>
          <w:highlight w:val="none"/>
          <w:shd w:val="clear" w:fill="FFFFFF"/>
          <w:lang w:val="en-US" w:eastAsia="zh-CN" w:bidi="ar"/>
          <w14:textFill>
            <w14:solidFill>
              <w14:schemeClr w14:val="tx1"/>
            </w14:solidFill>
          </w14:textFill>
        </w:rPr>
        <w:t>准格尔旗食联煤炭有限责任公司：</w:t>
      </w:r>
    </w:p>
    <w:p w14:paraId="0CD02F4A">
      <w:pPr>
        <w:keepLines w:val="0"/>
        <w:pageBreakBefore w:val="0"/>
        <w:kinsoku/>
        <w:overflowPunct/>
        <w:topLinePunct w:val="0"/>
        <w:autoSpaceDE/>
        <w:autoSpaceDN/>
        <w:bidi w:val="0"/>
        <w:spacing w:beforeAutospacing="0" w:afterAutospacing="0" w:line="579" w:lineRule="exact"/>
        <w:ind w:left="0" w:leftChars="0" w:firstLine="640" w:firstLineChars="200"/>
        <w:jc w:val="both"/>
        <w:textAlignment w:val="auto"/>
        <w:rPr>
          <w:rFonts w:hint="eastAsia" w:ascii="仿宋_GB2312" w:hAnsi="仿宋_GB2312" w:eastAsia="仿宋_GB2312" w:cs="仿宋_GB2312"/>
          <w:color w:val="000000"/>
          <w:szCs w:val="32"/>
          <w:lang w:val="en-US" w:eastAsia="zh-CN"/>
        </w:rPr>
      </w:pPr>
      <w:r>
        <w:rPr>
          <w:rFonts w:hint="eastAsia" w:ascii="仿宋_GB2312" w:hAnsi="仿宋_GB2312" w:eastAsia="仿宋_GB2312" w:cs="仿宋_GB2312"/>
          <w:i w:val="0"/>
          <w:caps w:val="0"/>
          <w:color w:val="000000" w:themeColor="text1"/>
          <w:spacing w:val="0"/>
          <w:kern w:val="0"/>
          <w:sz w:val="32"/>
          <w:szCs w:val="32"/>
          <w:highlight w:val="none"/>
          <w:shd w:val="clear" w:fill="FFFFFF"/>
          <w:lang w:val="en-US" w:eastAsia="zh-CN" w:bidi="ar"/>
          <w14:textFill>
            <w14:solidFill>
              <w14:schemeClr w14:val="tx1"/>
            </w14:solidFill>
          </w14:textFill>
        </w:rPr>
        <w:t>你</w:t>
      </w:r>
      <w:r>
        <w:rPr>
          <w:rFonts w:hint="eastAsia" w:ascii="仿宋_GB2312" w:hAnsi="仿宋_GB2312" w:cs="仿宋_GB2312"/>
          <w:i w:val="0"/>
          <w:caps w:val="0"/>
          <w:color w:val="000000" w:themeColor="text1"/>
          <w:spacing w:val="0"/>
          <w:kern w:val="0"/>
          <w:sz w:val="32"/>
          <w:szCs w:val="32"/>
          <w:highlight w:val="none"/>
          <w:shd w:val="clear" w:fill="FFFFFF"/>
          <w:lang w:val="en-US" w:eastAsia="zh-CN" w:bidi="ar"/>
          <w14:textFill>
            <w14:solidFill>
              <w14:schemeClr w14:val="tx1"/>
            </w14:solidFill>
          </w14:textFill>
        </w:rPr>
        <w:t>公司</w:t>
      </w:r>
      <w:r>
        <w:rPr>
          <w:rFonts w:hint="eastAsia" w:ascii="仿宋_GB2312" w:hAnsi="仿宋_GB2312" w:eastAsia="仿宋_GB2312" w:cs="仿宋_GB2312"/>
          <w:i w:val="0"/>
          <w:caps w:val="0"/>
          <w:color w:val="000000" w:themeColor="text1"/>
          <w:spacing w:val="0"/>
          <w:kern w:val="0"/>
          <w:sz w:val="32"/>
          <w:szCs w:val="32"/>
          <w:highlight w:val="none"/>
          <w:shd w:val="clear" w:fill="FFFFFF"/>
          <w:lang w:val="en-US" w:eastAsia="zh-CN" w:bidi="ar"/>
          <w14:textFill>
            <w14:solidFill>
              <w14:schemeClr w14:val="tx1"/>
            </w14:solidFill>
          </w14:textFill>
        </w:rPr>
        <w:t>报送的由内蒙古清禾环保科技有限公司编制的《准格尔旗食联煤炭有限责任公司食联煤矿全封闭储煤棚迁建变更项目环境影响报告表》（以下简称《报告表》）收悉。经研究，现批复如下：</w:t>
      </w:r>
    </w:p>
    <w:p w14:paraId="02BFF21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color w:val="000000"/>
          <w:szCs w:val="32"/>
          <w:highlight w:val="none"/>
          <w:lang w:val="en-US" w:eastAsia="zh-CN"/>
        </w:rPr>
      </w:pPr>
      <w:r>
        <w:rPr>
          <w:rFonts w:hint="default" w:ascii="仿宋_GB2312" w:hAnsi="仿宋_GB2312" w:cs="仿宋_GB2312"/>
          <w:color w:val="000000"/>
          <w:szCs w:val="32"/>
          <w:lang w:eastAsia="zh-CN"/>
        </w:rPr>
        <w:t>一、本项目位于鄂尔多斯市准格尔旗暖水乡食联煤矿二采区西北侧，属于煤矿储煤棚迁建变更建设项目</w:t>
      </w:r>
      <w:r>
        <w:rPr>
          <w:rFonts w:hint="eastAsia" w:ascii="仿宋_GB2312" w:hAnsi="仿宋_GB2312" w:cs="仿宋_GB2312"/>
          <w:color w:val="000000"/>
          <w:szCs w:val="32"/>
          <w:lang w:eastAsia="zh-CN"/>
        </w:rPr>
        <w:t>。项目新建封闭式储煤棚 1 座，煤炭总堆存容量 1.2 万吨，原煤年吞吐量 20 万吨，总占地面积 6304.7</w:t>
      </w:r>
      <w:r>
        <w:rPr>
          <w:rFonts w:hint="eastAsia" w:ascii="仿宋_GB2312" w:hAnsi="仿宋_GB2312" w:cs="仿宋_GB2312"/>
          <w:color w:val="000000"/>
          <w:szCs w:val="32"/>
          <w:lang w:val="en-US" w:eastAsia="zh-CN"/>
        </w:rPr>
        <w:t>平方米</w:t>
      </w:r>
      <w:r>
        <w:rPr>
          <w:rFonts w:hint="eastAsia" w:ascii="仿宋_GB2312" w:hAnsi="仿宋_GB2312" w:cs="仿宋_GB2312"/>
          <w:color w:val="000000"/>
          <w:szCs w:val="32"/>
          <w:lang w:eastAsia="zh-CN"/>
        </w:rPr>
        <w:t>；棚内配套安装原煤破碎设备、筛分设备各 1 台。</w:t>
      </w:r>
      <w:r>
        <w:rPr>
          <w:rFonts w:hint="default" w:ascii="仿宋_GB2312" w:hAnsi="仿宋_GB2312" w:cs="仿宋_GB2312"/>
          <w:color w:val="000000"/>
          <w:szCs w:val="32"/>
          <w:lang w:eastAsia="zh-CN"/>
        </w:rPr>
        <w:t>项目总投资310万元，其中环保投资</w:t>
      </w:r>
      <w:r>
        <w:rPr>
          <w:rFonts w:hint="eastAsia" w:ascii="仿宋_GB2312" w:hAnsi="仿宋_GB2312" w:cs="仿宋_GB2312"/>
          <w:color w:val="000000"/>
          <w:szCs w:val="32"/>
          <w:lang w:val="en-US" w:eastAsia="zh-CN"/>
        </w:rPr>
        <w:t>56</w:t>
      </w:r>
      <w:r>
        <w:rPr>
          <w:rFonts w:hint="default" w:ascii="仿宋_GB2312" w:hAnsi="仿宋_GB2312" w:cs="仿宋_GB2312"/>
          <w:color w:val="000000"/>
          <w:szCs w:val="32"/>
          <w:lang w:eastAsia="zh-CN"/>
        </w:rPr>
        <w:t>万元，占总投资的</w:t>
      </w:r>
      <w:r>
        <w:rPr>
          <w:rFonts w:hint="eastAsia" w:ascii="仿宋_GB2312" w:hAnsi="仿宋_GB2312" w:cs="仿宋_GB2312"/>
          <w:color w:val="000000"/>
          <w:szCs w:val="32"/>
          <w:lang w:val="en-US" w:eastAsia="zh-CN"/>
        </w:rPr>
        <w:t>18.06</w:t>
      </w:r>
      <w:r>
        <w:rPr>
          <w:rFonts w:hint="default" w:ascii="仿宋_GB2312" w:hAnsi="仿宋_GB2312" w:cs="仿宋_GB2312"/>
          <w:color w:val="000000"/>
          <w:szCs w:val="32"/>
          <w:lang w:eastAsia="zh-CN"/>
        </w:rPr>
        <w:t>%。</w:t>
      </w:r>
    </w:p>
    <w:p w14:paraId="0FAAFDCD">
      <w:pPr>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textAlignment w:val="auto"/>
        <w:rPr>
          <w:rFonts w:hint="eastAsia" w:ascii="仿宋_GB2312" w:hAnsi="仿宋_GB2312" w:eastAsia="仿宋_GB2312" w:cs="仿宋_GB2312"/>
          <w:color w:val="000000"/>
          <w:szCs w:val="32"/>
          <w:highlight w:val="none"/>
          <w:lang w:val="en-US" w:eastAsia="zh-CN"/>
        </w:rPr>
      </w:pPr>
      <w:r>
        <w:rPr>
          <w:rFonts w:hint="eastAsia" w:ascii="仿宋_GB2312" w:hAnsi="仿宋_GB2312" w:eastAsia="仿宋_GB2312" w:cs="仿宋_GB2312"/>
          <w:color w:val="000000"/>
          <w:szCs w:val="32"/>
          <w:highlight w:val="none"/>
          <w:lang w:val="en-US" w:eastAsia="zh-CN"/>
        </w:rPr>
        <w:t>《报告表》认为，在全面落实各项生态环境保护和环境污染防治措施的前提下，项目建设对环境的不利影响能够得到一定的缓解和控制。因此，我局原则同意你</w:t>
      </w:r>
      <w:r>
        <w:rPr>
          <w:rFonts w:hint="eastAsia" w:ascii="仿宋_GB2312" w:hAnsi="仿宋_GB2312" w:cs="仿宋_GB2312"/>
          <w:color w:val="000000"/>
          <w:szCs w:val="32"/>
          <w:highlight w:val="none"/>
          <w:lang w:val="en-US" w:eastAsia="zh-CN"/>
        </w:rPr>
        <w:t>公司</w:t>
      </w:r>
      <w:r>
        <w:rPr>
          <w:rFonts w:hint="eastAsia" w:ascii="仿宋_GB2312" w:hAnsi="仿宋_GB2312" w:eastAsia="仿宋_GB2312" w:cs="仿宋_GB2312"/>
          <w:color w:val="000000"/>
          <w:szCs w:val="32"/>
          <w:highlight w:val="none"/>
          <w:lang w:val="en-US" w:eastAsia="zh-CN"/>
        </w:rPr>
        <w:t>按照《报告表》中所列的建设项目性质、规模、地点、环境保护</w:t>
      </w:r>
      <w:bookmarkStart w:id="0" w:name="_GoBack"/>
      <w:bookmarkEnd w:id="0"/>
      <w:r>
        <w:rPr>
          <w:rFonts w:hint="eastAsia" w:ascii="仿宋_GB2312" w:hAnsi="仿宋_GB2312" w:eastAsia="仿宋_GB2312" w:cs="仿宋_GB2312"/>
          <w:color w:val="000000"/>
          <w:szCs w:val="32"/>
          <w:highlight w:val="none"/>
          <w:lang w:val="en-US" w:eastAsia="zh-CN"/>
        </w:rPr>
        <w:t>措施进行建设。</w:t>
      </w:r>
    </w:p>
    <w:p w14:paraId="7E9BD4C6">
      <w:pPr>
        <w:keepNext w:val="0"/>
        <w:keepLines w:val="0"/>
        <w:pageBreakBefore w:val="0"/>
        <w:widowControl w:val="0"/>
        <w:kinsoku/>
        <w:overflowPunct/>
        <w:topLinePunct w:val="0"/>
        <w:autoSpaceDE/>
        <w:autoSpaceDN/>
        <w:bidi w:val="0"/>
        <w:spacing w:line="579" w:lineRule="exact"/>
        <w:ind w:left="0" w:leftChars="0" w:firstLine="0" w:firstLineChars="0"/>
        <w:textAlignment w:val="auto"/>
        <w:rPr>
          <w:rFonts w:hint="eastAsia" w:ascii="仿宋_GB2312" w:hAnsi="仿宋_GB2312" w:eastAsia="仿宋_GB2312" w:cs="仿宋_GB2312"/>
          <w:color w:val="000000"/>
          <w:szCs w:val="32"/>
          <w:highlight w:val="none"/>
          <w:lang w:val="en-US" w:eastAsia="zh-CN"/>
        </w:rPr>
      </w:pPr>
      <w:r>
        <w:rPr>
          <w:rFonts w:hint="eastAsia" w:ascii="仿宋_GB2312" w:hAnsi="仿宋_GB2312" w:eastAsia="仿宋_GB2312" w:cs="仿宋_GB2312"/>
          <w:color w:val="000000"/>
          <w:szCs w:val="32"/>
          <w:highlight w:val="none"/>
          <w:lang w:val="en-US" w:eastAsia="zh-CN"/>
        </w:rPr>
        <w:t xml:space="preserve">    </w:t>
      </w:r>
      <w:r>
        <w:rPr>
          <w:rFonts w:hint="eastAsia" w:ascii="仿宋_GB2312" w:hAnsi="仿宋_GB2312" w:cs="仿宋_GB2312"/>
          <w:color w:val="000000"/>
          <w:szCs w:val="32"/>
          <w:highlight w:val="none"/>
          <w:lang w:val="en-US" w:eastAsia="zh-CN"/>
        </w:rPr>
        <w:t>二</w:t>
      </w:r>
      <w:r>
        <w:rPr>
          <w:rFonts w:hint="eastAsia" w:ascii="仿宋_GB2312" w:hAnsi="仿宋_GB2312" w:eastAsia="仿宋_GB2312" w:cs="仿宋_GB2312"/>
          <w:color w:val="000000"/>
          <w:szCs w:val="32"/>
          <w:highlight w:val="none"/>
          <w:lang w:val="en-US" w:eastAsia="zh-CN"/>
        </w:rPr>
        <w:t>、项目建设与运行管理中应重点做好的工作</w:t>
      </w:r>
      <w:r>
        <w:rPr>
          <w:rFonts w:hint="eastAsia" w:ascii="仿宋_GB2312" w:hAnsi="仿宋_GB2312" w:cs="仿宋_GB2312"/>
          <w:color w:val="000000"/>
          <w:szCs w:val="32"/>
          <w:highlight w:val="none"/>
          <w:lang w:val="en-US" w:eastAsia="zh-CN"/>
        </w:rPr>
        <w:t>：</w:t>
      </w:r>
    </w:p>
    <w:p w14:paraId="6E2D74FB">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79" w:lineRule="exact"/>
        <w:ind w:left="0" w:leftChars="0" w:right="0" w:rightChars="0" w:firstLine="640" w:firstLineChars="200"/>
        <w:jc w:val="left"/>
        <w:textAlignment w:val="auto"/>
        <w:outlineLvl w:val="9"/>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pPr>
      <w:r>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（一）严格落实施工期全过程环境管理，坚持边施工、边治理、边生态恢复原则</w:t>
      </w:r>
      <w:r>
        <w:rPr>
          <w:rFonts w:hint="default"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。施工场地定时洒水降尘，严控施工扬尘；土石方、建材、原煤运输车辆必须全程密闭</w:t>
      </w:r>
      <w:r>
        <w:rPr>
          <w:rFonts w:hint="eastAsia" w:ascii="仿宋_GB2312" w:hAnsi="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苫</w:t>
      </w:r>
      <w:r>
        <w:rPr>
          <w:rFonts w:hint="default"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盖，严禁物料沿途遗撒、飘散；施工建筑垃圾、生活垃圾分类集中收集，委托具备处置资质的单位统一合规处置。</w:t>
      </w:r>
    </w:p>
    <w:p w14:paraId="60898247">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79" w:lineRule="exact"/>
        <w:ind w:left="0" w:leftChars="0" w:right="0" w:rightChars="0" w:firstLine="640" w:firstLineChars="200"/>
        <w:jc w:val="left"/>
        <w:textAlignment w:val="auto"/>
        <w:outlineLvl w:val="9"/>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pPr>
      <w:r>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二）认真落实《报告表》中提出的大气污染防治措施。储煤棚整体全封闭密闭建设，棚内布设固定式喷淋抑尘系统；破碎、筛分工序产生的含尘废气分别经集气罩负压收集，汇入同一套布袋除尘设施净化处理，净化后废气通过1根15米高排气筒达标排放。污染物排放浓度须严格执行《煤炭工业污染物排放标准》（GB20426-2006）</w:t>
      </w:r>
      <w:r>
        <w:rPr>
          <w:rFonts w:hint="eastAsia" w:ascii="仿宋_GB2312" w:hAnsi="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中相关限值要求</w:t>
      </w:r>
      <w:r>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，建设单位需按排污单位自行监测技术指南要求，常态化开展废气监测，留存监测台账备查。</w:t>
      </w:r>
    </w:p>
    <w:p w14:paraId="3495EAC5">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79" w:lineRule="exact"/>
        <w:ind w:left="0" w:leftChars="0" w:right="0" w:rightChars="0" w:firstLine="640" w:firstLineChars="200"/>
        <w:jc w:val="left"/>
        <w:textAlignment w:val="auto"/>
        <w:outlineLvl w:val="9"/>
        <w:rPr>
          <w:rFonts w:ascii="宋体" w:hAnsi="宋体" w:eastAsia="宋体" w:cs="宋体"/>
          <w:sz w:val="24"/>
          <w:szCs w:val="24"/>
        </w:rPr>
      </w:pPr>
      <w:r>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（三）严格落实《报告表》中提出的水污染防治措施。项目运营</w:t>
      </w:r>
      <w:r>
        <w:rPr>
          <w:rFonts w:hint="eastAsia" w:ascii="仿宋_GB2312" w:hAnsi="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期</w:t>
      </w:r>
      <w:r>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产生的生活污水全部排入食联煤矿现有生活污水处理站处置，处理达标后全部回用于矿区道路、场地洒水抑尘，</w:t>
      </w:r>
      <w:r>
        <w:rPr>
          <w:rFonts w:hint="eastAsia" w:ascii="仿宋_GB2312" w:hAnsi="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不得外排</w:t>
      </w:r>
      <w:r>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；统筹做好储煤棚区域初期雨水收集处置，杜绝淋溶废水外泄污染土壤及地下水。</w:t>
      </w:r>
    </w:p>
    <w:p w14:paraId="7A9CD8C3">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79" w:lineRule="exact"/>
        <w:ind w:left="0" w:leftChars="0" w:right="0" w:rightChars="0" w:firstLine="640" w:firstLineChars="200"/>
        <w:jc w:val="left"/>
        <w:textAlignment w:val="auto"/>
        <w:outlineLvl w:val="9"/>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pPr>
      <w:r>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四）切实强化环境风险防控工作。编制完善突发环境事件应急预案并按规定完成备案，配齐应急物资，定期组织应急演练；重点防范煤炭堆存坍塌、煤泥水渗漏、消防废水污染地下水等环境风险隐患。严格规范环保设施运维及安全生产管理，定期开展环保设施安全风险评估与隐患排查整治，筑牢环境安全底线。</w:t>
      </w:r>
    </w:p>
    <w:p w14:paraId="598594A2">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79" w:lineRule="exact"/>
        <w:ind w:left="0" w:leftChars="0" w:right="0" w:rightChars="0" w:firstLine="640" w:firstLineChars="200"/>
        <w:jc w:val="left"/>
        <w:textAlignment w:val="auto"/>
        <w:outlineLvl w:val="9"/>
        <w:rPr>
          <w:rFonts w:ascii="宋体" w:hAnsi="宋体" w:eastAsia="宋体" w:cs="宋体"/>
          <w:sz w:val="24"/>
          <w:szCs w:val="24"/>
        </w:rPr>
      </w:pPr>
      <w:r>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（五）践行生态文明理念，推行绿色施工模式。加强施工单位环保宣教与日常管控，节约水土资源，最大限度降低施工扰动，打造生态友好型工程项目。</w:t>
      </w:r>
    </w:p>
    <w:p w14:paraId="38671FCB">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79" w:lineRule="exact"/>
        <w:ind w:left="0" w:leftChars="0" w:right="0" w:rightChars="0" w:firstLine="640" w:firstLineChars="200"/>
        <w:jc w:val="left"/>
        <w:textAlignment w:val="auto"/>
        <w:outlineLvl w:val="9"/>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pPr>
      <w:r>
        <w:rPr>
          <w:rFonts w:hint="eastAsia" w:ascii="仿宋_GB2312" w:hAnsi="仿宋_GB2312" w:eastAsia="仿宋_GB2312" w:cs="仿宋_GB2312"/>
          <w:color w:val="auto"/>
          <w:kern w:val="2"/>
          <w:sz w:val="32"/>
          <w:szCs w:val="32"/>
          <w:lang w:val="en-US" w:eastAsia="zh-CN" w:bidi="ar-SA"/>
        </w:rPr>
        <w:t>三、</w:t>
      </w:r>
      <w:r>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该项目建设必须严格执行环境保护“三同时”制度。项目竣工后，须按照规定程序实施竣工环境保护验收。</w:t>
      </w:r>
    </w:p>
    <w:p w14:paraId="701104DA">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79" w:lineRule="exact"/>
        <w:ind w:left="0" w:leftChars="0" w:right="0" w:rightChars="0" w:firstLine="640" w:firstLineChars="200"/>
        <w:jc w:val="left"/>
        <w:textAlignment w:val="auto"/>
        <w:outlineLvl w:val="9"/>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pPr>
      <w:r>
        <w:rPr>
          <w:rFonts w:hint="eastAsia" w:ascii="仿宋_GB2312" w:hAnsi="仿宋_GB2312" w:eastAsia="仿宋_GB2312" w:cs="仿宋_GB2312"/>
          <w:color w:val="auto"/>
          <w:kern w:val="2"/>
          <w:sz w:val="32"/>
          <w:szCs w:val="32"/>
          <w:lang w:val="en-US" w:eastAsia="zh-CN" w:bidi="ar-SA"/>
        </w:rPr>
        <w:t>四、</w:t>
      </w:r>
      <w:r>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该项目从批准之日起超过五年方决定开工建设，其环评文件应重新审核。如果建设地点、规模、防治污染和防止生态破坏措施等发生重大变化时，需重新报批环评文件。</w:t>
      </w:r>
    </w:p>
    <w:p w14:paraId="2FE09FA3">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79" w:lineRule="exact"/>
        <w:ind w:left="0" w:leftChars="0" w:right="0" w:rightChars="0" w:firstLine="640" w:firstLineChars="200"/>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五、</w:t>
      </w:r>
      <w:r>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项目开工时，应立即通知我局，以便日常监督检查。</w:t>
      </w:r>
    </w:p>
    <w:p w14:paraId="02252BF1">
      <w:pPr>
        <w:keepNext w:val="0"/>
        <w:keepLines w:val="0"/>
        <w:pageBreakBefore w:val="0"/>
        <w:widowControl w:val="0"/>
        <w:kinsoku/>
        <w:wordWrap w:val="0"/>
        <w:overflowPunct/>
        <w:topLinePunct w:val="0"/>
        <w:autoSpaceDE/>
        <w:autoSpaceDN/>
        <w:bidi w:val="0"/>
        <w:adjustRightInd w:val="0"/>
        <w:snapToGrid w:val="0"/>
        <w:spacing w:before="0" w:beforeLines="0" w:after="0" w:afterLines="0" w:line="579" w:lineRule="exact"/>
        <w:ind w:left="0" w:leftChars="0" w:right="0" w:rightChars="0" w:firstLine="0" w:firstLineChars="0"/>
        <w:jc w:val="both"/>
        <w:textAlignment w:val="auto"/>
        <w:outlineLvl w:val="9"/>
        <w:rPr>
          <w:rFonts w:hint="eastAsia" w:ascii="仿宋_GB2312" w:hAnsi="仿宋_GB2312" w:eastAsia="仿宋_GB2312" w:cs="仿宋_GB2312"/>
          <w:color w:val="auto"/>
          <w:spacing w:val="0"/>
          <w:kern w:val="0"/>
          <w:sz w:val="32"/>
          <w:szCs w:val="32"/>
          <w:lang w:eastAsia="zh-CN"/>
        </w:rPr>
      </w:pPr>
    </w:p>
    <w:p w14:paraId="14476469">
      <w:pPr>
        <w:pStyle w:val="6"/>
        <w:keepLines w:val="0"/>
        <w:pageBreakBefore w:val="0"/>
        <w:kinsoku/>
        <w:overflowPunct/>
        <w:topLinePunct w:val="0"/>
        <w:autoSpaceDE/>
        <w:autoSpaceDN/>
        <w:bidi w:val="0"/>
        <w:spacing w:line="579" w:lineRule="exact"/>
        <w:textAlignment w:val="auto"/>
        <w:rPr>
          <w:rFonts w:hint="eastAsia"/>
          <w:lang w:val="en-US" w:eastAsia="zh-CN"/>
        </w:rPr>
      </w:pPr>
    </w:p>
    <w:p w14:paraId="5811DFBC">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79" w:lineRule="exact"/>
        <w:ind w:left="0" w:leftChars="0" w:right="0" w:rightChars="0" w:firstLine="640" w:firstLineChars="200"/>
        <w:jc w:val="left"/>
        <w:textAlignment w:val="auto"/>
        <w:outlineLvl w:val="9"/>
        <w:rPr>
          <w:rFonts w:hint="eastAsia" w:ascii="仿宋_GB2312" w:hAnsi="仿宋_GB2312" w:cs="仿宋_GB2312"/>
          <w:color w:val="000000"/>
          <w:szCs w:val="32"/>
          <w:highlight w:val="none"/>
          <w:lang w:val="en-US" w:eastAsia="zh-CN"/>
        </w:rPr>
      </w:pPr>
      <w:r>
        <w:rPr>
          <w:rFonts w:hint="eastAsia" w:ascii="仿宋_GB2312" w:hAnsi="仿宋_GB2312" w:cs="仿宋_GB2312"/>
          <w:color w:val="000000"/>
          <w:szCs w:val="32"/>
          <w:highlight w:val="none"/>
          <w:lang w:val="en-US" w:eastAsia="zh-CN"/>
        </w:rPr>
        <w:t xml:space="preserve">    </w:t>
      </w:r>
    </w:p>
    <w:p w14:paraId="20E7106B">
      <w:pPr>
        <w:pStyle w:val="2"/>
        <w:keepLines w:val="0"/>
        <w:pageBreakBefore w:val="0"/>
        <w:kinsoku/>
        <w:overflowPunct/>
        <w:topLinePunct w:val="0"/>
        <w:autoSpaceDE/>
        <w:autoSpaceDN/>
        <w:bidi w:val="0"/>
        <w:spacing w:line="579" w:lineRule="exact"/>
        <w:textAlignment w:val="auto"/>
        <w:rPr>
          <w:rFonts w:hint="eastAsia"/>
          <w:lang w:val="en-US" w:eastAsia="zh-CN"/>
        </w:rPr>
      </w:pPr>
    </w:p>
    <w:p w14:paraId="3D266830">
      <w:pPr>
        <w:keepNext w:val="0"/>
        <w:keepLines w:val="0"/>
        <w:pageBreakBefore w:val="0"/>
        <w:widowControl w:val="0"/>
        <w:kinsoku/>
        <w:wordWrap w:val="0"/>
        <w:overflowPunct/>
        <w:topLinePunct w:val="0"/>
        <w:autoSpaceDE/>
        <w:autoSpaceDN/>
        <w:bidi w:val="0"/>
        <w:adjustRightInd w:val="0"/>
        <w:snapToGrid w:val="0"/>
        <w:spacing w:before="0" w:beforeLines="0" w:after="0" w:afterLines="0" w:line="579" w:lineRule="exact"/>
        <w:ind w:left="0" w:leftChars="0" w:right="0" w:rightChars="0" w:firstLine="0" w:firstLineChars="0"/>
        <w:jc w:val="right"/>
        <w:textAlignment w:val="auto"/>
        <w:outlineLvl w:val="9"/>
        <w:rPr>
          <w:rFonts w:hint="eastAsia" w:ascii="仿宋_GB2312" w:hAnsi="仿宋_GB2312" w:eastAsia="仿宋_GB2312" w:cs="仿宋_GB2312"/>
          <w:color w:val="auto"/>
          <w:spacing w:val="0"/>
          <w:kern w:val="0"/>
          <w:sz w:val="32"/>
          <w:szCs w:val="32"/>
          <w:lang w:eastAsia="zh-CN"/>
        </w:rPr>
      </w:pPr>
      <w:r>
        <w:rPr>
          <w:rFonts w:hint="eastAsia" w:ascii="仿宋_GB2312" w:hAnsi="仿宋_GB2312" w:eastAsia="仿宋_GB2312" w:cs="仿宋_GB2312"/>
          <w:color w:val="auto"/>
          <w:spacing w:val="0"/>
          <w:kern w:val="0"/>
          <w:sz w:val="32"/>
          <w:szCs w:val="32"/>
          <w:lang w:eastAsia="zh-CN"/>
        </w:rPr>
        <w:t>鄂尔多斯市生态环境局准格尔旗分局</w:t>
      </w:r>
    </w:p>
    <w:p w14:paraId="396BDC27">
      <w:pPr>
        <w:keepNext w:val="0"/>
        <w:keepLines w:val="0"/>
        <w:pageBreakBefore w:val="0"/>
        <w:widowControl w:val="0"/>
        <w:kinsoku/>
        <w:wordWrap w:val="0"/>
        <w:overflowPunct/>
        <w:topLinePunct w:val="0"/>
        <w:autoSpaceDE/>
        <w:autoSpaceDN/>
        <w:bidi w:val="0"/>
        <w:adjustRightInd w:val="0"/>
        <w:snapToGrid w:val="0"/>
        <w:spacing w:before="0" w:beforeLines="0" w:after="0" w:afterLines="0" w:line="579" w:lineRule="exact"/>
        <w:ind w:left="0" w:leftChars="0" w:right="0" w:rightChars="0" w:firstLine="0" w:firstLineChars="0"/>
        <w:jc w:val="center"/>
        <w:textAlignment w:val="auto"/>
        <w:outlineLvl w:val="9"/>
        <w:rPr>
          <w:rFonts w:hint="eastAsia" w:ascii="仿宋_GB2312" w:hAnsi="仿宋_GB2312" w:eastAsia="仿宋_GB2312" w:cs="仿宋_GB2312"/>
          <w:color w:val="auto"/>
          <w:spacing w:val="0"/>
          <w:kern w:val="0"/>
          <w:sz w:val="32"/>
          <w:szCs w:val="32"/>
          <w:lang w:val="en-US" w:eastAsia="zh-CN"/>
        </w:rPr>
      </w:pPr>
      <w:r>
        <w:rPr>
          <w:rFonts w:hint="default" w:ascii="仿宋_GB2312" w:hAnsi="仿宋_GB2312" w:cs="仿宋_GB2312"/>
          <w:color w:val="auto"/>
          <w:spacing w:val="0"/>
          <w:kern w:val="0"/>
          <w:sz w:val="32"/>
          <w:szCs w:val="32"/>
          <w:highlight w:val="none"/>
        </w:rPr>
        <w:t xml:space="preserve">                         </w:t>
      </w:r>
      <w:r>
        <w:rPr>
          <w:rFonts w:hint="eastAsia" w:ascii="仿宋_GB2312" w:hAnsi="仿宋_GB2312" w:eastAsia="仿宋_GB2312" w:cs="仿宋_GB2312"/>
          <w:color w:val="auto"/>
          <w:spacing w:val="0"/>
          <w:kern w:val="0"/>
          <w:sz w:val="32"/>
          <w:szCs w:val="32"/>
          <w:highlight w:val="none"/>
        </w:rPr>
        <w:t>20</w:t>
      </w:r>
      <w:r>
        <w:rPr>
          <w:rFonts w:hint="eastAsia" w:ascii="仿宋_GB2312" w:hAnsi="仿宋_GB2312" w:eastAsia="仿宋_GB2312" w:cs="仿宋_GB2312"/>
          <w:color w:val="auto"/>
          <w:spacing w:val="0"/>
          <w:kern w:val="0"/>
          <w:sz w:val="32"/>
          <w:szCs w:val="32"/>
          <w:highlight w:val="none"/>
          <w:lang w:val="en-US" w:eastAsia="zh-CN"/>
        </w:rPr>
        <w:t>2</w:t>
      </w:r>
      <w:r>
        <w:rPr>
          <w:rFonts w:hint="eastAsia" w:ascii="仿宋_GB2312" w:hAnsi="仿宋_GB2312" w:cs="仿宋_GB2312"/>
          <w:color w:val="auto"/>
          <w:spacing w:val="0"/>
          <w:kern w:val="0"/>
          <w:sz w:val="32"/>
          <w:szCs w:val="32"/>
          <w:highlight w:val="none"/>
          <w:lang w:val="en-US" w:eastAsia="zh-CN"/>
        </w:rPr>
        <w:t>6</w:t>
      </w:r>
      <w:r>
        <w:rPr>
          <w:rFonts w:hint="eastAsia" w:ascii="仿宋_GB2312" w:hAnsi="仿宋_GB2312" w:eastAsia="仿宋_GB2312" w:cs="仿宋_GB2312"/>
          <w:color w:val="auto"/>
          <w:spacing w:val="0"/>
          <w:kern w:val="0"/>
          <w:sz w:val="32"/>
          <w:szCs w:val="32"/>
          <w:highlight w:val="none"/>
        </w:rPr>
        <w:t>年</w:t>
      </w:r>
      <w:r>
        <w:rPr>
          <w:rFonts w:hint="eastAsia" w:ascii="仿宋_GB2312" w:hAnsi="仿宋_GB2312" w:cs="仿宋_GB2312"/>
          <w:color w:val="auto"/>
          <w:spacing w:val="0"/>
          <w:kern w:val="0"/>
          <w:sz w:val="32"/>
          <w:szCs w:val="32"/>
          <w:highlight w:val="none"/>
          <w:lang w:val="en-US" w:eastAsia="zh-CN"/>
        </w:rPr>
        <w:t>7</w:t>
      </w:r>
      <w:r>
        <w:rPr>
          <w:rFonts w:hint="eastAsia" w:ascii="仿宋_GB2312" w:hAnsi="仿宋_GB2312" w:eastAsia="仿宋_GB2312" w:cs="仿宋_GB2312"/>
          <w:color w:val="auto"/>
          <w:spacing w:val="0"/>
          <w:kern w:val="0"/>
          <w:sz w:val="32"/>
          <w:szCs w:val="32"/>
          <w:highlight w:val="none"/>
        </w:rPr>
        <w:t>月</w:t>
      </w:r>
      <w:r>
        <w:rPr>
          <w:rFonts w:hint="eastAsia" w:ascii="仿宋_GB2312" w:hAnsi="仿宋_GB2312" w:cs="仿宋_GB2312"/>
          <w:color w:val="auto"/>
          <w:spacing w:val="0"/>
          <w:kern w:val="0"/>
          <w:sz w:val="32"/>
          <w:szCs w:val="32"/>
          <w:highlight w:val="none"/>
          <w:lang w:val="en-US" w:eastAsia="zh-CN"/>
        </w:rPr>
        <w:t>29</w:t>
      </w:r>
      <w:r>
        <w:rPr>
          <w:rFonts w:hint="eastAsia" w:ascii="仿宋_GB2312" w:hAnsi="仿宋_GB2312" w:eastAsia="仿宋_GB2312" w:cs="仿宋_GB2312"/>
          <w:color w:val="auto"/>
          <w:spacing w:val="0"/>
          <w:kern w:val="0"/>
          <w:sz w:val="32"/>
          <w:szCs w:val="32"/>
          <w:highlight w:val="none"/>
        </w:rPr>
        <w:t>日</w:t>
      </w:r>
      <w:r>
        <w:rPr>
          <w:rFonts w:hint="eastAsia" w:ascii="仿宋_GB2312" w:hAnsi="仿宋_GB2312" w:eastAsia="仿宋_GB2312" w:cs="仿宋_GB2312"/>
          <w:color w:val="auto"/>
          <w:spacing w:val="0"/>
          <w:kern w:val="0"/>
          <w:sz w:val="32"/>
          <w:szCs w:val="32"/>
          <w:highlight w:val="none"/>
          <w:lang w:val="en-US" w:eastAsia="zh-CN"/>
        </w:rPr>
        <w:t xml:space="preserve">  </w:t>
      </w:r>
      <w:r>
        <w:rPr>
          <w:rFonts w:hint="eastAsia" w:ascii="仿宋_GB2312" w:hAnsi="仿宋_GB2312" w:eastAsia="仿宋_GB2312" w:cs="仿宋_GB2312"/>
          <w:color w:val="auto"/>
          <w:spacing w:val="0"/>
          <w:kern w:val="0"/>
          <w:sz w:val="32"/>
          <w:szCs w:val="32"/>
          <w:lang w:val="en-US" w:eastAsia="zh-CN"/>
        </w:rPr>
        <w:t xml:space="preserve"> </w:t>
      </w:r>
    </w:p>
    <w:p w14:paraId="56DE597D">
      <w:pPr>
        <w:pStyle w:val="3"/>
        <w:keepLines w:val="0"/>
        <w:pageBreakBefore w:val="0"/>
        <w:kinsoku/>
        <w:overflowPunct/>
        <w:topLinePunct w:val="0"/>
        <w:autoSpaceDE/>
        <w:autoSpaceDN/>
        <w:bidi w:val="0"/>
        <w:spacing w:line="579" w:lineRule="exact"/>
        <w:ind w:firstLine="4800" w:firstLineChars="1500"/>
        <w:textAlignment w:val="auto"/>
        <w:rPr>
          <w:rFonts w:hint="eastAsia" w:ascii="仿宋_GB2312" w:hAnsi="仿宋_GB2312" w:eastAsia="仿宋_GB2312" w:cs="仿宋_GB2312"/>
          <w:color w:val="auto"/>
          <w:spacing w:val="0"/>
          <w:kern w:val="0"/>
          <w:sz w:val="32"/>
          <w:szCs w:val="32"/>
          <w:lang w:val="en-US" w:eastAsia="zh-CN"/>
        </w:rPr>
      </w:pPr>
      <w:r>
        <w:rPr>
          <w:rFonts w:hint="eastAsia" w:ascii="仿宋_GB2312" w:hAnsi="仿宋_GB2312" w:eastAsia="仿宋_GB2312" w:cs="仿宋_GB2312"/>
          <w:color w:val="auto"/>
          <w:spacing w:val="0"/>
          <w:kern w:val="0"/>
          <w:sz w:val="32"/>
          <w:szCs w:val="32"/>
          <w:highlight w:val="none"/>
          <w:lang w:val="en-US" w:eastAsia="zh-CN"/>
        </w:rPr>
        <w:t xml:space="preserve">  </w:t>
      </w:r>
      <w:r>
        <w:rPr>
          <w:rFonts w:hint="eastAsia" w:ascii="仿宋_GB2312" w:hAnsi="仿宋_GB2312" w:eastAsia="仿宋_GB2312" w:cs="仿宋_GB2312"/>
          <w:color w:val="auto"/>
          <w:spacing w:val="0"/>
          <w:kern w:val="0"/>
          <w:sz w:val="32"/>
          <w:szCs w:val="32"/>
          <w:lang w:val="en-US" w:eastAsia="zh-CN"/>
        </w:rPr>
        <w:t xml:space="preserve">      </w:t>
      </w:r>
    </w:p>
    <w:p w14:paraId="25004AA2">
      <w:pPr>
        <w:pStyle w:val="3"/>
        <w:keepLines w:val="0"/>
        <w:pageBreakBefore w:val="0"/>
        <w:kinsoku/>
        <w:overflowPunct/>
        <w:topLinePunct w:val="0"/>
        <w:autoSpaceDE/>
        <w:autoSpaceDN/>
        <w:bidi w:val="0"/>
        <w:spacing w:line="579" w:lineRule="exact"/>
        <w:ind w:firstLine="4800" w:firstLineChars="1500"/>
        <w:textAlignment w:val="auto"/>
        <w:rPr>
          <w:rFonts w:hint="eastAsia" w:ascii="仿宋_GB2312" w:hAnsi="仿宋_GB2312" w:eastAsia="仿宋_GB2312" w:cs="仿宋_GB2312"/>
          <w:color w:val="auto"/>
          <w:spacing w:val="0"/>
          <w:kern w:val="0"/>
          <w:sz w:val="32"/>
          <w:szCs w:val="32"/>
          <w:lang w:val="en-US" w:eastAsia="zh-CN"/>
        </w:rPr>
      </w:pPr>
    </w:p>
    <w:p w14:paraId="18F960FF">
      <w:pPr>
        <w:pStyle w:val="3"/>
        <w:keepLines w:val="0"/>
        <w:pageBreakBefore w:val="0"/>
        <w:kinsoku/>
        <w:overflowPunct/>
        <w:topLinePunct w:val="0"/>
        <w:autoSpaceDE/>
        <w:autoSpaceDN/>
        <w:bidi w:val="0"/>
        <w:spacing w:line="579" w:lineRule="exact"/>
        <w:ind w:firstLine="4800" w:firstLineChars="1500"/>
        <w:textAlignment w:val="auto"/>
        <w:rPr>
          <w:rFonts w:hint="eastAsia" w:ascii="仿宋_GB2312" w:hAnsi="仿宋_GB2312" w:eastAsia="仿宋_GB2312" w:cs="仿宋_GB2312"/>
          <w:color w:val="auto"/>
          <w:spacing w:val="0"/>
          <w:kern w:val="0"/>
          <w:sz w:val="32"/>
          <w:szCs w:val="32"/>
          <w:lang w:val="en-US" w:eastAsia="zh-CN"/>
        </w:rPr>
      </w:pPr>
    </w:p>
    <w:p w14:paraId="21FB138B">
      <w:pPr>
        <w:pStyle w:val="3"/>
        <w:keepLines w:val="0"/>
        <w:pageBreakBefore w:val="0"/>
        <w:kinsoku/>
        <w:overflowPunct/>
        <w:topLinePunct w:val="0"/>
        <w:autoSpaceDE/>
        <w:autoSpaceDN/>
        <w:bidi w:val="0"/>
        <w:spacing w:line="579" w:lineRule="exact"/>
        <w:ind w:firstLine="4800" w:firstLineChars="1500"/>
        <w:textAlignment w:val="auto"/>
        <w:rPr>
          <w:rFonts w:hint="eastAsia" w:ascii="仿宋_GB2312" w:hAnsi="仿宋_GB2312" w:eastAsia="仿宋_GB2312" w:cs="仿宋_GB2312"/>
          <w:color w:val="auto"/>
          <w:spacing w:val="0"/>
          <w:kern w:val="0"/>
          <w:sz w:val="32"/>
          <w:szCs w:val="32"/>
          <w:lang w:val="en-US" w:eastAsia="zh-CN"/>
        </w:rPr>
      </w:pPr>
    </w:p>
    <w:p w14:paraId="0C536631">
      <w:pPr>
        <w:pStyle w:val="3"/>
        <w:keepLines w:val="0"/>
        <w:pageBreakBefore w:val="0"/>
        <w:kinsoku/>
        <w:overflowPunct/>
        <w:topLinePunct w:val="0"/>
        <w:autoSpaceDE/>
        <w:autoSpaceDN/>
        <w:bidi w:val="0"/>
        <w:spacing w:line="579" w:lineRule="exact"/>
        <w:ind w:firstLine="4800" w:firstLineChars="1500"/>
        <w:textAlignment w:val="auto"/>
        <w:rPr>
          <w:rFonts w:hint="eastAsia" w:ascii="仿宋_GB2312" w:hAnsi="仿宋_GB2312" w:eastAsia="仿宋_GB2312" w:cs="仿宋_GB2312"/>
          <w:color w:val="auto"/>
          <w:spacing w:val="0"/>
          <w:kern w:val="0"/>
          <w:sz w:val="32"/>
          <w:szCs w:val="32"/>
          <w:lang w:val="en-US" w:eastAsia="zh-CN"/>
        </w:rPr>
      </w:pPr>
    </w:p>
    <w:p w14:paraId="6447430D">
      <w:pPr>
        <w:pStyle w:val="3"/>
        <w:keepLines w:val="0"/>
        <w:pageBreakBefore w:val="0"/>
        <w:kinsoku/>
        <w:overflowPunct/>
        <w:topLinePunct w:val="0"/>
        <w:autoSpaceDE/>
        <w:autoSpaceDN/>
        <w:bidi w:val="0"/>
        <w:spacing w:line="579" w:lineRule="exact"/>
        <w:ind w:firstLine="4800" w:firstLineChars="1500"/>
        <w:textAlignment w:val="auto"/>
        <w:rPr>
          <w:rFonts w:hint="eastAsia" w:ascii="仿宋_GB2312" w:hAnsi="仿宋_GB2312" w:eastAsia="仿宋_GB2312" w:cs="仿宋_GB2312"/>
          <w:color w:val="auto"/>
          <w:spacing w:val="0"/>
          <w:kern w:val="0"/>
          <w:sz w:val="32"/>
          <w:szCs w:val="32"/>
          <w:lang w:val="en-US" w:eastAsia="zh-CN"/>
        </w:rPr>
      </w:pPr>
    </w:p>
    <w:p w14:paraId="1CDB297C">
      <w:pPr>
        <w:pStyle w:val="3"/>
        <w:keepLines w:val="0"/>
        <w:pageBreakBefore w:val="0"/>
        <w:kinsoku/>
        <w:overflowPunct/>
        <w:topLinePunct w:val="0"/>
        <w:autoSpaceDE/>
        <w:autoSpaceDN/>
        <w:bidi w:val="0"/>
        <w:spacing w:line="579" w:lineRule="exact"/>
        <w:ind w:firstLine="4800" w:firstLineChars="1500"/>
        <w:textAlignment w:val="auto"/>
        <w:rPr>
          <w:rFonts w:hint="eastAsia" w:ascii="仿宋_GB2312" w:hAnsi="仿宋_GB2312" w:eastAsia="仿宋_GB2312" w:cs="仿宋_GB2312"/>
          <w:color w:val="auto"/>
          <w:spacing w:val="0"/>
          <w:kern w:val="0"/>
          <w:sz w:val="32"/>
          <w:szCs w:val="32"/>
          <w:lang w:val="en-US" w:eastAsia="zh-CN"/>
        </w:rPr>
      </w:pPr>
    </w:p>
    <w:p w14:paraId="68E9A5ED">
      <w:pPr>
        <w:pStyle w:val="3"/>
        <w:keepLines w:val="0"/>
        <w:pageBreakBefore w:val="0"/>
        <w:kinsoku/>
        <w:overflowPunct/>
        <w:topLinePunct w:val="0"/>
        <w:autoSpaceDE/>
        <w:autoSpaceDN/>
        <w:bidi w:val="0"/>
        <w:spacing w:line="579" w:lineRule="exact"/>
        <w:ind w:firstLine="4800" w:firstLineChars="1500"/>
        <w:textAlignment w:val="auto"/>
        <w:rPr>
          <w:rFonts w:hint="eastAsia" w:ascii="仿宋_GB2312" w:hAnsi="仿宋_GB2312" w:eastAsia="仿宋_GB2312" w:cs="仿宋_GB2312"/>
          <w:color w:val="auto"/>
          <w:spacing w:val="0"/>
          <w:kern w:val="0"/>
          <w:sz w:val="32"/>
          <w:szCs w:val="32"/>
          <w:lang w:val="en-US" w:eastAsia="zh-CN"/>
        </w:rPr>
      </w:pPr>
    </w:p>
    <w:p w14:paraId="212F5EF0">
      <w:pPr>
        <w:pStyle w:val="3"/>
        <w:keepLines w:val="0"/>
        <w:pageBreakBefore w:val="0"/>
        <w:kinsoku/>
        <w:overflowPunct/>
        <w:topLinePunct w:val="0"/>
        <w:autoSpaceDE/>
        <w:autoSpaceDN/>
        <w:bidi w:val="0"/>
        <w:spacing w:line="579" w:lineRule="exact"/>
        <w:ind w:firstLine="4800" w:firstLineChars="1500"/>
        <w:textAlignment w:val="auto"/>
        <w:rPr>
          <w:rFonts w:hint="eastAsia" w:ascii="仿宋_GB2312" w:hAnsi="仿宋_GB2312" w:eastAsia="仿宋_GB2312" w:cs="仿宋_GB2312"/>
          <w:color w:val="auto"/>
          <w:spacing w:val="0"/>
          <w:kern w:val="0"/>
          <w:sz w:val="32"/>
          <w:szCs w:val="32"/>
          <w:lang w:val="en-US" w:eastAsia="zh-CN"/>
        </w:rPr>
      </w:pPr>
    </w:p>
    <w:tbl>
      <w:tblPr>
        <w:tblStyle w:val="15"/>
        <w:tblpPr w:leftFromText="180" w:rightFromText="180" w:vertAnchor="text" w:horzAnchor="page" w:tblpX="1482" w:tblpY="291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1"/>
      </w:tblGrid>
      <w:tr w14:paraId="2A74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8861" w:type="dxa"/>
            <w:tcBorders>
              <w:top w:val="single" w:color="auto" w:sz="4" w:space="0"/>
              <w:left w:val="nil"/>
              <w:bottom w:val="single" w:color="auto" w:sz="4" w:space="0"/>
              <w:right w:val="nil"/>
            </w:tcBorders>
            <w:noWrap w:val="0"/>
            <w:vAlign w:val="top"/>
          </w:tcPr>
          <w:p w14:paraId="6A2B90C5">
            <w:pPr>
              <w:keepNext w:val="0"/>
              <w:keepLines w:val="0"/>
              <w:pageBreakBefore w:val="0"/>
              <w:widowControl w:val="0"/>
              <w:tabs>
                <w:tab w:val="left" w:pos="8295"/>
              </w:tabs>
              <w:kinsoku/>
              <w:wordWrap/>
              <w:overflowPunct/>
              <w:topLinePunct w:val="0"/>
              <w:autoSpaceDE/>
              <w:autoSpaceDN/>
              <w:bidi w:val="0"/>
              <w:spacing w:line="579" w:lineRule="exact"/>
              <w:ind w:left="0" w:leftChars="0" w:firstLine="0" w:firstLineChars="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28"/>
                <w:szCs w:val="28"/>
                <w:lang w:val="en-US" w:eastAsia="zh-CN"/>
              </w:rPr>
              <w:t>抄送：准格尔旗生态环境综合行政执法大队，内蒙古清禾环保科技有限公司。</w:t>
            </w:r>
          </w:p>
        </w:tc>
      </w:tr>
      <w:tr w14:paraId="4985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8861" w:type="dxa"/>
            <w:tcBorders>
              <w:top w:val="single" w:color="auto" w:sz="4" w:space="0"/>
              <w:left w:val="nil"/>
              <w:bottom w:val="single" w:color="auto" w:sz="4" w:space="0"/>
              <w:right w:val="nil"/>
            </w:tcBorders>
            <w:noWrap w:val="0"/>
            <w:vAlign w:val="top"/>
          </w:tcPr>
          <w:p w14:paraId="489E76D0">
            <w:pPr>
              <w:keepNext w:val="0"/>
              <w:keepLines w:val="0"/>
              <w:pageBreakBefore w:val="0"/>
              <w:widowControl w:val="0"/>
              <w:tabs>
                <w:tab w:val="left" w:pos="8295"/>
              </w:tabs>
              <w:kinsoku/>
              <w:wordWrap/>
              <w:overflowPunct/>
              <w:topLinePunct w:val="0"/>
              <w:autoSpaceDE/>
              <w:autoSpaceDN/>
              <w:bidi w:val="0"/>
              <w:spacing w:line="579" w:lineRule="exact"/>
              <w:ind w:left="0" w:leftChars="0" w:firstLine="0" w:firstLineChars="0"/>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鄂尔多斯市生态环境局准格尔旗分局</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20</w:t>
            </w: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年</w:t>
            </w:r>
            <w:r>
              <w:rPr>
                <w:rFonts w:hint="eastAsia" w:ascii="仿宋_GB2312" w:hAnsi="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rPr>
              <w:t>月</w:t>
            </w:r>
            <w:r>
              <w:rPr>
                <w:rFonts w:hint="eastAsia" w:ascii="仿宋_GB2312" w:hAnsi="仿宋_GB2312" w:cs="仿宋_GB2312"/>
                <w:color w:val="auto"/>
                <w:sz w:val="28"/>
                <w:szCs w:val="28"/>
                <w:highlight w:val="none"/>
                <w:lang w:val="en-US" w:eastAsia="zh-CN"/>
              </w:rPr>
              <w:t>29</w:t>
            </w:r>
            <w:r>
              <w:rPr>
                <w:rFonts w:hint="eastAsia" w:ascii="仿宋_GB2312" w:hAnsi="仿宋_GB2312" w:eastAsia="仿宋_GB2312" w:cs="仿宋_GB2312"/>
                <w:color w:val="auto"/>
                <w:sz w:val="28"/>
                <w:szCs w:val="28"/>
                <w:highlight w:val="none"/>
              </w:rPr>
              <w:t>日印发</w:t>
            </w:r>
          </w:p>
        </w:tc>
      </w:tr>
    </w:tbl>
    <w:p w14:paraId="6F646997">
      <w:pPr>
        <w:pStyle w:val="3"/>
        <w:keepLines w:val="0"/>
        <w:pageBreakBefore w:val="0"/>
        <w:kinsoku/>
        <w:overflowPunct/>
        <w:topLinePunct w:val="0"/>
        <w:autoSpaceDE/>
        <w:autoSpaceDN/>
        <w:bidi w:val="0"/>
        <w:spacing w:line="579" w:lineRule="exact"/>
        <w:ind w:left="0" w:leftChars="0" w:firstLine="0" w:firstLineChars="0"/>
        <w:textAlignment w:val="auto"/>
        <w:rPr>
          <w:rFonts w:hint="eastAsia" w:ascii="仿宋_GB2312" w:hAnsi="仿宋_GB2312" w:eastAsia="仿宋_GB2312" w:cs="仿宋_GB2312"/>
          <w:color w:val="auto"/>
          <w:spacing w:val="0"/>
          <w:kern w:val="0"/>
          <w:sz w:val="32"/>
          <w:szCs w:val="32"/>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8" w:header="851" w:footer="992" w:gutter="0"/>
      <w:pgNumType w:fmt="decimal"/>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Lucida Console">
    <w:panose1 w:val="020B0609040504020204"/>
    <w:charset w:val="00"/>
    <w:family w:val="modern"/>
    <w:pitch w:val="default"/>
    <w:sig w:usb0="8000028F" w:usb1="00001800" w:usb2="00000000" w:usb3="00000000" w:csb0="0000001F" w:csb1="D7D7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F43C7">
    <w:pPr>
      <w:pStyle w:val="11"/>
      <w:tabs>
        <w:tab w:val="clear" w:pos="4153"/>
        <w:tab w:val="clear" w:pos="8306"/>
      </w:tabs>
      <w:ind w:firstLine="560"/>
      <w:jc w:val="right"/>
      <w:rPr>
        <w:rFonts w:hint="eastAsia" w:asci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posOffset>-317500</wp:posOffset>
              </wp:positionH>
              <wp:positionV relativeFrom="paragraph">
                <wp:posOffset>41910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BEC76E">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5pt;margin-top:3.3pt;height:144pt;width:144pt;mso-position-horizontal-relative:margin;mso-wrap-style:none;z-index:251659264;mso-width-relative:page;mso-height-relative:page;" filled="f" stroked="f" coordsize="21600,21600" o:gfxdata="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6Ghdfaj6&#10;C5g7y8JW7yyPaaJ63q6OAWJ2GkeBelUG3TB5XZeGVxJH+899F/X4Z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rtgpfWAAAACQEAAA8AAAAAAAAAAQAgAAAAIgAAAGRycy9kb3ducmV2LnhtbFBL&#10;AQIUABQAAAAIAIdO4kBrhfn7MQIAAGEEAAAOAAAAAAAAAAEAIAAAACUBAABkcnMvZTJvRG9jLnht&#10;bFBLBQYAAAAABgAGAFkBAADIBQAAAAA=&#10;">
              <v:fill on="f" focussize="0,0"/>
              <v:stroke on="f" weight="0.5pt"/>
              <v:imagedata o:title=""/>
              <o:lock v:ext="edit" aspectratio="f"/>
              <v:textbox inset="0mm,0mm,0mm,0mm" style="mso-fit-shape-to-text:t;">
                <w:txbxContent>
                  <w:p w14:paraId="3CBEC76E">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9DC18">
    <w:pPr>
      <w:pStyle w:val="11"/>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CF4C5">
    <w:pPr>
      <w:pStyle w:val="11"/>
      <w:tabs>
        <w:tab w:val="clear" w:pos="4153"/>
        <w:tab w:val="clear" w:pos="8306"/>
      </w:tabs>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DAE1FA">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3DAE1FA">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26369">
    <w:pPr>
      <w:pStyle w:val="12"/>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D3A85">
    <w:pPr>
      <w:pStyle w:val="12"/>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23171">
    <w:pPr>
      <w:pStyle w:val="12"/>
      <w:pBdr>
        <w:bottom w:val="none" w:color="auto" w:sz="0" w:space="0"/>
      </w:pBdr>
      <w:tabs>
        <w:tab w:val="clear" w:pos="4153"/>
        <w:tab w:val="clear" w:pos="8306"/>
      </w:tabs>
      <w:ind w:firstLine="360"/>
    </w:pPr>
  </w:p>
  <w:p w14:paraId="010888C7">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2MjY4ZDEwNjFmNzJjMTk1OTkyMjNiOTViMzRhMjEifQ=="/>
  </w:docVars>
  <w:rsids>
    <w:rsidRoot w:val="00000000"/>
    <w:rsid w:val="00F67043"/>
    <w:rsid w:val="01361DAA"/>
    <w:rsid w:val="025B2C9B"/>
    <w:rsid w:val="026C6D7F"/>
    <w:rsid w:val="05D65CA7"/>
    <w:rsid w:val="06AC1F8B"/>
    <w:rsid w:val="0A5E2B1A"/>
    <w:rsid w:val="0A972C45"/>
    <w:rsid w:val="0F093581"/>
    <w:rsid w:val="11E421DE"/>
    <w:rsid w:val="12744071"/>
    <w:rsid w:val="14511468"/>
    <w:rsid w:val="15602773"/>
    <w:rsid w:val="15A17D18"/>
    <w:rsid w:val="18AD0BEB"/>
    <w:rsid w:val="1B8F3477"/>
    <w:rsid w:val="1F2667DB"/>
    <w:rsid w:val="20F05C3F"/>
    <w:rsid w:val="25444A42"/>
    <w:rsid w:val="25FF5582"/>
    <w:rsid w:val="279554EB"/>
    <w:rsid w:val="28D27F73"/>
    <w:rsid w:val="2A5A6DE9"/>
    <w:rsid w:val="2AE35581"/>
    <w:rsid w:val="2D572253"/>
    <w:rsid w:val="2D6230D5"/>
    <w:rsid w:val="2DFB52D7"/>
    <w:rsid w:val="2E453D15"/>
    <w:rsid w:val="2E9B6C16"/>
    <w:rsid w:val="2F6321CD"/>
    <w:rsid w:val="2FCA4F61"/>
    <w:rsid w:val="2FFE034A"/>
    <w:rsid w:val="31A068BA"/>
    <w:rsid w:val="35CF73B2"/>
    <w:rsid w:val="390E2362"/>
    <w:rsid w:val="3B491927"/>
    <w:rsid w:val="3C7F1298"/>
    <w:rsid w:val="3ED95802"/>
    <w:rsid w:val="40285A68"/>
    <w:rsid w:val="406E4BD8"/>
    <w:rsid w:val="40C15F0C"/>
    <w:rsid w:val="428B3BBD"/>
    <w:rsid w:val="46582E6F"/>
    <w:rsid w:val="47156397"/>
    <w:rsid w:val="47A243B1"/>
    <w:rsid w:val="48A842A9"/>
    <w:rsid w:val="49E24EA6"/>
    <w:rsid w:val="4BB623F8"/>
    <w:rsid w:val="4C0D0258"/>
    <w:rsid w:val="4E571C5E"/>
    <w:rsid w:val="4F053468"/>
    <w:rsid w:val="4F396E7E"/>
    <w:rsid w:val="4F744245"/>
    <w:rsid w:val="50ED0658"/>
    <w:rsid w:val="553F04E2"/>
    <w:rsid w:val="55C40E32"/>
    <w:rsid w:val="55F35CBC"/>
    <w:rsid w:val="561F2482"/>
    <w:rsid w:val="575C69E3"/>
    <w:rsid w:val="584541E2"/>
    <w:rsid w:val="58983E80"/>
    <w:rsid w:val="58C90E1B"/>
    <w:rsid w:val="5B5511B7"/>
    <w:rsid w:val="5D7C1E11"/>
    <w:rsid w:val="5FBE1E93"/>
    <w:rsid w:val="608D2F12"/>
    <w:rsid w:val="622938C9"/>
    <w:rsid w:val="636B5B38"/>
    <w:rsid w:val="67612EF6"/>
    <w:rsid w:val="67CA16D6"/>
    <w:rsid w:val="68CD78A0"/>
    <w:rsid w:val="698E2580"/>
    <w:rsid w:val="6A362676"/>
    <w:rsid w:val="6AB73717"/>
    <w:rsid w:val="6B1528EE"/>
    <w:rsid w:val="6BF66135"/>
    <w:rsid w:val="6C1769B8"/>
    <w:rsid w:val="701875CA"/>
    <w:rsid w:val="706B383A"/>
    <w:rsid w:val="72F924F0"/>
    <w:rsid w:val="74062C7E"/>
    <w:rsid w:val="74E474F8"/>
    <w:rsid w:val="751F0CEB"/>
    <w:rsid w:val="752D5343"/>
    <w:rsid w:val="7794086F"/>
    <w:rsid w:val="78132F2A"/>
    <w:rsid w:val="786475B1"/>
    <w:rsid w:val="790D425A"/>
    <w:rsid w:val="79155BE7"/>
    <w:rsid w:val="7A1D0DF3"/>
    <w:rsid w:val="7C2F2634"/>
    <w:rsid w:val="7D087011"/>
    <w:rsid w:val="7F7E3AD3"/>
    <w:rsid w:val="7FF72930"/>
    <w:rsid w:val="D6BF4E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200" w:firstLineChars="200"/>
    </w:pPr>
  </w:style>
  <w:style w:type="paragraph" w:styleId="3">
    <w:name w:val="Body Text First Indent 2"/>
    <w:basedOn w:val="4"/>
    <w:qFormat/>
    <w:uiPriority w:val="0"/>
    <w:pPr>
      <w:widowControl/>
      <w:ind w:firstLine="420" w:firstLineChars="200"/>
    </w:pPr>
    <w:rPr>
      <w:rFonts w:eastAsia="仿宋_GB2312"/>
    </w:rPr>
  </w:style>
  <w:style w:type="paragraph" w:styleId="4">
    <w:name w:val="Body Text Indent"/>
    <w:basedOn w:val="1"/>
    <w:qFormat/>
    <w:uiPriority w:val="0"/>
    <w:pPr>
      <w:keepNext/>
      <w:widowControl w:val="0"/>
      <w:spacing w:line="360" w:lineRule="auto"/>
    </w:pPr>
    <w:rPr>
      <w:rFonts w:eastAsia="宋体"/>
      <w:sz w:val="24"/>
    </w:rPr>
  </w:style>
  <w:style w:type="paragraph" w:styleId="5">
    <w:name w:val="annotation text"/>
    <w:basedOn w:val="1"/>
    <w:next w:val="1"/>
    <w:semiHidden/>
    <w:qFormat/>
    <w:uiPriority w:val="0"/>
    <w:pPr>
      <w:jc w:val="left"/>
    </w:pPr>
    <w:rPr>
      <w:kern w:val="0"/>
      <w:sz w:val="20"/>
    </w:rPr>
  </w:style>
  <w:style w:type="paragraph" w:styleId="6">
    <w:name w:val="Body Text"/>
    <w:basedOn w:val="1"/>
    <w:next w:val="7"/>
    <w:qFormat/>
    <w:uiPriority w:val="0"/>
    <w:pPr>
      <w:spacing w:after="120" w:afterLines="0" w:afterAutospacing="0"/>
    </w:pPr>
  </w:style>
  <w:style w:type="paragraph" w:customStyle="1" w:styleId="7">
    <w:name w:val="Normal (Web)1"/>
    <w:basedOn w:val="1"/>
    <w:next w:val="8"/>
    <w:qFormat/>
    <w:uiPriority w:val="0"/>
    <w:pPr>
      <w:widowControl/>
      <w:jc w:val="left"/>
    </w:pPr>
    <w:rPr>
      <w:rFonts w:ascii="宋体" w:hAnsi="Times New Roman" w:eastAsia="宋体" w:cs="Times New Roman"/>
      <w:kern w:val="0"/>
      <w:sz w:val="24"/>
      <w:szCs w:val="21"/>
    </w:rPr>
  </w:style>
  <w:style w:type="paragraph" w:customStyle="1" w:styleId="8">
    <w:name w:val="Date1"/>
    <w:basedOn w:val="1"/>
    <w:next w:val="1"/>
    <w:qFormat/>
    <w:uiPriority w:val="0"/>
    <w:pPr>
      <w:adjustRightInd w:val="0"/>
      <w:textAlignment w:val="baseline"/>
    </w:pPr>
    <w:rPr>
      <w:szCs w:val="20"/>
    </w:rPr>
  </w:style>
  <w:style w:type="paragraph" w:styleId="9">
    <w:name w:val="Plain Text"/>
    <w:basedOn w:val="1"/>
    <w:qFormat/>
    <w:uiPriority w:val="0"/>
    <w:rPr>
      <w:rFonts w:ascii="宋体" w:hAnsi="Lucida Console" w:eastAsia="仿宋_GB2312"/>
      <w:sz w:val="24"/>
    </w:rPr>
  </w:style>
  <w:style w:type="paragraph" w:styleId="10">
    <w:name w:val="Body Text Indent 2"/>
    <w:basedOn w:val="1"/>
    <w:next w:val="1"/>
    <w:qFormat/>
    <w:uiPriority w:val="0"/>
    <w:pPr>
      <w:spacing w:after="120" w:line="480" w:lineRule="auto"/>
      <w:ind w:left="420" w:leftChars="200"/>
    </w:p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next w:val="13"/>
    <w:qFormat/>
    <w:uiPriority w:val="0"/>
    <w:pPr>
      <w:pBdr>
        <w:bottom w:val="single" w:color="auto" w:sz="6" w:space="1"/>
      </w:pBdr>
      <w:tabs>
        <w:tab w:val="center" w:pos="4153"/>
        <w:tab w:val="right" w:pos="8306"/>
      </w:tabs>
      <w:snapToGrid w:val="0"/>
      <w:jc w:val="center"/>
    </w:pPr>
    <w:rPr>
      <w:sz w:val="18"/>
      <w:szCs w:val="18"/>
    </w:rPr>
  </w:style>
  <w:style w:type="paragraph" w:customStyle="1" w:styleId="13">
    <w:name w:val="样式5"/>
    <w:basedOn w:val="14"/>
    <w:qFormat/>
    <w:uiPriority w:val="0"/>
    <w:pPr>
      <w:snapToGrid w:val="0"/>
      <w:spacing w:line="360" w:lineRule="auto"/>
      <w:ind w:firstLine="510"/>
    </w:pPr>
    <w:rPr>
      <w:sz w:val="24"/>
    </w:rPr>
  </w:style>
  <w:style w:type="paragraph" w:customStyle="1" w:styleId="14">
    <w:name w:val="正文1"/>
    <w:basedOn w:val="1"/>
    <w:next w:val="1"/>
    <w:qFormat/>
    <w:uiPriority w:val="0"/>
    <w:pPr>
      <w:adjustRightInd w:val="0"/>
      <w:spacing w:line="360" w:lineRule="auto"/>
      <w:jc w:val="center"/>
      <w:textAlignment w:val="baseline"/>
    </w:pPr>
    <w:rPr>
      <w:kern w:val="0"/>
      <w:sz w:val="28"/>
      <w:szCs w:val="20"/>
    </w:rPr>
  </w:style>
  <w:style w:type="character" w:styleId="17">
    <w:name w:val="FollowedHyperlink"/>
    <w:basedOn w:val="16"/>
    <w:qFormat/>
    <w:uiPriority w:val="0"/>
    <w:rPr>
      <w:color w:val="333333"/>
      <w:u w:val="none"/>
    </w:rPr>
  </w:style>
  <w:style w:type="character" w:styleId="18">
    <w:name w:val="Hyperlink"/>
    <w:basedOn w:val="16"/>
    <w:qFormat/>
    <w:uiPriority w:val="0"/>
    <w:rPr>
      <w:color w:val="333333"/>
      <w:u w:val="none"/>
    </w:rPr>
  </w:style>
  <w:style w:type="character" w:styleId="19">
    <w:name w:val="HTML Sample"/>
    <w:basedOn w:val="16"/>
    <w:qFormat/>
    <w:uiPriority w:val="0"/>
    <w:rPr>
      <w:rFonts w:ascii="Courier New" w:hAnsi="Courier New"/>
    </w:rPr>
  </w:style>
  <w:style w:type="paragraph" w:customStyle="1" w:styleId="20">
    <w:name w:val="xl27"/>
    <w:basedOn w:val="1"/>
    <w:next w:val="5"/>
    <w:qFormat/>
    <w:uiPriority w:val="0"/>
    <w:pPr>
      <w:pBdr>
        <w:bottom w:val="single" w:color="auto" w:sz="12" w:space="0"/>
      </w:pBdr>
      <w:jc w:val="center"/>
    </w:pPr>
  </w:style>
  <w:style w:type="paragraph" w:customStyle="1" w:styleId="21">
    <w:name w:val="样式 正文缩进正文缩进2正文缩进 Char Char正文缩进 Char Char Char Char正文缩进 Char ..."/>
    <w:basedOn w:val="2"/>
    <w:qFormat/>
    <w:uiPriority w:val="0"/>
    <w:pPr>
      <w:spacing w:line="360" w:lineRule="auto"/>
      <w:ind w:firstLine="200"/>
    </w:pPr>
    <w:rPr>
      <w:rFonts w:cs="宋体"/>
      <w:sz w:val="24"/>
    </w:rPr>
  </w:style>
  <w:style w:type="paragraph" w:customStyle="1" w:styleId="22">
    <w:name w:val="Default"/>
    <w:basedOn w:val="23"/>
    <w:next w:val="24"/>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3">
    <w:name w:val="文本"/>
    <w:basedOn w:val="1"/>
    <w:next w:val="1"/>
    <w:qFormat/>
    <w:uiPriority w:val="0"/>
    <w:pPr>
      <w:autoSpaceDE w:val="0"/>
      <w:autoSpaceDN w:val="0"/>
      <w:ind w:firstLine="480"/>
    </w:pPr>
    <w:rPr>
      <w:lang w:val="zh-CN"/>
    </w:rPr>
  </w:style>
  <w:style w:type="paragraph" w:customStyle="1" w:styleId="24">
    <w:name w:val="表格文字"/>
    <w:basedOn w:val="6"/>
    <w:next w:val="1"/>
    <w:qFormat/>
    <w:uiPriority w:val="0"/>
    <w:pPr>
      <w:snapToGrid w:val="0"/>
      <w:contextualSpacing/>
      <w:jc w:val="center"/>
    </w:pPr>
    <w:rPr>
      <w:szCs w:val="21"/>
    </w:rPr>
  </w:style>
  <w:style w:type="paragraph" w:customStyle="1" w:styleId="25">
    <w:name w:val="Table Paragraph"/>
    <w:basedOn w:val="1"/>
    <w:qFormat/>
    <w:uiPriority w:val="1"/>
    <w:rPr>
      <w:rFonts w:ascii="宋体" w:hAnsi="宋体" w:eastAsia="宋体" w:cs="宋体"/>
      <w:lang w:val="zh-CN" w:eastAsia="zh-CN" w:bidi="zh-CN"/>
    </w:rPr>
  </w:style>
  <w:style w:type="character" w:customStyle="1" w:styleId="26">
    <w:name w:val="bsharetext"/>
    <w:basedOn w:val="16"/>
    <w:qFormat/>
    <w:uiPriority w:val="0"/>
  </w:style>
  <w:style w:type="paragraph" w:customStyle="1" w:styleId="27">
    <w:name w:val="付正文"/>
    <w:basedOn w:val="1"/>
    <w:qFormat/>
    <w:uiPriority w:val="0"/>
    <w:pPr>
      <w:spacing w:line="360" w:lineRule="auto"/>
    </w:pPr>
    <w:rPr>
      <w:rFonts w:ascii="宋体" w:eastAsia="宋体"/>
      <w:color w:val="00000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1300</Words>
  <Characters>1342</Characters>
  <Lines>0</Lines>
  <Paragraphs>0</Paragraphs>
  <TotalTime>269</TotalTime>
  <ScaleCrop>false</ScaleCrop>
  <LinksUpToDate>false</LinksUpToDate>
  <CharactersWithSpaces>1407</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Administrator</dc:creator>
  <cp:lastModifiedBy>燕儿</cp:lastModifiedBy>
  <cp:lastPrinted>2026-07-24T03:49:00Z</cp:lastPrinted>
  <dcterms:modified xsi:type="dcterms:W3CDTF">2026-07-29T03:22:26Z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F926293E6B7B4F91BFA842F864850618</vt:lpwstr>
  </property>
  <property fmtid="{D5CDD505-2E9C-101B-9397-08002B2CF9AE}" pid="4" name="KSOTemplateDocerSaveRecord">
    <vt:lpwstr>eyJoZGlkIjoiYTZlOWI3ZGY4MTY5OGIzMGU2MDMzMTc0NWVkM2E0MmQiLCJ1c2VySWQiOiIyMDYzMTU3NjYifQ==</vt:lpwstr>
  </property>
</Properties>
</file>