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3A596">
      <w:pPr>
        <w:keepNext w:val="0"/>
        <w:keepLines w:val="0"/>
        <w:pageBreakBefore w:val="0"/>
        <w:widowControl w:val="0"/>
        <w:tabs>
          <w:tab w:val="left" w:pos="2562"/>
        </w:tabs>
        <w:kinsoku/>
        <w:wordWrap/>
        <w:overflowPunct/>
        <w:topLinePunct w:val="0"/>
        <w:autoSpaceDE/>
        <w:autoSpaceDN/>
        <w:bidi w:val="0"/>
        <w:adjustRightInd/>
        <w:snapToGrid/>
        <w:spacing w:before="5460" w:beforeLines="1750" w:after="0" w:afterLines="0" w:line="578" w:lineRule="exact"/>
        <w:ind w:left="0" w:leftChars="0" w:right="0" w:rightChars="0" w:firstLine="0" w:firstLineChars="0"/>
        <w:jc w:val="center"/>
        <w:textAlignment w:val="auto"/>
        <w:outlineLvl w:val="9"/>
        <w:rPr>
          <w:rFonts w:hint="eastAsia" w:ascii="仿宋" w:hAnsi="仿宋" w:eastAsia="仿宋"/>
          <w:color w:val="auto"/>
          <w:sz w:val="32"/>
          <w:szCs w:val="32"/>
          <w:highlight w:val="none"/>
        </w:rPr>
      </w:pPr>
      <w:r>
        <w:rPr>
          <w:rFonts w:hint="eastAsia" w:ascii="仿宋_GB2312" w:hAnsi="仿宋_GB2312" w:eastAsia="仿宋_GB2312" w:cs="仿宋_GB2312"/>
          <w:color w:val="auto"/>
          <w:sz w:val="32"/>
          <w:szCs w:val="32"/>
          <w:lang w:eastAsia="zh-CN"/>
        </w:rPr>
        <w:t>鄂环准审字</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w:t>
      </w:r>
      <w:r>
        <w:rPr>
          <w:rFonts w:hint="eastAsia" w:ascii="仿宋_GB2312" w:hAnsi="仿宋_GB2312" w:cs="仿宋_GB2312"/>
          <w:color w:val="auto"/>
          <w:sz w:val="32"/>
          <w:szCs w:val="32"/>
          <w:lang w:val="en-US" w:eastAsia="zh-CN"/>
        </w:rPr>
        <w:t>6</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lang w:val="en-US" w:eastAsia="zh-CN"/>
        </w:rPr>
        <w:t>20</w:t>
      </w:r>
      <w:r>
        <w:rPr>
          <w:rFonts w:hint="eastAsia" w:ascii="仿宋_GB2312" w:hAnsi="仿宋_GB2312" w:eastAsia="仿宋_GB2312" w:cs="仿宋_GB2312"/>
          <w:color w:val="auto"/>
          <w:sz w:val="32"/>
          <w:szCs w:val="32"/>
          <w:highlight w:val="none"/>
        </w:rPr>
        <w:t>号</w:t>
      </w:r>
    </w:p>
    <w:p w14:paraId="4FAB4226">
      <w:pPr>
        <w:keepNext w:val="0"/>
        <w:keepLines w:val="0"/>
        <w:pageBreakBefore w:val="0"/>
        <w:widowControl w:val="0"/>
        <w:kinsoku/>
        <w:wordWrap/>
        <w:overflowPunct/>
        <w:topLinePunct w:val="0"/>
        <w:autoSpaceDE/>
        <w:autoSpaceDN/>
        <w:bidi w:val="0"/>
        <w:adjustRightInd/>
        <w:snapToGrid/>
        <w:spacing w:before="875" w:beforeLines="280" w:beforeAutospacing="0" w:afterAutospacing="0" w:line="578" w:lineRule="exact"/>
        <w:jc w:val="both"/>
        <w:textAlignment w:val="auto"/>
        <w:rPr>
          <w:rFonts w:hint="eastAsia" w:ascii="仿宋_GB2312" w:hAnsi="仿宋_GB2312" w:eastAsia="仿宋_GB2312" w:cs="仿宋_GB2312"/>
          <w:color w:val="auto"/>
          <w:spacing w:val="0"/>
          <w:kern w:val="0"/>
          <w:sz w:val="32"/>
          <w:szCs w:val="32"/>
          <w:lang w:eastAsia="zh-CN"/>
        </w:rPr>
      </w:pPr>
      <w:r>
        <w:rPr>
          <w:rFonts w:hint="eastAsia" w:ascii="方正小标宋简体" w:hAnsi="仿宋" w:eastAsia="方正小标宋简体" w:cs="Times New Roman"/>
          <w:color w:val="auto"/>
          <w:spacing w:val="0"/>
          <w:sz w:val="44"/>
          <w:szCs w:val="44"/>
          <w:highlight w:val="none"/>
          <w:lang w:eastAsia="zh-CN"/>
        </w:rPr>
        <w:t>鄂尔多斯市生态环境局准格尔</w:t>
      </w:r>
      <w:r>
        <w:rPr>
          <w:rFonts w:hint="eastAsia" w:ascii="方正小标宋简体" w:hAnsi="仿宋" w:eastAsia="方正小标宋简体" w:cs="Times New Roman"/>
          <w:color w:val="auto"/>
          <w:spacing w:val="0"/>
          <w:sz w:val="44"/>
          <w:szCs w:val="44"/>
          <w:lang w:eastAsia="zh-CN"/>
        </w:rPr>
        <w:t>旗分局</w:t>
      </w:r>
    </w:p>
    <w:p w14:paraId="0B68422D">
      <w:pPr>
        <w:spacing w:beforeAutospacing="0" w:afterAutospacing="0" w:line="578" w:lineRule="exact"/>
        <w:ind w:left="0" w:leftChars="0" w:firstLine="0" w:firstLineChars="0"/>
        <w:jc w:val="center"/>
        <w:rPr>
          <w:rFonts w:hint="eastAsia" w:ascii="方正小标宋简体" w:hAnsi="仿宋" w:eastAsia="方正小标宋简体" w:cs="Times New Roman"/>
          <w:color w:val="auto"/>
          <w:spacing w:val="0"/>
          <w:sz w:val="44"/>
          <w:szCs w:val="44"/>
          <w:lang w:eastAsia="zh-CN"/>
        </w:rPr>
      </w:pPr>
      <w:r>
        <w:rPr>
          <w:rFonts w:hint="eastAsia" w:ascii="方正小标宋简体" w:hAnsi="仿宋" w:eastAsia="方正小标宋简体" w:cs="Times New Roman"/>
          <w:color w:val="auto"/>
          <w:spacing w:val="0"/>
          <w:sz w:val="44"/>
          <w:szCs w:val="44"/>
          <w:lang w:eastAsia="zh-CN"/>
        </w:rPr>
        <w:t>关于鄂尔多斯市准格尔旗纳日松光伏制氢</w:t>
      </w:r>
    </w:p>
    <w:p w14:paraId="6576CE34">
      <w:pPr>
        <w:spacing w:beforeAutospacing="0" w:afterAutospacing="0" w:line="578" w:lineRule="exact"/>
        <w:ind w:left="0" w:leftChars="0" w:firstLine="0" w:firstLineChars="0"/>
        <w:jc w:val="center"/>
        <w:rPr>
          <w:rFonts w:hint="eastAsia" w:ascii="方正小标宋简体" w:hAnsi="仿宋" w:eastAsia="方正小标宋简体"/>
          <w:color w:val="auto"/>
          <w:spacing w:val="0"/>
          <w:sz w:val="44"/>
          <w:szCs w:val="44"/>
        </w:rPr>
      </w:pPr>
      <w:r>
        <w:rPr>
          <w:rFonts w:hint="eastAsia" w:ascii="方正小标宋简体" w:hAnsi="仿宋" w:eastAsia="方正小标宋简体" w:cs="Times New Roman"/>
          <w:color w:val="auto"/>
          <w:spacing w:val="0"/>
          <w:sz w:val="44"/>
          <w:szCs w:val="44"/>
          <w:lang w:eastAsia="zh-CN"/>
        </w:rPr>
        <w:t>改造项目</w:t>
      </w:r>
      <w:r>
        <w:rPr>
          <w:rFonts w:hint="eastAsia" w:ascii="方正小标宋简体" w:hAnsi="仿宋" w:eastAsia="方正小标宋简体" w:cs="Times New Roman"/>
          <w:color w:val="auto"/>
          <w:spacing w:val="0"/>
          <w:sz w:val="44"/>
          <w:szCs w:val="44"/>
          <w:lang w:val="en-US" w:eastAsia="zh-CN"/>
        </w:rPr>
        <w:t>环</w:t>
      </w:r>
      <w:r>
        <w:rPr>
          <w:rFonts w:hint="eastAsia" w:ascii="方正小标宋简体" w:hAnsi="仿宋" w:eastAsia="方正小标宋简体"/>
          <w:color w:val="auto"/>
          <w:spacing w:val="0"/>
          <w:sz w:val="44"/>
          <w:szCs w:val="44"/>
          <w:lang w:val="en-US" w:eastAsia="zh-CN"/>
        </w:rPr>
        <w:t>境影响报告表</w:t>
      </w:r>
      <w:r>
        <w:rPr>
          <w:rFonts w:hint="eastAsia" w:ascii="方正小标宋简体" w:hAnsi="仿宋" w:eastAsia="方正小标宋简体"/>
          <w:color w:val="auto"/>
          <w:spacing w:val="0"/>
          <w:sz w:val="44"/>
          <w:szCs w:val="44"/>
        </w:rPr>
        <w:t>的批复</w:t>
      </w:r>
    </w:p>
    <w:p w14:paraId="3D7BA8AA">
      <w:pPr>
        <w:spacing w:beforeAutospacing="0" w:afterAutospacing="0" w:line="578" w:lineRule="exact"/>
        <w:jc w:val="center"/>
        <w:rPr>
          <w:rFonts w:hint="eastAsia" w:ascii="方正小标宋简体" w:hAnsi="仿宋" w:eastAsia="方正小标宋简体"/>
          <w:color w:val="auto"/>
          <w:spacing w:val="0"/>
          <w:sz w:val="44"/>
          <w:szCs w:val="44"/>
          <w:lang w:eastAsia="zh-CN"/>
        </w:rPr>
      </w:pPr>
    </w:p>
    <w:p w14:paraId="6FAD96E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鄂尔多斯市瀚峡新能源有限公司：</w:t>
      </w:r>
    </w:p>
    <w:p w14:paraId="1F2B9162">
      <w:pPr>
        <w:keepNext w:val="0"/>
        <w:keepLines w:val="0"/>
        <w:pageBreakBefore w:val="0"/>
        <w:widowControl w:val="0"/>
        <w:kinsoku/>
        <w:wordWrap/>
        <w:overflowPunct/>
        <w:topLinePunct w:val="0"/>
        <w:autoSpaceDE/>
        <w:autoSpaceDN/>
        <w:bidi w:val="0"/>
        <w:adjustRightInd/>
        <w:snapToGrid/>
        <w:spacing w:line="240" w:lineRule="atLeast"/>
        <w:ind w:firstLine="640" w:firstLineChars="20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你公司报送的由内蒙古</w:t>
      </w:r>
      <w:r>
        <w:rPr>
          <w:rFonts w:hint="eastAsia" w:ascii="仿宋_GB2312" w:hAnsi="仿宋_GB2312" w:cs="仿宋_GB2312"/>
          <w:szCs w:val="32"/>
          <w:lang w:val="en-US" w:eastAsia="zh-CN"/>
        </w:rPr>
        <w:t>自治区机械设备成套</w:t>
      </w:r>
      <w:r>
        <w:rPr>
          <w:rFonts w:hint="eastAsia" w:ascii="仿宋_GB2312" w:hAnsi="仿宋_GB2312" w:eastAsia="仿宋_GB2312" w:cs="仿宋_GB2312"/>
          <w:szCs w:val="32"/>
          <w:lang w:val="en-US" w:eastAsia="zh-CN"/>
        </w:rPr>
        <w:t>有限</w:t>
      </w:r>
      <w:r>
        <w:rPr>
          <w:rFonts w:hint="eastAsia" w:ascii="仿宋_GB2312" w:hAnsi="仿宋_GB2312" w:cs="仿宋_GB2312"/>
          <w:szCs w:val="32"/>
          <w:lang w:val="en-US" w:eastAsia="zh-CN"/>
        </w:rPr>
        <w:t>责任</w:t>
      </w:r>
      <w:r>
        <w:rPr>
          <w:rFonts w:hint="eastAsia" w:ascii="仿宋_GB2312" w:hAnsi="仿宋_GB2312" w:eastAsia="仿宋_GB2312" w:cs="仿宋_GB2312"/>
          <w:szCs w:val="32"/>
          <w:lang w:val="en-US" w:eastAsia="zh-CN"/>
        </w:rPr>
        <w:t>公司编制的《鄂尔多斯市准格尔旗纳日松光伏制氢改造项目环境影响报告表》（以下简称《报告表》）收悉。经研究，现批复如下：</w:t>
      </w:r>
    </w:p>
    <w:p w14:paraId="09296A12">
      <w:pPr>
        <w:keepNext w:val="0"/>
        <w:keepLines w:val="0"/>
        <w:pageBreakBefore w:val="0"/>
        <w:widowControl w:val="0"/>
        <w:kinsoku/>
        <w:wordWrap/>
        <w:overflowPunct/>
        <w:topLinePunct w:val="0"/>
        <w:autoSpaceDE/>
        <w:autoSpaceDN/>
        <w:bidi w:val="0"/>
        <w:adjustRightInd/>
        <w:snapToGrid/>
        <w:spacing w:line="240" w:lineRule="atLeast"/>
        <w:ind w:firstLine="640" w:firstLineChars="200"/>
        <w:textAlignment w:val="auto"/>
        <w:rPr>
          <w:rFonts w:hint="eastAsia" w:ascii="仿宋_GB2312" w:hAnsi="仿宋_GB2312" w:eastAsia="仿宋_GB2312" w:cs="仿宋_GB2312"/>
          <w:szCs w:val="32"/>
          <w:highlight w:val="none"/>
          <w:lang w:val="en-US" w:eastAsia="zh-CN"/>
        </w:rPr>
      </w:pPr>
      <w:r>
        <w:rPr>
          <w:rFonts w:hint="eastAsia" w:ascii="仿宋_GB2312" w:hAnsi="仿宋_GB2312" w:eastAsia="仿宋_GB2312" w:cs="仿宋_GB2312"/>
          <w:szCs w:val="32"/>
          <w:lang w:val="en-US" w:eastAsia="zh-CN"/>
        </w:rPr>
        <w:t>一</w:t>
      </w:r>
      <w:r>
        <w:rPr>
          <w:rFonts w:hint="eastAsia" w:ascii="仿宋_GB2312" w:hAnsi="仿宋_GB2312" w:eastAsia="仿宋_GB2312" w:cs="仿宋_GB2312"/>
          <w:szCs w:val="32"/>
          <w:highlight w:val="none"/>
          <w:lang w:val="en-US" w:eastAsia="zh-CN"/>
        </w:rPr>
        <w:t>、</w:t>
      </w:r>
      <w:r>
        <w:rPr>
          <w:rFonts w:hint="eastAsia" w:ascii="仿宋_GB2312" w:hAnsi="仿宋_GB2312" w:cs="仿宋_GB2312"/>
          <w:szCs w:val="32"/>
          <w:highlight w:val="none"/>
          <w:lang w:val="en-US" w:eastAsia="zh-CN"/>
        </w:rPr>
        <w:t>项目</w:t>
      </w:r>
      <w:r>
        <w:rPr>
          <w:rFonts w:hint="eastAsia" w:ascii="仿宋_GB2312" w:hAnsi="仿宋_GB2312" w:eastAsia="仿宋_GB2312" w:cs="仿宋_GB2312"/>
          <w:szCs w:val="32"/>
          <w:highlight w:val="none"/>
          <w:lang w:val="en-US" w:eastAsia="zh-CN"/>
        </w:rPr>
        <w:t>位于准格尔经济开发区准格尔产业园纳日松光伏制氢厂区内</w:t>
      </w:r>
      <w:r>
        <w:rPr>
          <w:rFonts w:hint="eastAsia" w:ascii="仿宋_GB2312" w:hAnsi="仿宋_GB2312" w:cs="仿宋_GB2312"/>
          <w:szCs w:val="32"/>
          <w:highlight w:val="none"/>
          <w:lang w:val="en-US" w:eastAsia="zh-CN"/>
        </w:rPr>
        <w:t>。本次改造在原工艺不变的基础上新增1台储氢罐。主要建设内容包括在制氢厂内预留用地增设1台650立方米球罐，用于氢气储存；厂区内增设长度为350米的输氢管道完成与</w:t>
      </w:r>
      <w:r>
        <w:rPr>
          <w:rFonts w:hint="default" w:ascii="仿宋_GB2312" w:hAnsi="仿宋_GB2312" w:cs="仿宋_GB2312"/>
          <w:szCs w:val="32"/>
          <w:highlight w:val="none"/>
          <w:lang w:val="en-US" w:eastAsia="zh-CN"/>
        </w:rPr>
        <w:t>兴洋科技氢气管道碰口</w:t>
      </w:r>
      <w:r>
        <w:rPr>
          <w:rFonts w:hint="eastAsia" w:ascii="仿宋_GB2312" w:hAnsi="仿宋_GB2312" w:cs="仿宋_GB2312"/>
          <w:szCs w:val="32"/>
          <w:highlight w:val="none"/>
          <w:lang w:val="en-US" w:eastAsia="zh-CN"/>
        </w:rPr>
        <w:t>；辅助工程为循环冷却水塔盘管加设防冻设施。所有工程均在厂区内实施。</w:t>
      </w:r>
      <w:r>
        <w:rPr>
          <w:rFonts w:hint="eastAsia" w:ascii="仿宋_GB2312" w:hAnsi="仿宋_GB2312" w:eastAsia="仿宋_GB2312" w:cs="仿宋_GB2312"/>
          <w:szCs w:val="32"/>
          <w:highlight w:val="none"/>
          <w:lang w:val="en-US" w:eastAsia="zh-CN"/>
        </w:rPr>
        <w:t>项目总投资1371.29万元，</w:t>
      </w:r>
      <w:r>
        <w:rPr>
          <w:rFonts w:hint="eastAsia" w:ascii="仿宋_GB2312" w:hAnsi="仿宋_GB2312" w:cs="仿宋_GB2312"/>
          <w:szCs w:val="32"/>
          <w:highlight w:val="none"/>
          <w:lang w:val="en-US" w:eastAsia="zh-CN"/>
        </w:rPr>
        <w:t>其中</w:t>
      </w:r>
      <w:r>
        <w:rPr>
          <w:rFonts w:hint="eastAsia" w:ascii="仿宋_GB2312" w:hAnsi="仿宋_GB2312" w:eastAsia="仿宋_GB2312" w:cs="仿宋_GB2312"/>
          <w:szCs w:val="32"/>
          <w:highlight w:val="none"/>
          <w:lang w:val="en-US" w:eastAsia="zh-CN"/>
        </w:rPr>
        <w:t>环保投资91万元</w:t>
      </w:r>
      <w:r>
        <w:rPr>
          <w:rFonts w:hint="eastAsia" w:ascii="仿宋_GB2312" w:hAnsi="仿宋_GB2312" w:cs="仿宋_GB2312"/>
          <w:szCs w:val="32"/>
          <w:highlight w:val="none"/>
          <w:lang w:val="en-US" w:eastAsia="zh-CN"/>
        </w:rPr>
        <w:t>，</w:t>
      </w:r>
      <w:r>
        <w:rPr>
          <w:rFonts w:hint="eastAsia" w:ascii="仿宋_GB2312" w:hAnsi="仿宋_GB2312" w:eastAsia="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占总投资的6.64%</w:t>
      </w:r>
      <w:r>
        <w:rPr>
          <w:rFonts w:hint="eastAsia" w:ascii="仿宋_GB2312" w:hAnsi="仿宋_GB2312" w:eastAsia="仿宋_GB2312" w:cs="仿宋_GB2312"/>
          <w:szCs w:val="32"/>
          <w:highlight w:val="none"/>
          <w:lang w:val="en-US" w:eastAsia="zh-CN"/>
        </w:rPr>
        <w:t>。</w:t>
      </w:r>
    </w:p>
    <w:p w14:paraId="565BF926">
      <w:pPr>
        <w:keepNext w:val="0"/>
        <w:keepLines w:val="0"/>
        <w:pageBreakBefore w:val="0"/>
        <w:widowControl w:val="0"/>
        <w:kinsoku/>
        <w:wordWrap/>
        <w:overflowPunct/>
        <w:topLinePunct w:val="0"/>
        <w:autoSpaceDE/>
        <w:autoSpaceDN/>
        <w:bidi w:val="0"/>
        <w:adjustRightInd/>
        <w:snapToGrid/>
        <w:spacing w:line="240" w:lineRule="atLeast"/>
        <w:ind w:firstLine="640" w:firstLineChars="20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highlight w:val="none"/>
          <w:lang w:val="en-US" w:eastAsia="zh-CN"/>
        </w:rPr>
        <w:t>《报告表》认为，在</w:t>
      </w:r>
      <w:r>
        <w:rPr>
          <w:rFonts w:hint="eastAsia" w:ascii="仿宋_GB2312" w:hAnsi="仿宋_GB2312" w:eastAsia="仿宋_GB2312" w:cs="仿宋_GB2312"/>
          <w:szCs w:val="32"/>
          <w:lang w:val="en-US" w:eastAsia="zh-CN"/>
        </w:rPr>
        <w:t>全面落实各项生态环境保护和环境污染防治措施的前提下，项目建设对环境的不利影响能够得到一定的缓解和控制。我局原则同意你公司按照《报告表》中所列的建设项目性质、规模、地点、环境保护措施进行建设。</w:t>
      </w:r>
    </w:p>
    <w:p w14:paraId="0AF13C4F">
      <w:pPr>
        <w:keepNext w:val="0"/>
        <w:keepLines w:val="0"/>
        <w:pageBreakBefore w:val="0"/>
        <w:widowControl w:val="0"/>
        <w:numPr>
          <w:ilvl w:val="0"/>
          <w:numId w:val="1"/>
        </w:numPr>
        <w:kinsoku/>
        <w:wordWrap/>
        <w:overflowPunct/>
        <w:topLinePunct w:val="0"/>
        <w:autoSpaceDE/>
        <w:autoSpaceDN/>
        <w:bidi w:val="0"/>
        <w:adjustRightInd/>
        <w:snapToGrid/>
        <w:spacing w:line="240" w:lineRule="atLeast"/>
        <w:ind w:left="0" w:leftChars="0" w:firstLine="640" w:firstLineChars="20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项目</w:t>
      </w:r>
      <w:r>
        <w:rPr>
          <w:rFonts w:hint="eastAsia" w:ascii="仿宋_GB2312" w:hAnsi="仿宋_GB2312" w:cs="仿宋_GB2312"/>
          <w:szCs w:val="32"/>
          <w:lang w:val="en-US" w:eastAsia="zh-CN"/>
        </w:rPr>
        <w:t>建设与</w:t>
      </w:r>
      <w:r>
        <w:rPr>
          <w:rFonts w:hint="eastAsia" w:ascii="仿宋_GB2312" w:hAnsi="仿宋_GB2312" w:eastAsia="仿宋_GB2312" w:cs="仿宋_GB2312"/>
          <w:szCs w:val="32"/>
          <w:lang w:val="en-US" w:eastAsia="zh-CN"/>
        </w:rPr>
        <w:t>运行管理中应重点做好</w:t>
      </w:r>
      <w:r>
        <w:rPr>
          <w:rFonts w:hint="eastAsia" w:ascii="仿宋_GB2312" w:hAnsi="仿宋_GB2312" w:cs="仿宋_GB2312"/>
          <w:szCs w:val="32"/>
          <w:lang w:val="en-US" w:eastAsia="zh-CN"/>
        </w:rPr>
        <w:t>以</w:t>
      </w:r>
      <w:r>
        <w:rPr>
          <w:rFonts w:hint="eastAsia" w:ascii="仿宋_GB2312" w:hAnsi="仿宋_GB2312" w:eastAsia="仿宋_GB2312" w:cs="仿宋_GB2312"/>
          <w:szCs w:val="32"/>
          <w:lang w:val="en-US" w:eastAsia="zh-CN"/>
        </w:rPr>
        <w:t>下工作：</w:t>
      </w:r>
    </w:p>
    <w:p w14:paraId="6D29B5F4">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640" w:firstLineChars="200"/>
        <w:textAlignment w:val="auto"/>
        <w:rPr>
          <w:rFonts w:hint="default" w:ascii="仿宋_GB2312" w:hAnsi="仿宋_GB2312" w:cs="仿宋_GB2312"/>
          <w:szCs w:val="32"/>
          <w:lang w:val="en-US" w:eastAsia="zh-CN"/>
        </w:rPr>
      </w:pPr>
      <w:r>
        <w:rPr>
          <w:rFonts w:hint="eastAsia" w:ascii="仿宋_GB2312" w:hAnsi="仿宋_GB2312" w:eastAsia="仿宋_GB2312" w:cs="仿宋_GB2312"/>
          <w:szCs w:val="32"/>
          <w:lang w:val="en-US" w:eastAsia="zh-CN"/>
        </w:rPr>
        <w:t>（一）</w:t>
      </w:r>
      <w:r>
        <w:rPr>
          <w:rFonts w:hint="eastAsia" w:ascii="仿宋_GB2312" w:hAnsi="仿宋_GB2312" w:cs="仿宋_GB2312"/>
          <w:szCs w:val="32"/>
          <w:lang w:val="en-US" w:eastAsia="zh-CN"/>
        </w:rPr>
        <w:t>认真落实</w:t>
      </w:r>
      <w:r>
        <w:rPr>
          <w:rFonts w:hint="eastAsia" w:ascii="仿宋_GB2312" w:hAnsi="仿宋_GB2312" w:eastAsia="仿宋_GB2312" w:cs="仿宋_GB2312"/>
          <w:szCs w:val="32"/>
          <w:lang w:val="en-US" w:eastAsia="zh-CN"/>
        </w:rPr>
        <w:t>施工期</w:t>
      </w:r>
      <w:r>
        <w:rPr>
          <w:rFonts w:hint="eastAsia" w:ascii="仿宋_GB2312" w:hAnsi="仿宋_GB2312" w:cs="仿宋_GB2312"/>
          <w:szCs w:val="32"/>
          <w:lang w:val="en-US" w:eastAsia="zh-CN"/>
        </w:rPr>
        <w:t>大气污染防治措施。施工场地设置围挡，水泥、砂石等散装物料及其他建筑材料运输、储存时采用苫盖、密闭等措施，尽可能缩小施工活动范围，施工场地采取洒水降尘等措施，降低施工扬尘对周边环境影响。</w:t>
      </w:r>
      <w:r>
        <w:rPr>
          <w:rFonts w:hint="eastAsia" w:ascii="仿宋_GB2312" w:hAnsi="仿宋_GB2312" w:eastAsia="仿宋_GB2312" w:cs="仿宋_GB2312"/>
          <w:szCs w:val="32"/>
          <w:lang w:val="en-US" w:eastAsia="zh-CN"/>
        </w:rPr>
        <w:t>优先</w:t>
      </w:r>
      <w:r>
        <w:rPr>
          <w:rFonts w:hint="eastAsia" w:ascii="仿宋_GB2312" w:hAnsi="仿宋_GB2312" w:cs="仿宋_GB2312"/>
          <w:szCs w:val="32"/>
          <w:lang w:val="en-US" w:eastAsia="zh-CN"/>
        </w:rPr>
        <w:t>选</w:t>
      </w:r>
      <w:r>
        <w:rPr>
          <w:rFonts w:hint="eastAsia" w:ascii="仿宋_GB2312" w:hAnsi="仿宋_GB2312" w:eastAsia="仿宋_GB2312" w:cs="仿宋_GB2312"/>
          <w:szCs w:val="32"/>
          <w:lang w:val="en-US" w:eastAsia="zh-CN"/>
        </w:rPr>
        <w:t>用</w:t>
      </w:r>
      <w:r>
        <w:rPr>
          <w:rFonts w:hint="eastAsia" w:ascii="仿宋_GB2312" w:hAnsi="仿宋_GB2312" w:eastAsia="仿宋_GB2312" w:cs="仿宋_GB2312"/>
          <w:szCs w:val="32"/>
          <w:lang w:val="zh-CN" w:eastAsia="zh-CN"/>
        </w:rPr>
        <w:t>移动式焊接烟尘净化器</w:t>
      </w:r>
      <w:r>
        <w:rPr>
          <w:rFonts w:hint="eastAsia" w:ascii="仿宋_GB2312" w:hAnsi="仿宋_GB2312" w:eastAsia="仿宋_GB2312" w:cs="仿宋_GB2312"/>
          <w:szCs w:val="32"/>
          <w:lang w:val="en-US" w:eastAsia="zh-CN"/>
        </w:rPr>
        <w:t>等措施降低</w:t>
      </w:r>
      <w:r>
        <w:rPr>
          <w:rFonts w:hint="eastAsia" w:ascii="仿宋_GB2312" w:hAnsi="仿宋_GB2312" w:cs="仿宋_GB2312"/>
          <w:szCs w:val="32"/>
          <w:lang w:val="en-US" w:eastAsia="zh-CN"/>
        </w:rPr>
        <w:t>焊接烟尘对周边环境影响。</w:t>
      </w:r>
    </w:p>
    <w:p w14:paraId="5193281D">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640" w:firstLineChars="200"/>
        <w:textAlignment w:val="auto"/>
        <w:rPr>
          <w:rFonts w:hint="default"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（二）</w:t>
      </w:r>
      <w:r>
        <w:rPr>
          <w:rFonts w:hint="eastAsia" w:ascii="仿宋_GB2312" w:hAnsi="仿宋_GB2312" w:cs="仿宋_GB2312"/>
          <w:szCs w:val="32"/>
          <w:lang w:val="en-US" w:eastAsia="zh-CN"/>
        </w:rPr>
        <w:t>强化废水处理与回用。施工期清管、试压排水收集后拉运至准格尔旗准伊热电有限责任公司污水处理厂处理；施工期生活污水依托现有化粪池处理后拉运至准格尔旗准伊热电有限责任公司污水处理厂处理。所有污废水禁止直接排入外环境。</w:t>
      </w:r>
    </w:p>
    <w:p w14:paraId="43DEB13C">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640" w:firstLineChars="200"/>
        <w:textAlignment w:val="auto"/>
        <w:rPr>
          <w:rFonts w:hint="default"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（三）</w:t>
      </w:r>
      <w:r>
        <w:rPr>
          <w:rFonts w:hint="eastAsia" w:ascii="仿宋_GB2312" w:hAnsi="仿宋_GB2312" w:eastAsia="仿宋_GB2312" w:cs="仿宋_GB2312"/>
          <w:color w:val="000000"/>
          <w:kern w:val="2"/>
          <w:sz w:val="32"/>
          <w:szCs w:val="32"/>
          <w:lang w:val="en-US" w:eastAsia="zh-CN" w:bidi="ar-SA"/>
        </w:rPr>
        <w:t>根据国家和地方的有关规定，按照“减量化、资源化、无害化”原则，对固体废物进行分类收集、处理和处置，确保不造成二次污染。一般固体废物应立足于综合利用</w:t>
      </w:r>
      <w:r>
        <w:rPr>
          <w:rFonts w:hint="eastAsia" w:ascii="仿宋_GB2312" w:hAnsi="仿宋_GB2312" w:cs="仿宋_GB2312"/>
          <w:color w:val="000000"/>
          <w:kern w:val="2"/>
          <w:sz w:val="32"/>
          <w:szCs w:val="32"/>
          <w:lang w:val="en-US" w:eastAsia="zh-CN" w:bidi="ar-SA"/>
        </w:rPr>
        <w:t>，施工废料能回收的尽量回收外售，不能回收的与弃土石方拉运至政府部门指定的场所处置；生活垃圾依托现有生活垃圾收集箱，收集后由园区环卫部门集中处置。</w:t>
      </w:r>
    </w:p>
    <w:p w14:paraId="61D742DE">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640" w:firstLineChars="200"/>
        <w:textAlignment w:val="auto"/>
        <w:rPr>
          <w:rFonts w:hint="eastAsia" w:ascii="仿宋_GB2312" w:hAnsi="仿宋_GB2312" w:eastAsia="仿宋_GB2312" w:cs="仿宋_GB2312"/>
          <w:szCs w:val="32"/>
          <w:lang w:val="en-US" w:eastAsia="zh-CN"/>
        </w:rPr>
      </w:pPr>
      <w:r>
        <w:rPr>
          <w:rFonts w:hint="eastAsia" w:ascii="仿宋_GB2312" w:hAnsi="仿宋_GB2312" w:cs="仿宋_GB2312"/>
          <w:szCs w:val="32"/>
          <w:lang w:val="en-US" w:eastAsia="zh-CN"/>
        </w:rPr>
        <w:t>（四）强化声环境保护措施。合理安排施工作业时间，选用低噪声设备使施工期噪声符合《建筑施工噪声排放标准》（GB12523-2025）限值</w:t>
      </w:r>
      <w:r>
        <w:rPr>
          <w:rFonts w:hint="eastAsia" w:ascii="仿宋_GB2312" w:hAnsi="仿宋_GB2312" w:eastAsia="仿宋_GB2312" w:cs="仿宋_GB2312"/>
          <w:szCs w:val="32"/>
          <w:lang w:val="en-US" w:eastAsia="zh-CN"/>
        </w:rPr>
        <w:t>要求</w:t>
      </w:r>
      <w:r>
        <w:rPr>
          <w:rFonts w:hint="eastAsia" w:ascii="仿宋_GB2312" w:hAnsi="仿宋_GB2312" w:cs="仿宋_GB2312"/>
          <w:szCs w:val="32"/>
          <w:lang w:val="en-US" w:eastAsia="zh-CN"/>
        </w:rPr>
        <w:t>。优先选用低噪声设备，采取减振、隔声、消声等降噪措施</w:t>
      </w:r>
      <w:r>
        <w:rPr>
          <w:rFonts w:hint="eastAsia" w:ascii="仿宋_GB2312" w:hAnsi="仿宋_GB2312" w:eastAsia="仿宋_GB2312" w:cs="仿宋_GB2312"/>
          <w:szCs w:val="32"/>
          <w:lang w:val="en-US" w:eastAsia="zh-CN"/>
        </w:rPr>
        <w:t>，确保厂界噪声满足《工业企业厂界环境噪声排放标准》（GB12348-2008）3类标准要求。</w:t>
      </w:r>
    </w:p>
    <w:p w14:paraId="2BB356BF">
      <w:pPr>
        <w:keepNext w:val="0"/>
        <w:keepLines w:val="0"/>
        <w:widowControl/>
        <w:suppressLineNumbers w:val="0"/>
        <w:jc w:val="left"/>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w:t>
      </w:r>
      <w:r>
        <w:rPr>
          <w:rFonts w:hint="eastAsia" w:ascii="仿宋_GB2312" w:hAnsi="仿宋_GB2312" w:cs="仿宋_GB2312"/>
          <w:szCs w:val="32"/>
          <w:lang w:val="en-US" w:eastAsia="zh-CN"/>
        </w:rPr>
        <w:t>五</w:t>
      </w:r>
      <w:r>
        <w:rPr>
          <w:rFonts w:hint="eastAsia" w:ascii="仿宋_GB2312" w:hAnsi="仿宋_GB2312" w:eastAsia="仿宋_GB2312" w:cs="仿宋_GB2312"/>
          <w:szCs w:val="32"/>
          <w:lang w:val="en-US" w:eastAsia="zh-CN"/>
        </w:rPr>
        <w:t>）强化并严格落实各项环境风险防范措施和应急预案，有效防范环境风险</w:t>
      </w:r>
      <w:r>
        <w:rPr>
          <w:rFonts w:hint="eastAsia" w:ascii="仿宋_GB2312" w:hAnsi="仿宋_GB2312" w:cs="仿宋_GB2312"/>
          <w:szCs w:val="32"/>
          <w:lang w:val="en-US" w:eastAsia="zh-CN"/>
        </w:rPr>
        <w:t>。加强污染防治、环境风险防范设施的管理和维护，优化设置事故废水收集、输送系统，设置足够容积的废水事故应急池。定期开展突发环境事件应急演练，切实防范环境污染事故发生。</w:t>
      </w:r>
      <w:r>
        <w:rPr>
          <w:rFonts w:ascii="仿宋_GB2312" w:hAnsi="宋体" w:eastAsia="仿宋_GB2312" w:cs="仿宋_GB2312"/>
          <w:color w:val="000000"/>
          <w:kern w:val="0"/>
          <w:sz w:val="31"/>
          <w:szCs w:val="31"/>
          <w:lang w:val="en-US" w:eastAsia="zh-CN" w:bidi="ar"/>
        </w:rPr>
        <w:t>应采取有</w:t>
      </w:r>
      <w:r>
        <w:rPr>
          <w:rFonts w:hint="eastAsia" w:ascii="仿宋_GB2312" w:hAnsi="宋体" w:eastAsia="仿宋_GB2312" w:cs="仿宋_GB2312"/>
          <w:color w:val="000000"/>
          <w:kern w:val="0"/>
          <w:sz w:val="31"/>
          <w:szCs w:val="31"/>
          <w:lang w:val="en-US" w:eastAsia="zh-CN" w:bidi="ar"/>
        </w:rPr>
        <w:t>效措施确保事故废水不进入外环境</w:t>
      </w:r>
      <w:r>
        <w:rPr>
          <w:rFonts w:hint="eastAsia" w:ascii="仿宋_GB2312" w:hAnsi="宋体" w:cs="仿宋_GB2312"/>
          <w:color w:val="000000"/>
          <w:kern w:val="0"/>
          <w:sz w:val="31"/>
          <w:szCs w:val="31"/>
          <w:lang w:val="en-US" w:eastAsia="zh-CN" w:bidi="ar"/>
        </w:rPr>
        <w:t>。</w:t>
      </w:r>
    </w:p>
    <w:p w14:paraId="6D7AB9DA">
      <w:pPr>
        <w:keepNext w:val="0"/>
        <w:keepLines w:val="0"/>
        <w:pageBreakBefore w:val="0"/>
        <w:widowControl w:val="0"/>
        <w:kinsoku/>
        <w:wordWrap/>
        <w:overflowPunct/>
        <w:topLinePunct w:val="0"/>
        <w:autoSpaceDE/>
        <w:autoSpaceDN/>
        <w:bidi w:val="0"/>
        <w:adjustRightInd/>
        <w:snapToGrid/>
        <w:spacing w:line="240" w:lineRule="atLeast"/>
        <w:ind w:firstLine="640" w:firstLineChars="20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三、项目建设必须严格执行环境保护“三同时”制度。项目竣工后，须按照规定程序实施竣工环境保护验收。</w:t>
      </w:r>
    </w:p>
    <w:p w14:paraId="2044FA27">
      <w:pPr>
        <w:keepNext w:val="0"/>
        <w:keepLines w:val="0"/>
        <w:pageBreakBefore w:val="0"/>
        <w:widowControl w:val="0"/>
        <w:kinsoku/>
        <w:wordWrap/>
        <w:overflowPunct/>
        <w:topLinePunct w:val="0"/>
        <w:autoSpaceDE/>
        <w:autoSpaceDN/>
        <w:bidi w:val="0"/>
        <w:adjustRightInd/>
        <w:snapToGrid/>
        <w:spacing w:line="240" w:lineRule="atLeast"/>
        <w:ind w:firstLine="640" w:firstLineChars="20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四、该项目从批准之日起超过五年方决定开工建设，其环评文件应重新审核。如果建设地点、规模、生产工艺、防治污染和防止生态破坏措施等发生重大变化时，需重新报批环评文件。</w:t>
      </w:r>
    </w:p>
    <w:p w14:paraId="7D3D10CD">
      <w:pPr>
        <w:keepNext w:val="0"/>
        <w:keepLines w:val="0"/>
        <w:pageBreakBefore w:val="0"/>
        <w:widowControl w:val="0"/>
        <w:kinsoku/>
        <w:wordWrap/>
        <w:overflowPunct/>
        <w:topLinePunct w:val="0"/>
        <w:autoSpaceDE/>
        <w:autoSpaceDN/>
        <w:bidi w:val="0"/>
        <w:adjustRightInd/>
        <w:snapToGrid/>
        <w:spacing w:line="240" w:lineRule="atLeast"/>
        <w:ind w:firstLine="640" w:firstLineChars="20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五、项目开工时，应立即通知我局，以便日常监督检查。</w:t>
      </w:r>
    </w:p>
    <w:p w14:paraId="5E08A652">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78" w:lineRule="exact"/>
        <w:ind w:left="0" w:leftChars="0" w:right="0" w:rightChars="0" w:firstLine="640" w:firstLineChars="200"/>
        <w:jc w:val="left"/>
        <w:textAlignment w:val="auto"/>
        <w:outlineLvl w:val="9"/>
        <w:rPr>
          <w:rFonts w:hint="eastAsia" w:ascii="仿宋_GB2312" w:hAnsi="仿宋_GB2312" w:eastAsia="仿宋_GB2312" w:cs="仿宋_GB2312"/>
          <w:color w:val="auto"/>
          <w:kern w:val="2"/>
          <w:sz w:val="32"/>
          <w:szCs w:val="32"/>
          <w:lang w:val="en-US" w:eastAsia="zh-CN" w:bidi="ar-SA"/>
        </w:rPr>
      </w:pPr>
    </w:p>
    <w:tbl>
      <w:tblPr>
        <w:tblStyle w:val="19"/>
        <w:tblpPr w:leftFromText="180" w:rightFromText="180" w:vertAnchor="text" w:horzAnchor="page" w:tblpX="1677" w:tblpY="810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1"/>
      </w:tblGrid>
      <w:tr w14:paraId="394B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861" w:type="dxa"/>
            <w:tcBorders>
              <w:top w:val="single" w:color="auto" w:sz="4" w:space="0"/>
              <w:left w:val="nil"/>
              <w:bottom w:val="single" w:color="auto" w:sz="4" w:space="0"/>
              <w:right w:val="nil"/>
            </w:tcBorders>
            <w:noWrap w:val="0"/>
            <w:vAlign w:val="top"/>
          </w:tcPr>
          <w:p w14:paraId="2890F03C">
            <w:pPr>
              <w:keepNext w:val="0"/>
              <w:keepLines w:val="0"/>
              <w:pageBreakBefore w:val="0"/>
              <w:widowControl w:val="0"/>
              <w:tabs>
                <w:tab w:val="left" w:pos="8295"/>
              </w:tabs>
              <w:kinsoku/>
              <w:wordWrap/>
              <w:overflowPunct/>
              <w:topLinePunct w:val="0"/>
              <w:autoSpaceDE/>
              <w:autoSpaceDN/>
              <w:bidi w:val="0"/>
              <w:spacing w:line="600" w:lineRule="exact"/>
              <w:ind w:left="0" w:leftChars="0" w:firstLine="0" w:firstLineChars="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28"/>
                <w:szCs w:val="28"/>
                <w:lang w:eastAsia="zh-CN"/>
              </w:rPr>
              <w:t>抄送：</w:t>
            </w:r>
            <w:r>
              <w:rPr>
                <w:rFonts w:hint="eastAsia" w:ascii="仿宋_GB2312" w:hAnsi="仿宋_GB2312" w:eastAsia="仿宋_GB2312" w:cs="仿宋_GB2312"/>
                <w:color w:val="auto"/>
                <w:sz w:val="28"/>
                <w:szCs w:val="28"/>
                <w:lang w:val="en-US" w:eastAsia="zh-CN"/>
              </w:rPr>
              <w:t>准格尔旗生态环境综合行政执法大队</w:t>
            </w:r>
            <w:r>
              <w:rPr>
                <w:rFonts w:hint="eastAsia" w:ascii="仿宋_GB2312" w:hAnsi="仿宋_GB2312" w:cs="仿宋_GB2312"/>
                <w:color w:val="auto"/>
                <w:sz w:val="28"/>
                <w:szCs w:val="28"/>
                <w:lang w:val="en-US" w:eastAsia="zh-CN"/>
              </w:rPr>
              <w:t>，</w:t>
            </w:r>
            <w:r>
              <w:rPr>
                <w:rFonts w:hint="eastAsia" w:ascii="仿宋_GB2312" w:hAnsi="宋体" w:eastAsia="仿宋_GB2312" w:cs="仿宋_GB2312"/>
                <w:color w:val="000000"/>
                <w:kern w:val="2"/>
                <w:sz w:val="28"/>
                <w:szCs w:val="28"/>
              </w:rPr>
              <w:t>鄂尔多斯准格尔经济开发区建设管理局（生态环境管理办公室）</w:t>
            </w:r>
            <w:r>
              <w:rPr>
                <w:rFonts w:hint="eastAsia" w:ascii="仿宋_GB2312" w:hAnsi="宋体" w:cs="仿宋_GB2312"/>
                <w:color w:val="000000"/>
                <w:kern w:val="2"/>
                <w:sz w:val="28"/>
                <w:szCs w:val="28"/>
                <w:lang w:eastAsia="zh-CN"/>
              </w:rPr>
              <w:t>，</w:t>
            </w:r>
            <w:r>
              <w:rPr>
                <w:rFonts w:hint="eastAsia" w:ascii="仿宋_GB2312" w:hAnsi="宋体" w:cs="仿宋_GB2312"/>
                <w:color w:val="000000"/>
                <w:kern w:val="2"/>
                <w:sz w:val="28"/>
                <w:szCs w:val="28"/>
                <w:lang w:val="en-US" w:eastAsia="zh-CN"/>
              </w:rPr>
              <w:t>内蒙古自治区机械设备成套有限责任公司</w:t>
            </w:r>
            <w:r>
              <w:rPr>
                <w:rFonts w:hint="eastAsia" w:ascii="仿宋_GB2312" w:hAnsi="仿宋_GB2312" w:eastAsia="仿宋_GB2312" w:cs="仿宋_GB2312"/>
                <w:color w:val="auto"/>
                <w:sz w:val="28"/>
                <w:szCs w:val="28"/>
                <w:lang w:val="en-US" w:eastAsia="zh-CN"/>
              </w:rPr>
              <w:t>。</w:t>
            </w:r>
          </w:p>
        </w:tc>
      </w:tr>
      <w:tr w14:paraId="25D1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8861" w:type="dxa"/>
            <w:tcBorders>
              <w:top w:val="single" w:color="auto" w:sz="4" w:space="0"/>
              <w:left w:val="nil"/>
              <w:bottom w:val="single" w:color="auto" w:sz="4" w:space="0"/>
              <w:right w:val="nil"/>
            </w:tcBorders>
            <w:noWrap w:val="0"/>
            <w:vAlign w:val="top"/>
          </w:tcPr>
          <w:p w14:paraId="69386980">
            <w:pPr>
              <w:keepNext w:val="0"/>
              <w:keepLines w:val="0"/>
              <w:pageBreakBefore w:val="0"/>
              <w:widowControl w:val="0"/>
              <w:tabs>
                <w:tab w:val="left" w:pos="8295"/>
              </w:tabs>
              <w:kinsoku/>
              <w:wordWrap/>
              <w:overflowPunct/>
              <w:topLinePunct w:val="0"/>
              <w:autoSpaceDE/>
              <w:autoSpaceDN/>
              <w:bidi w:val="0"/>
              <w:spacing w:line="600" w:lineRule="exact"/>
              <w:ind w:left="0" w:leftChars="0" w:firstLine="0" w:firstLineChars="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 xml:space="preserve">鄂尔多斯市生态环境局准格尔旗分局 </w:t>
            </w: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lang w:eastAsia="zh-CN"/>
              </w:rPr>
              <w:t>20</w:t>
            </w:r>
            <w:r>
              <w:rPr>
                <w:rFonts w:hint="eastAsia" w:ascii="仿宋_GB2312" w:hAnsi="仿宋_GB2312" w:eastAsia="仿宋_GB2312" w:cs="仿宋_GB2312"/>
                <w:color w:val="auto"/>
                <w:sz w:val="28"/>
                <w:szCs w:val="28"/>
                <w:lang w:val="en-US" w:eastAsia="zh-CN"/>
              </w:rPr>
              <w:t>26</w:t>
            </w:r>
            <w:r>
              <w:rPr>
                <w:rFonts w:hint="eastAsia" w:ascii="仿宋_GB2312" w:hAnsi="仿宋_GB2312" w:eastAsia="仿宋_GB2312" w:cs="仿宋_GB2312"/>
                <w:color w:val="auto"/>
                <w:sz w:val="28"/>
                <w:szCs w:val="28"/>
                <w:lang w:eastAsia="zh-CN"/>
              </w:rPr>
              <w:t>年</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lang w:eastAsia="zh-CN"/>
              </w:rPr>
              <w:t>月</w:t>
            </w:r>
            <w:r>
              <w:rPr>
                <w:rFonts w:hint="eastAsia" w:ascii="仿宋_GB2312" w:hAnsi="仿宋_GB2312" w:eastAsia="仿宋_GB2312" w:cs="仿宋_GB2312"/>
                <w:color w:val="auto"/>
                <w:sz w:val="28"/>
                <w:szCs w:val="28"/>
                <w:lang w:val="en-US" w:eastAsia="zh-CN"/>
              </w:rPr>
              <w:t xml:space="preserve">23日 </w:t>
            </w:r>
            <w:r>
              <w:rPr>
                <w:rFonts w:hint="eastAsia" w:ascii="仿宋_GB2312" w:hAnsi="仿宋_GB2312" w:eastAsia="仿宋_GB2312" w:cs="仿宋_GB2312"/>
                <w:color w:val="auto"/>
                <w:sz w:val="28"/>
                <w:szCs w:val="28"/>
                <w:lang w:eastAsia="zh-CN"/>
              </w:rPr>
              <w:t>印发</w:t>
            </w:r>
          </w:p>
        </w:tc>
      </w:tr>
    </w:tbl>
    <w:p w14:paraId="0BBA9E34">
      <w:pPr>
        <w:ind w:left="0" w:leftChars="0" w:firstLine="0" w:firstLineChars="0"/>
        <w:rPr>
          <w:rFonts w:hint="eastAsia"/>
          <w:lang w:eastAsia="zh-CN"/>
        </w:rPr>
      </w:pPr>
    </w:p>
    <w:p w14:paraId="77F543AC">
      <w:pPr>
        <w:keepNext w:val="0"/>
        <w:keepLines w:val="0"/>
        <w:pageBreakBefore w:val="0"/>
        <w:widowControl w:val="0"/>
        <w:kinsoku/>
        <w:wordWrap w:val="0"/>
        <w:overflowPunct/>
        <w:topLinePunct w:val="0"/>
        <w:autoSpaceDE/>
        <w:autoSpaceDN/>
        <w:bidi w:val="0"/>
        <w:adjustRightInd w:val="0"/>
        <w:snapToGrid w:val="0"/>
        <w:spacing w:before="0" w:beforeLines="0" w:after="0" w:afterLines="0" w:line="578" w:lineRule="exact"/>
        <w:ind w:left="0" w:leftChars="0" w:right="0" w:rightChars="0" w:firstLine="0" w:firstLineChars="0"/>
        <w:jc w:val="right"/>
        <w:textAlignment w:val="auto"/>
        <w:outlineLvl w:val="9"/>
        <w:rPr>
          <w:rFonts w:hint="eastAsia" w:ascii="仿宋_GB2312" w:hAnsi="仿宋_GB2312" w:eastAsia="仿宋_GB2312" w:cs="仿宋_GB2312"/>
          <w:color w:val="auto"/>
          <w:spacing w:val="0"/>
          <w:kern w:val="0"/>
          <w:sz w:val="32"/>
          <w:szCs w:val="32"/>
          <w:lang w:val="en-US" w:eastAsia="zh-CN"/>
        </w:rPr>
      </w:pPr>
      <w:r>
        <w:rPr>
          <w:rFonts w:hint="eastAsia" w:ascii="仿宋_GB2312" w:hAnsi="仿宋_GB2312" w:cs="仿宋_GB2312"/>
          <w:color w:val="auto"/>
          <w:spacing w:val="0"/>
          <w:kern w:val="0"/>
          <w:sz w:val="32"/>
          <w:szCs w:val="32"/>
          <w:lang w:val="en-US" w:eastAsia="zh-CN"/>
        </w:rPr>
        <w:t xml:space="preserve">    </w:t>
      </w:r>
      <w:r>
        <w:rPr>
          <w:rFonts w:hint="eastAsia" w:ascii="仿宋_GB2312" w:hAnsi="仿宋_GB2312" w:eastAsia="仿宋_GB2312" w:cs="仿宋_GB2312"/>
          <w:color w:val="auto"/>
          <w:spacing w:val="0"/>
          <w:kern w:val="0"/>
          <w:sz w:val="32"/>
          <w:szCs w:val="32"/>
          <w:lang w:eastAsia="zh-CN"/>
        </w:rPr>
        <w:t>鄂尔多斯市生态环境局准格尔旗分局</w:t>
      </w:r>
      <w:r>
        <w:rPr>
          <w:rFonts w:hint="eastAsia" w:ascii="仿宋_GB2312" w:hAnsi="仿宋_GB2312" w:eastAsia="仿宋_GB2312" w:cs="仿宋_GB2312"/>
          <w:color w:val="auto"/>
          <w:spacing w:val="0"/>
          <w:kern w:val="0"/>
          <w:sz w:val="32"/>
          <w:szCs w:val="32"/>
          <w:lang w:val="en-US" w:eastAsia="zh-CN"/>
        </w:rPr>
        <w:t xml:space="preserve">   </w:t>
      </w:r>
    </w:p>
    <w:p w14:paraId="0FCE7A0C">
      <w:pPr>
        <w:keepNext w:val="0"/>
        <w:keepLines w:val="0"/>
        <w:pageBreakBefore w:val="0"/>
        <w:widowControl w:val="0"/>
        <w:kinsoku/>
        <w:wordWrap w:val="0"/>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仿宋_GB2312" w:eastAsia="仿宋_GB2312" w:cs="仿宋_GB2312"/>
          <w:color w:val="auto"/>
          <w:spacing w:val="0"/>
          <w:kern w:val="0"/>
          <w:sz w:val="32"/>
          <w:szCs w:val="32"/>
          <w:lang w:val="en-US" w:eastAsia="zh-CN"/>
        </w:rPr>
      </w:pPr>
      <w:r>
        <w:rPr>
          <w:rFonts w:hint="eastAsia" w:ascii="仿宋_GB2312" w:hAnsi="仿宋_GB2312" w:cs="仿宋_GB2312"/>
          <w:color w:val="auto"/>
          <w:spacing w:val="0"/>
          <w:kern w:val="0"/>
          <w:sz w:val="32"/>
          <w:szCs w:val="32"/>
          <w:highlight w:val="none"/>
          <w:lang w:val="en-US" w:eastAsia="zh-CN"/>
        </w:rPr>
        <w:t xml:space="preserve">                            </w:t>
      </w:r>
      <w:r>
        <w:rPr>
          <w:rFonts w:hint="eastAsia" w:ascii="仿宋_GB2312" w:hAnsi="仿宋_GB2312" w:eastAsia="仿宋_GB2312" w:cs="仿宋_GB2312"/>
          <w:color w:val="auto"/>
          <w:spacing w:val="0"/>
          <w:kern w:val="0"/>
          <w:sz w:val="32"/>
          <w:szCs w:val="32"/>
          <w:highlight w:val="none"/>
        </w:rPr>
        <w:t>20</w:t>
      </w:r>
      <w:r>
        <w:rPr>
          <w:rFonts w:hint="eastAsia" w:ascii="仿宋_GB2312" w:hAnsi="仿宋_GB2312" w:eastAsia="仿宋_GB2312" w:cs="仿宋_GB2312"/>
          <w:color w:val="auto"/>
          <w:spacing w:val="0"/>
          <w:kern w:val="0"/>
          <w:sz w:val="32"/>
          <w:szCs w:val="32"/>
          <w:highlight w:val="none"/>
          <w:lang w:val="en-US" w:eastAsia="zh-CN"/>
        </w:rPr>
        <w:t>2</w:t>
      </w:r>
      <w:r>
        <w:rPr>
          <w:rFonts w:hint="eastAsia" w:ascii="仿宋_GB2312" w:hAnsi="仿宋_GB2312" w:cs="仿宋_GB2312"/>
          <w:color w:val="auto"/>
          <w:spacing w:val="0"/>
          <w:kern w:val="0"/>
          <w:sz w:val="32"/>
          <w:szCs w:val="32"/>
          <w:highlight w:val="none"/>
          <w:lang w:val="en-US" w:eastAsia="zh-CN"/>
        </w:rPr>
        <w:t>6</w:t>
      </w:r>
      <w:r>
        <w:rPr>
          <w:rFonts w:hint="eastAsia" w:ascii="仿宋_GB2312" w:hAnsi="仿宋_GB2312" w:eastAsia="仿宋_GB2312" w:cs="仿宋_GB2312"/>
          <w:color w:val="auto"/>
          <w:spacing w:val="0"/>
          <w:kern w:val="0"/>
          <w:sz w:val="32"/>
          <w:szCs w:val="32"/>
          <w:highlight w:val="none"/>
        </w:rPr>
        <w:t>年</w:t>
      </w:r>
      <w:r>
        <w:rPr>
          <w:rFonts w:hint="eastAsia" w:ascii="仿宋_GB2312" w:hAnsi="仿宋_GB2312" w:cs="仿宋_GB2312"/>
          <w:color w:val="auto"/>
          <w:spacing w:val="0"/>
          <w:kern w:val="0"/>
          <w:sz w:val="32"/>
          <w:szCs w:val="32"/>
          <w:highlight w:val="none"/>
          <w:lang w:val="en-US" w:eastAsia="zh-CN"/>
        </w:rPr>
        <w:t xml:space="preserve"> </w:t>
      </w:r>
      <w:r>
        <w:rPr>
          <w:rFonts w:hint="eastAsia" w:ascii="仿宋_GB2312" w:hAnsi="仿宋_GB2312" w:cs="仿宋_GB2312"/>
          <w:color w:val="auto"/>
          <w:sz w:val="32"/>
          <w:szCs w:val="32"/>
          <w:lang w:val="en-US" w:eastAsia="zh-CN"/>
        </w:rPr>
        <w:t>7</w:t>
      </w:r>
      <w:r>
        <w:rPr>
          <w:rFonts w:hint="eastAsia" w:ascii="仿宋_GB2312" w:hAnsi="仿宋_GB2312" w:eastAsia="仿宋_GB2312" w:cs="仿宋_GB2312"/>
          <w:color w:val="auto"/>
          <w:spacing w:val="0"/>
          <w:kern w:val="0"/>
          <w:sz w:val="32"/>
          <w:szCs w:val="32"/>
          <w:highlight w:val="none"/>
        </w:rPr>
        <w:t>月</w:t>
      </w:r>
      <w:r>
        <w:rPr>
          <w:rFonts w:hint="eastAsia" w:ascii="仿宋_GB2312" w:hAnsi="仿宋_GB2312" w:cs="仿宋_GB2312"/>
          <w:color w:val="auto"/>
          <w:sz w:val="32"/>
          <w:szCs w:val="32"/>
          <w:lang w:val="en-US" w:eastAsia="zh-CN"/>
        </w:rPr>
        <w:t>23</w:t>
      </w:r>
      <w:r>
        <w:rPr>
          <w:rFonts w:hint="eastAsia" w:ascii="仿宋_GB2312" w:hAnsi="仿宋_GB2312" w:eastAsia="仿宋_GB2312" w:cs="仿宋_GB2312"/>
          <w:color w:val="auto"/>
          <w:spacing w:val="0"/>
          <w:kern w:val="0"/>
          <w:sz w:val="32"/>
          <w:szCs w:val="32"/>
          <w:highlight w:val="none"/>
        </w:rPr>
        <w:t>日</w:t>
      </w:r>
      <w:r>
        <w:rPr>
          <w:rFonts w:hint="eastAsia" w:ascii="仿宋_GB2312" w:hAnsi="仿宋_GB2312" w:eastAsia="仿宋_GB2312" w:cs="仿宋_GB2312"/>
          <w:color w:val="auto"/>
          <w:spacing w:val="0"/>
          <w:kern w:val="0"/>
          <w:sz w:val="32"/>
          <w:szCs w:val="32"/>
          <w:highlight w:val="none"/>
          <w:lang w:val="en-US" w:eastAsia="zh-CN"/>
        </w:rPr>
        <w:t xml:space="preserve"> </w:t>
      </w:r>
      <w:bookmarkStart w:id="0" w:name="_GoBack"/>
      <w:bookmarkEnd w:id="0"/>
      <w:r>
        <w:rPr>
          <w:rFonts w:hint="eastAsia" w:ascii="仿宋_GB2312" w:hAnsi="仿宋_GB2312" w:eastAsia="仿宋_GB2312" w:cs="仿宋_GB2312"/>
          <w:color w:val="auto"/>
          <w:spacing w:val="0"/>
          <w:kern w:val="0"/>
          <w:sz w:val="32"/>
          <w:szCs w:val="32"/>
          <w:highlight w:val="none"/>
          <w:lang w:val="en-US" w:eastAsia="zh-CN"/>
        </w:rPr>
        <w:t xml:space="preserve">  </w:t>
      </w:r>
      <w:r>
        <w:rPr>
          <w:rFonts w:hint="eastAsia" w:ascii="仿宋_GB2312" w:hAnsi="仿宋_GB2312" w:eastAsia="仿宋_GB2312" w:cs="仿宋_GB2312"/>
          <w:color w:val="auto"/>
          <w:spacing w:val="0"/>
          <w:kern w:val="0"/>
          <w:sz w:val="32"/>
          <w:szCs w:val="32"/>
          <w:lang w:val="en-US" w:eastAsia="zh-CN"/>
        </w:rPr>
        <w:t xml:space="preserve">      </w:t>
      </w:r>
    </w:p>
    <w:p w14:paraId="0E6E65FC">
      <w:pPr>
        <w:keepNext w:val="0"/>
        <w:keepLines w:val="0"/>
        <w:pageBreakBefore w:val="0"/>
        <w:widowControl w:val="0"/>
        <w:kinsoku/>
        <w:wordWrap w:val="0"/>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仿宋_GB2312" w:eastAsia="仿宋_GB2312" w:cs="仿宋_GB2312"/>
          <w:color w:val="auto"/>
          <w:spacing w:val="0"/>
          <w:kern w:val="0"/>
          <w:sz w:val="32"/>
          <w:szCs w:val="32"/>
          <w:lang w:val="en-US" w:eastAsia="zh-CN"/>
        </w:rPr>
      </w:pPr>
    </w:p>
    <w:p w14:paraId="63D0D14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仿宋_GB2312" w:eastAsia="仿宋_GB2312" w:cs="仿宋_GB2312"/>
          <w:color w:val="auto"/>
          <w:spacing w:val="0"/>
          <w:kern w:val="0"/>
          <w:sz w:val="32"/>
          <w:szCs w:val="32"/>
          <w:lang w:val="en-US" w:eastAsia="zh-CN"/>
        </w:rPr>
      </w:pPr>
    </w:p>
    <w:p w14:paraId="229F86FF">
      <w:pPr>
        <w:keepNext w:val="0"/>
        <w:keepLines w:val="0"/>
        <w:pageBreakBefore w:val="0"/>
        <w:widowControl w:val="0"/>
        <w:kinsoku/>
        <w:wordWrap w:val="0"/>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pPr>
      <w:r>
        <w:rPr>
          <w:rFonts w:hint="eastAsia" w:ascii="仿宋_GB2312" w:hAnsi="仿宋_GB2312" w:eastAsia="仿宋_GB2312" w:cs="仿宋_GB2312"/>
          <w:color w:val="auto"/>
          <w:spacing w:val="0"/>
          <w:kern w:val="0"/>
          <w:sz w:val="32"/>
          <w:szCs w:val="32"/>
          <w:lang w:val="en-US" w:eastAsia="zh-CN"/>
        </w:rPr>
        <w:t xml:space="preserve"> </w:t>
      </w:r>
    </w:p>
    <w:sectPr>
      <w:headerReference r:id="rId7" w:type="first"/>
      <w:footerReference r:id="rId10" w:type="first"/>
      <w:headerReference r:id="rId5" w:type="default"/>
      <w:footerReference r:id="rId8" w:type="default"/>
      <w:headerReference r:id="rId6" w:type="even"/>
      <w:footerReference r:id="rId9" w:type="even"/>
      <w:pgSz w:w="11906" w:h="16838"/>
      <w:pgMar w:top="2154" w:right="1474" w:bottom="1984" w:left="1588" w:header="851" w:footer="992" w:gutter="0"/>
      <w:pgNumType w:fmt="decimal"/>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Lucida Console">
    <w:panose1 w:val="020B0609040504020204"/>
    <w:charset w:val="00"/>
    <w:family w:val="modern"/>
    <w:pitch w:val="default"/>
    <w:sig w:usb0="8000028F" w:usb1="00001800" w:usb2="00000000" w:usb3="00000000" w:csb0="0000001F" w:csb1="D7D7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7A9A5">
    <w:pPr>
      <w:pStyle w:val="14"/>
      <w:tabs>
        <w:tab w:val="clear" w:pos="4153"/>
        <w:tab w:val="clear" w:pos="8306"/>
      </w:tabs>
      <w:ind w:firstLine="560"/>
      <w:jc w:val="right"/>
      <w:rPr>
        <w:rFonts w:hint="eastAsia" w:asci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posOffset>-317500</wp:posOffset>
              </wp:positionH>
              <wp:positionV relativeFrom="paragraph">
                <wp:posOffset>41910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598DB2">
                          <w:pPr>
                            <w:pStyle w:val="1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5pt;margin-top:3.3pt;height:144pt;width:144pt;mso-position-horizontal-relative:margin;mso-wrap-style:none;z-index:251659264;mso-width-relative:page;mso-height-relative:page;" filled="f" stroked="f" coordsize="21600,21600" o:gfxdata="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rtgpfWAAAACQ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p w14:paraId="5C598DB2">
                    <w:pPr>
                      <w:pStyle w:val="1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B48F0">
    <w:pPr>
      <w:pStyle w:val="14"/>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6F09E">
    <w:pPr>
      <w:pStyle w:val="14"/>
      <w:tabs>
        <w:tab w:val="clear" w:pos="4153"/>
        <w:tab w:val="clear" w:pos="8306"/>
      </w:tabs>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BCE54">
                          <w:pPr>
                            <w:pStyle w:val="1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8EBCE54">
                    <w:pPr>
                      <w:pStyle w:val="1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1C03E">
    <w:pPr>
      <w:pStyle w:val="15"/>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AA866">
    <w:pPr>
      <w:pStyle w:val="15"/>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E18EF">
    <w:pPr>
      <w:pStyle w:val="15"/>
      <w:pBdr>
        <w:bottom w:val="none" w:color="auto" w:sz="0" w:space="0"/>
      </w:pBdr>
      <w:tabs>
        <w:tab w:val="clear" w:pos="4153"/>
        <w:tab w:val="clear" w:pos="8306"/>
      </w:tabs>
      <w:ind w:firstLine="360"/>
    </w:pPr>
  </w:p>
  <w:p w14:paraId="36A7F694">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206156"/>
    <w:multiLevelType w:val="singleLevel"/>
    <w:tmpl w:val="7A20615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2MjY4ZDEwNjFmNzJjMTk1OTkyMjNiOTViMzRhMjEifQ=="/>
  </w:docVars>
  <w:rsids>
    <w:rsidRoot w:val="00000000"/>
    <w:rsid w:val="010259CD"/>
    <w:rsid w:val="02347C51"/>
    <w:rsid w:val="031449B5"/>
    <w:rsid w:val="0F093581"/>
    <w:rsid w:val="12744071"/>
    <w:rsid w:val="149B43C1"/>
    <w:rsid w:val="15815C2E"/>
    <w:rsid w:val="15A17D18"/>
    <w:rsid w:val="16873C92"/>
    <w:rsid w:val="1B8F3477"/>
    <w:rsid w:val="23C856D5"/>
    <w:rsid w:val="25444A42"/>
    <w:rsid w:val="2553396A"/>
    <w:rsid w:val="25C610B6"/>
    <w:rsid w:val="25D76C4F"/>
    <w:rsid w:val="25FF5582"/>
    <w:rsid w:val="29317898"/>
    <w:rsid w:val="2AC84BEB"/>
    <w:rsid w:val="2AE35581"/>
    <w:rsid w:val="2D572253"/>
    <w:rsid w:val="2E9B6C16"/>
    <w:rsid w:val="2F6321CD"/>
    <w:rsid w:val="2FFE034A"/>
    <w:rsid w:val="31A068BA"/>
    <w:rsid w:val="35617B4F"/>
    <w:rsid w:val="35CF73B2"/>
    <w:rsid w:val="37987086"/>
    <w:rsid w:val="39952551"/>
    <w:rsid w:val="3B491927"/>
    <w:rsid w:val="3C7F1298"/>
    <w:rsid w:val="3DEF7423"/>
    <w:rsid w:val="3ED95802"/>
    <w:rsid w:val="3EDB6577"/>
    <w:rsid w:val="406E4BD8"/>
    <w:rsid w:val="40C15F0C"/>
    <w:rsid w:val="47156397"/>
    <w:rsid w:val="47A243B1"/>
    <w:rsid w:val="486C1637"/>
    <w:rsid w:val="48A842A9"/>
    <w:rsid w:val="4ACE3700"/>
    <w:rsid w:val="4ED212E5"/>
    <w:rsid w:val="4F396E7E"/>
    <w:rsid w:val="4F744245"/>
    <w:rsid w:val="53AB03EA"/>
    <w:rsid w:val="575C69E3"/>
    <w:rsid w:val="584541E2"/>
    <w:rsid w:val="58983E80"/>
    <w:rsid w:val="58C90E1B"/>
    <w:rsid w:val="5B5511B7"/>
    <w:rsid w:val="5BCE7502"/>
    <w:rsid w:val="5F57494F"/>
    <w:rsid w:val="5FBE1E93"/>
    <w:rsid w:val="608D2F12"/>
    <w:rsid w:val="67612EF6"/>
    <w:rsid w:val="6967749A"/>
    <w:rsid w:val="6A362676"/>
    <w:rsid w:val="6AB73717"/>
    <w:rsid w:val="6BF66135"/>
    <w:rsid w:val="6C1769B8"/>
    <w:rsid w:val="6C397254"/>
    <w:rsid w:val="7016507D"/>
    <w:rsid w:val="701875CA"/>
    <w:rsid w:val="706B383A"/>
    <w:rsid w:val="74E474F8"/>
    <w:rsid w:val="780A35CB"/>
    <w:rsid w:val="790D425A"/>
    <w:rsid w:val="79155BE7"/>
    <w:rsid w:val="7A1D0DF3"/>
    <w:rsid w:val="7C2F2634"/>
    <w:rsid w:val="7E474C63"/>
    <w:rsid w:val="95DF912C"/>
    <w:rsid w:val="D6BF4E86"/>
    <w:rsid w:val="FFB75F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8">
    <w:name w:val="heading 2"/>
    <w:basedOn w:val="1"/>
    <w:next w:val="1"/>
    <w:qFormat/>
    <w:uiPriority w:val="0"/>
    <w:pPr>
      <w:keepNext w:val="0"/>
      <w:keepLines w:val="0"/>
      <w:widowControl w:val="0"/>
      <w:spacing w:before="50" w:beforeLines="50" w:beforeAutospacing="0" w:afterLines="0" w:afterAutospacing="0" w:line="360" w:lineRule="auto"/>
      <w:ind w:firstLine="0" w:firstLineChars="0"/>
      <w:outlineLvl w:val="1"/>
    </w:pPr>
    <w:rPr>
      <w:rFonts w:eastAsia="黑体"/>
      <w:sz w:val="24"/>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3">
    <w:name w:val="文本"/>
    <w:basedOn w:val="1"/>
    <w:next w:val="1"/>
    <w:qFormat/>
    <w:uiPriority w:val="0"/>
    <w:pPr>
      <w:autoSpaceDE w:val="0"/>
      <w:autoSpaceDN w:val="0"/>
      <w:ind w:firstLine="480"/>
    </w:pPr>
    <w:rPr>
      <w:lang w:val="zh-CN"/>
    </w:rPr>
  </w:style>
  <w:style w:type="paragraph" w:customStyle="1" w:styleId="4">
    <w:name w:val="表格文字"/>
    <w:basedOn w:val="5"/>
    <w:next w:val="1"/>
    <w:qFormat/>
    <w:uiPriority w:val="0"/>
    <w:pPr>
      <w:snapToGrid w:val="0"/>
      <w:contextualSpacing/>
      <w:jc w:val="center"/>
    </w:pPr>
    <w:rPr>
      <w:szCs w:val="21"/>
    </w:rPr>
  </w:style>
  <w:style w:type="paragraph" w:styleId="5">
    <w:name w:val="Body Text"/>
    <w:basedOn w:val="1"/>
    <w:next w:val="6"/>
    <w:qFormat/>
    <w:uiPriority w:val="0"/>
    <w:pPr>
      <w:spacing w:after="120" w:afterLines="0" w:afterAutospacing="0"/>
    </w:pPr>
  </w:style>
  <w:style w:type="paragraph" w:customStyle="1" w:styleId="6">
    <w:name w:val="xl27"/>
    <w:basedOn w:val="1"/>
    <w:next w:val="7"/>
    <w:qFormat/>
    <w:uiPriority w:val="0"/>
    <w:pPr>
      <w:pBdr>
        <w:bottom w:val="single" w:color="auto" w:sz="12" w:space="0"/>
      </w:pBdr>
      <w:jc w:val="center"/>
    </w:pPr>
  </w:style>
  <w:style w:type="paragraph" w:styleId="7">
    <w:name w:val="annotation text"/>
    <w:basedOn w:val="1"/>
    <w:next w:val="1"/>
    <w:semiHidden/>
    <w:qFormat/>
    <w:uiPriority w:val="0"/>
    <w:pPr>
      <w:jc w:val="left"/>
    </w:pPr>
    <w:rPr>
      <w:kern w:val="0"/>
      <w:sz w:val="20"/>
    </w:rPr>
  </w:style>
  <w:style w:type="paragraph" w:styleId="9">
    <w:name w:val="Normal Indent"/>
    <w:basedOn w:val="1"/>
    <w:next w:val="10"/>
    <w:qFormat/>
    <w:uiPriority w:val="0"/>
    <w:pPr>
      <w:ind w:firstLine="200" w:firstLineChars="200"/>
    </w:pPr>
  </w:style>
  <w:style w:type="paragraph" w:styleId="10">
    <w:name w:val="Body Text First Indent 2"/>
    <w:basedOn w:val="11"/>
    <w:next w:val="1"/>
    <w:qFormat/>
    <w:uiPriority w:val="0"/>
    <w:pPr>
      <w:widowControl/>
      <w:ind w:firstLine="420" w:firstLineChars="200"/>
    </w:pPr>
    <w:rPr>
      <w:rFonts w:eastAsia="仿宋_GB2312"/>
    </w:rPr>
  </w:style>
  <w:style w:type="paragraph" w:styleId="11">
    <w:name w:val="Body Text Indent"/>
    <w:basedOn w:val="1"/>
    <w:next w:val="1"/>
    <w:qFormat/>
    <w:uiPriority w:val="0"/>
    <w:pPr>
      <w:keepNext/>
      <w:widowControl w:val="0"/>
      <w:spacing w:line="360" w:lineRule="auto"/>
    </w:pPr>
    <w:rPr>
      <w:rFonts w:eastAsia="宋体"/>
      <w:sz w:val="24"/>
    </w:rPr>
  </w:style>
  <w:style w:type="paragraph" w:styleId="12">
    <w:name w:val="Plain Text"/>
    <w:basedOn w:val="1"/>
    <w:qFormat/>
    <w:uiPriority w:val="0"/>
    <w:rPr>
      <w:rFonts w:ascii="宋体" w:hAnsi="Lucida Console" w:eastAsia="仿宋_GB2312"/>
      <w:sz w:val="24"/>
    </w:rPr>
  </w:style>
  <w:style w:type="paragraph" w:styleId="13">
    <w:name w:val="Body Text Indent 2"/>
    <w:basedOn w:val="1"/>
    <w:next w:val="1"/>
    <w:qFormat/>
    <w:uiPriority w:val="0"/>
    <w:pPr>
      <w:spacing w:after="120" w:line="480" w:lineRule="auto"/>
      <w:ind w:left="420" w:leftChars="200"/>
    </w:p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next w:val="16"/>
    <w:qFormat/>
    <w:uiPriority w:val="0"/>
    <w:pPr>
      <w:pBdr>
        <w:bottom w:val="single" w:color="auto" w:sz="6" w:space="1"/>
      </w:pBdr>
      <w:tabs>
        <w:tab w:val="center" w:pos="4153"/>
        <w:tab w:val="right" w:pos="8306"/>
      </w:tabs>
      <w:snapToGrid w:val="0"/>
      <w:jc w:val="center"/>
    </w:pPr>
    <w:rPr>
      <w:sz w:val="18"/>
      <w:szCs w:val="18"/>
    </w:rPr>
  </w:style>
  <w:style w:type="paragraph" w:customStyle="1" w:styleId="16">
    <w:name w:val="样式5"/>
    <w:basedOn w:val="17"/>
    <w:qFormat/>
    <w:uiPriority w:val="0"/>
    <w:pPr>
      <w:snapToGrid w:val="0"/>
      <w:spacing w:line="360" w:lineRule="auto"/>
      <w:ind w:firstLine="510"/>
    </w:pPr>
    <w:rPr>
      <w:sz w:val="24"/>
    </w:rPr>
  </w:style>
  <w:style w:type="paragraph" w:customStyle="1" w:styleId="17">
    <w:name w:val="正文1"/>
    <w:basedOn w:val="1"/>
    <w:next w:val="1"/>
    <w:qFormat/>
    <w:uiPriority w:val="0"/>
    <w:pPr>
      <w:adjustRightInd w:val="0"/>
      <w:spacing w:line="360" w:lineRule="auto"/>
      <w:jc w:val="center"/>
      <w:textAlignment w:val="baseline"/>
    </w:pPr>
    <w:rPr>
      <w:kern w:val="0"/>
      <w:sz w:val="28"/>
      <w:szCs w:val="20"/>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1">
    <w:name w:val="FollowedHyperlink"/>
    <w:basedOn w:val="20"/>
    <w:qFormat/>
    <w:uiPriority w:val="0"/>
    <w:rPr>
      <w:color w:val="333333"/>
      <w:u w:val="none"/>
    </w:rPr>
  </w:style>
  <w:style w:type="character" w:styleId="22">
    <w:name w:val="Hyperlink"/>
    <w:basedOn w:val="20"/>
    <w:qFormat/>
    <w:uiPriority w:val="0"/>
    <w:rPr>
      <w:color w:val="333333"/>
      <w:u w:val="none"/>
    </w:rPr>
  </w:style>
  <w:style w:type="character" w:styleId="23">
    <w:name w:val="HTML Sample"/>
    <w:basedOn w:val="20"/>
    <w:qFormat/>
    <w:uiPriority w:val="0"/>
    <w:rPr>
      <w:rFonts w:ascii="Courier New" w:hAnsi="Courier New"/>
    </w:rPr>
  </w:style>
  <w:style w:type="paragraph" w:customStyle="1" w:styleId="24">
    <w:name w:val="样式 正文缩进正文缩进2正文缩进 Char Char正文缩进 Char Char Char Char正文缩进 Char ..."/>
    <w:basedOn w:val="9"/>
    <w:qFormat/>
    <w:uiPriority w:val="0"/>
    <w:pPr>
      <w:spacing w:line="360" w:lineRule="auto"/>
      <w:ind w:firstLine="200"/>
    </w:pPr>
    <w:rPr>
      <w:rFonts w:cs="宋体"/>
      <w:sz w:val="24"/>
    </w:rPr>
  </w:style>
  <w:style w:type="paragraph" w:customStyle="1" w:styleId="25">
    <w:name w:val="Table Paragraph"/>
    <w:basedOn w:val="1"/>
    <w:qFormat/>
    <w:uiPriority w:val="1"/>
    <w:rPr>
      <w:rFonts w:ascii="宋体" w:hAnsi="宋体" w:eastAsia="宋体" w:cs="宋体"/>
      <w:lang w:val="zh-CN" w:eastAsia="zh-CN" w:bidi="zh-CN"/>
    </w:rPr>
  </w:style>
  <w:style w:type="character" w:customStyle="1" w:styleId="26">
    <w:name w:val="bsharetext"/>
    <w:basedOn w:val="20"/>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70ae99e3-bb4e-4674-9b92-5a154e859191</errorID>
      <errorWord>报告表</errorWord>
      <group>L1_Word</group>
      <groupName>字词问题</groupName>
      <ability>L2_Typo</ability>
      <abilityName>字词错误</abilityName>
      <candidateList>
        <item>报告</item>
      </candidateList>
      <explain/>
      <paraID>565BF926</paraID>
      <start>1</start>
      <end>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70cd06-38dd-4dbc-9864-bc14b055bd58}">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1365</Words>
  <Characters>1414</Characters>
  <Lines>1</Lines>
  <Paragraphs>1</Paragraphs>
  <TotalTime>33</TotalTime>
  <ScaleCrop>false</ScaleCrop>
  <LinksUpToDate>false</LinksUpToDate>
  <CharactersWithSpaces>1466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2014-10-31T12:08:00Z</dcterms:created>
  <dc:creator>Administrator</dc:creator>
  <cp:lastModifiedBy>媛苑</cp:lastModifiedBy>
  <cp:lastPrinted>2026-07-23T09:32:29Z</cp:lastPrinted>
  <dcterms:modified xsi:type="dcterms:W3CDTF">2026-07-23T09:36:26Z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4B6E26E5A6BA4E36A23F5C3CFDAA8833_13</vt:lpwstr>
  </property>
  <property fmtid="{D5CDD505-2E9C-101B-9397-08002B2CF9AE}" pid="4" name="KSOTemplateDocerSaveRecord">
    <vt:lpwstr>eyJoZGlkIjoiNTc3YWZkMGMwYzA5ZjYxM2ViOWI4NTU0NzAxNjFiYTQiLCJ1c2VySWQiOiIyNzQzMjk0MjAifQ==</vt:lpwstr>
  </property>
</Properties>
</file>