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5E664F">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9"/>
        <w:rPr>
          <w:rFonts w:hint="eastAsia" w:ascii="黑体" w:hAnsi="黑体" w:eastAsia="黑体" w:cs="黑体"/>
          <w:sz w:val="32"/>
          <w:szCs w:val="32"/>
          <w:lang w:val="en-US" w:eastAsia="zh-CN"/>
        </w:rPr>
      </w:pPr>
      <w:bookmarkStart w:id="0" w:name="_GoBack"/>
      <w:bookmarkEnd w:id="0"/>
      <w:r>
        <w:rPr>
          <w:rFonts w:hint="eastAsia" w:ascii="方正小标宋简体" w:hAnsi="方正小标宋简体" w:eastAsia="方正小标宋简体" w:cs="方正小标宋简体"/>
          <w:sz w:val="44"/>
          <w:szCs w:val="44"/>
          <w:lang w:eastAsia="zh-CN"/>
        </w:rPr>
        <w:t>迎泽</w:t>
      </w:r>
      <w:r>
        <w:rPr>
          <w:rFonts w:hint="eastAsia" w:ascii="方正小标宋简体" w:hAnsi="方正小标宋简体" w:eastAsia="方正小标宋简体" w:cs="方正小标宋简体"/>
          <w:sz w:val="44"/>
          <w:szCs w:val="44"/>
        </w:rPr>
        <w:t>街道</w:t>
      </w:r>
      <w:r>
        <w:rPr>
          <w:rFonts w:hint="eastAsia" w:ascii="方正小标宋简体" w:hAnsi="方正小标宋简体" w:eastAsia="方正小标宋简体" w:cs="方正小标宋简体"/>
          <w:sz w:val="44"/>
          <w:szCs w:val="44"/>
          <w:lang w:eastAsia="zh-CN"/>
        </w:rPr>
        <w:t>办事处2026</w:t>
      </w:r>
      <w:r>
        <w:rPr>
          <w:rFonts w:hint="eastAsia" w:ascii="方正小标宋简体" w:hAnsi="方正小标宋简体" w:eastAsia="方正小标宋简体" w:cs="方正小标宋简体"/>
          <w:sz w:val="44"/>
          <w:szCs w:val="44"/>
        </w:rPr>
        <w:t>年行政</w:t>
      </w:r>
      <w:r>
        <w:rPr>
          <w:rFonts w:hint="eastAsia" w:ascii="方正小标宋简体" w:hAnsi="方正小标宋简体" w:eastAsia="方正小标宋简体" w:cs="方正小标宋简体"/>
          <w:sz w:val="44"/>
          <w:szCs w:val="44"/>
          <w:lang w:val="en-US" w:eastAsia="zh-CN"/>
        </w:rPr>
        <w:t>执法</w:t>
      </w:r>
      <w:r>
        <w:rPr>
          <w:rFonts w:hint="eastAsia" w:ascii="方正小标宋简体" w:hAnsi="方正小标宋简体" w:eastAsia="方正小标宋简体" w:cs="方正小标宋简体"/>
          <w:sz w:val="44"/>
          <w:szCs w:val="44"/>
        </w:rPr>
        <w:t>检查计划</w:t>
      </w:r>
    </w:p>
    <w:p w14:paraId="43FDEE5F">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黑体" w:hAnsi="黑体" w:eastAsia="黑体" w:cs="黑体"/>
          <w:sz w:val="32"/>
          <w:szCs w:val="32"/>
          <w:lang w:val="en-US" w:eastAsia="zh-CN"/>
        </w:rPr>
      </w:pPr>
    </w:p>
    <w:p w14:paraId="02484E41">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为进一步规范涉企行政检查行为，优化营商环境，切实减轻企业负担，根据《鄂尔多斯市严格规范涉企行政检查为企业减负六条措施(试行)》及相关法律法规，结合我街道实际，制定本计划。</w:t>
      </w:r>
    </w:p>
    <w:p w14:paraId="7FA7C33D">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一、总则</w:t>
      </w:r>
    </w:p>
    <w:p w14:paraId="381EE9DE">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（一）制定目的</w:t>
      </w:r>
    </w:p>
    <w:p w14:paraId="1979D7E5">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为规范本街道行政检查行为，明确各职能部门检查职责、范围、频次与标准，强化日常监管与风险防控，杜绝监管盲区，提升行政检查工作的规范性、针对性和实效性，切实维护辖区生产经营秩序、公共安全和群众合法权益。</w:t>
      </w:r>
    </w:p>
    <w:p w14:paraId="3C00B4AC">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楷体" w:hAnsi="楷体" w:eastAsia="楷体" w:cs="楷体"/>
          <w:sz w:val="32"/>
          <w:szCs w:val="32"/>
          <w:lang w:val="en-US" w:eastAsia="zh-CN"/>
        </w:rPr>
      </w:pPr>
      <w:r>
        <w:rPr>
          <w:rFonts w:hint="default" w:ascii="楷体" w:hAnsi="楷体" w:eastAsia="楷体" w:cs="楷体"/>
          <w:sz w:val="32"/>
          <w:szCs w:val="32"/>
          <w:lang w:val="en-US" w:eastAsia="zh-CN"/>
        </w:rPr>
        <w:t>（二）工作原则</w:t>
      </w:r>
    </w:p>
    <w:p w14:paraId="7B93EB9F">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1</w:t>
      </w:r>
      <w:r>
        <w:rPr>
          <w:rFonts w:hint="eastAsia" w:ascii="Times New Roman" w:hAnsi="Times New Roman" w:eastAsia="仿宋_GB2312" w:cs="Times New Roman"/>
          <w:b/>
          <w:bCs/>
          <w:sz w:val="32"/>
          <w:szCs w:val="32"/>
          <w:lang w:val="en-US" w:eastAsia="zh-CN"/>
        </w:rPr>
        <w:t>.</w:t>
      </w:r>
      <w:r>
        <w:rPr>
          <w:rFonts w:hint="default" w:ascii="Times New Roman" w:hAnsi="Times New Roman" w:eastAsia="仿宋_GB2312" w:cs="Times New Roman"/>
          <w:b/>
          <w:bCs/>
          <w:sz w:val="32"/>
          <w:szCs w:val="32"/>
          <w:lang w:val="en-US" w:eastAsia="zh-CN"/>
        </w:rPr>
        <w:t>依法依规</w:t>
      </w:r>
      <w:r>
        <w:rPr>
          <w:rFonts w:hint="eastAsia" w:ascii="Times New Roman" w:hAnsi="Times New Roman" w:eastAsia="仿宋_GB2312" w:cs="Times New Roman"/>
          <w:b/>
          <w:bCs/>
          <w:sz w:val="32"/>
          <w:szCs w:val="32"/>
          <w:lang w:val="en-US" w:eastAsia="zh-CN"/>
        </w:rPr>
        <w:t>。</w:t>
      </w:r>
      <w:r>
        <w:rPr>
          <w:rFonts w:hint="default" w:ascii="Times New Roman" w:hAnsi="Times New Roman" w:eastAsia="仿宋_GB2312" w:cs="Times New Roman"/>
          <w:sz w:val="32"/>
          <w:szCs w:val="32"/>
          <w:lang w:val="en-US" w:eastAsia="zh-CN"/>
        </w:rPr>
        <w:t>严格按照相关法律法规、规章及上级部门工作要求开展检查，做到程序合法、内容规范、处置有据。</w:t>
      </w:r>
    </w:p>
    <w:p w14:paraId="0EF2B804">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2</w:t>
      </w:r>
      <w:r>
        <w:rPr>
          <w:rFonts w:hint="eastAsia" w:ascii="Times New Roman" w:hAnsi="Times New Roman" w:eastAsia="仿宋_GB2312" w:cs="Times New Roman"/>
          <w:b/>
          <w:bCs/>
          <w:sz w:val="32"/>
          <w:szCs w:val="32"/>
          <w:lang w:val="en-US" w:eastAsia="zh-CN"/>
        </w:rPr>
        <w:t>.</w:t>
      </w:r>
      <w:r>
        <w:rPr>
          <w:rFonts w:hint="default" w:ascii="Times New Roman" w:hAnsi="Times New Roman" w:eastAsia="仿宋_GB2312" w:cs="Times New Roman"/>
          <w:b/>
          <w:bCs/>
          <w:sz w:val="32"/>
          <w:szCs w:val="32"/>
          <w:lang w:val="en-US" w:eastAsia="zh-CN"/>
        </w:rPr>
        <w:t>公正公平。</w:t>
      </w:r>
      <w:r>
        <w:rPr>
          <w:rFonts w:hint="default" w:ascii="Times New Roman" w:hAnsi="Times New Roman" w:eastAsia="仿宋_GB2312" w:cs="Times New Roman"/>
          <w:sz w:val="32"/>
          <w:szCs w:val="32"/>
          <w:lang w:val="en-US" w:eastAsia="zh-CN"/>
        </w:rPr>
        <w:t>对所有企业一视同仁，检查标准、程序公开透明，杜绝选择性执法，确保执法公正公平。</w:t>
      </w:r>
    </w:p>
    <w:p w14:paraId="4BB70920">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3</w:t>
      </w:r>
      <w:r>
        <w:rPr>
          <w:rFonts w:hint="eastAsia" w:ascii="Times New Roman" w:hAnsi="Times New Roman" w:eastAsia="仿宋_GB2312" w:cs="Times New Roman"/>
          <w:b/>
          <w:bCs/>
          <w:sz w:val="32"/>
          <w:szCs w:val="32"/>
          <w:lang w:val="en-US" w:eastAsia="zh-CN"/>
        </w:rPr>
        <w:t>.</w:t>
      </w:r>
      <w:r>
        <w:rPr>
          <w:rFonts w:hint="default" w:ascii="Times New Roman" w:hAnsi="Times New Roman" w:eastAsia="仿宋_GB2312" w:cs="Times New Roman"/>
          <w:b/>
          <w:bCs/>
          <w:sz w:val="32"/>
          <w:szCs w:val="32"/>
          <w:lang w:val="en-US" w:eastAsia="zh-CN"/>
        </w:rPr>
        <w:t>统筹兼顾</w:t>
      </w:r>
      <w:r>
        <w:rPr>
          <w:rFonts w:hint="eastAsia" w:ascii="Times New Roman" w:hAnsi="Times New Roman" w:eastAsia="仿宋_GB2312" w:cs="Times New Roman"/>
          <w:b/>
          <w:bCs/>
          <w:sz w:val="32"/>
          <w:szCs w:val="32"/>
          <w:lang w:val="en-US" w:eastAsia="zh-CN"/>
        </w:rPr>
        <w:t>。</w:t>
      </w:r>
      <w:r>
        <w:rPr>
          <w:rFonts w:hint="default" w:ascii="Times New Roman" w:hAnsi="Times New Roman" w:eastAsia="仿宋_GB2312" w:cs="Times New Roman"/>
          <w:sz w:val="32"/>
          <w:szCs w:val="32"/>
          <w:lang w:val="en-US" w:eastAsia="zh-CN"/>
        </w:rPr>
        <w:t>整合检查资源，避免重复检查、多头检查，减轻基层和监管对象负担，兼顾全面监管与高效执行。</w:t>
      </w:r>
    </w:p>
    <w:p w14:paraId="46F9D050">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4</w:t>
      </w:r>
      <w:r>
        <w:rPr>
          <w:rFonts w:hint="eastAsia" w:ascii="Times New Roman" w:hAnsi="Times New Roman" w:eastAsia="仿宋_GB2312" w:cs="Times New Roman"/>
          <w:b/>
          <w:bCs/>
          <w:sz w:val="32"/>
          <w:szCs w:val="32"/>
          <w:lang w:val="en-US" w:eastAsia="zh-CN"/>
        </w:rPr>
        <w:t>.</w:t>
      </w:r>
      <w:r>
        <w:rPr>
          <w:rFonts w:hint="default" w:ascii="Times New Roman" w:hAnsi="Times New Roman" w:eastAsia="仿宋_GB2312" w:cs="Times New Roman"/>
          <w:b/>
          <w:bCs/>
          <w:sz w:val="32"/>
          <w:szCs w:val="32"/>
          <w:lang w:val="en-US" w:eastAsia="zh-CN"/>
        </w:rPr>
        <w:t>服务指导。</w:t>
      </w:r>
      <w:r>
        <w:rPr>
          <w:rFonts w:hint="default" w:ascii="Times New Roman" w:hAnsi="Times New Roman" w:eastAsia="仿宋_GB2312" w:cs="Times New Roman"/>
          <w:sz w:val="32"/>
          <w:szCs w:val="32"/>
          <w:lang w:val="en-US" w:eastAsia="zh-CN"/>
        </w:rPr>
        <w:t>坚持管理与服务并重，在检查过程中注重对企业的指导和帮助，积极推行包容审慎监管，促进企业规范发展。</w:t>
      </w:r>
    </w:p>
    <w:p w14:paraId="7131F59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left"/>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二、规范检查事项</w:t>
      </w:r>
    </w:p>
    <w:p w14:paraId="41D3A7C6">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楷体" w:hAnsi="楷体" w:eastAsia="楷体" w:cs="楷体"/>
          <w:sz w:val="32"/>
          <w:szCs w:val="32"/>
          <w:lang w:val="en-US" w:eastAsia="zh-CN"/>
        </w:rPr>
        <w:t>（一）</w:t>
      </w:r>
      <w:r>
        <w:rPr>
          <w:rFonts w:hint="default" w:ascii="Times New Roman" w:hAnsi="Times New Roman" w:eastAsia="仿宋_GB2312" w:cs="Times New Roman"/>
          <w:sz w:val="32"/>
          <w:szCs w:val="32"/>
          <w:lang w:val="en-US" w:eastAsia="zh-CN"/>
        </w:rPr>
        <w:t>依据《内蒙古自治区鄂尔多斯市准格尔旗迎泽街道履行职责事项清单》（已在政府网站公示），对于检查可分为行政处罚类与指导防范类</w:t>
      </w:r>
      <w:r>
        <w:rPr>
          <w:rFonts w:hint="eastAsia" w:ascii="Times New Roman" w:hAnsi="Times New Roman" w:eastAsia="仿宋_GB2312" w:cs="Times New Roman"/>
          <w:sz w:val="32"/>
          <w:szCs w:val="32"/>
          <w:lang w:val="en-US" w:eastAsia="zh-CN"/>
        </w:rPr>
        <w:t>。</w:t>
      </w:r>
    </w:p>
    <w:p w14:paraId="4AF33463">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指导防范类排查检查：如安全生产、消防安全等方面，由街道办事处针对企业存在的问题进行摸排及规范化指导为主。</w:t>
      </w:r>
    </w:p>
    <w:p w14:paraId="341D32CE">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其中行政处罚类检查：如用地审批手续及实际用地情况的检查由街道办事处授权综合行政执法队执行并行使处罚权；</w:t>
      </w:r>
    </w:p>
    <w:p w14:paraId="2273B24C">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楷体" w:hAnsi="楷体" w:eastAsia="楷体" w:cs="楷体"/>
          <w:sz w:val="32"/>
          <w:szCs w:val="32"/>
          <w:lang w:val="en-US" w:eastAsia="zh-CN"/>
        </w:rPr>
      </w:pPr>
      <w:r>
        <w:rPr>
          <w:rFonts w:hint="default" w:ascii="楷体" w:hAnsi="楷体" w:eastAsia="楷体" w:cs="楷体"/>
          <w:sz w:val="32"/>
          <w:szCs w:val="32"/>
          <w:lang w:val="en-US" w:eastAsia="zh-CN"/>
        </w:rPr>
        <w:t>（二）检查标准细则</w:t>
      </w:r>
    </w:p>
    <w:p w14:paraId="7BFF8745">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1</w:t>
      </w:r>
      <w:r>
        <w:rPr>
          <w:rFonts w:hint="eastAsia" w:ascii="Times New Roman" w:hAnsi="Times New Roman" w:eastAsia="仿宋_GB2312" w:cs="Times New Roman"/>
          <w:b/>
          <w:bCs/>
          <w:sz w:val="32"/>
          <w:szCs w:val="32"/>
          <w:lang w:val="en-US" w:eastAsia="zh-CN"/>
        </w:rPr>
        <w:t>.</w:t>
      </w:r>
      <w:r>
        <w:rPr>
          <w:rFonts w:hint="default" w:ascii="Times New Roman" w:hAnsi="Times New Roman" w:eastAsia="仿宋_GB2312" w:cs="Times New Roman"/>
          <w:b/>
          <w:bCs/>
          <w:sz w:val="32"/>
          <w:szCs w:val="32"/>
          <w:lang w:val="en-US" w:eastAsia="zh-CN"/>
        </w:rPr>
        <w:t>指导防范检查：</w:t>
      </w:r>
      <w:r>
        <w:rPr>
          <w:rFonts w:hint="default" w:ascii="Times New Roman" w:hAnsi="Times New Roman" w:eastAsia="仿宋_GB2312" w:cs="Times New Roman"/>
          <w:sz w:val="32"/>
          <w:szCs w:val="32"/>
          <w:lang w:val="en-US" w:eastAsia="zh-CN"/>
        </w:rPr>
        <w:t>消防安全、安全生产</w:t>
      </w:r>
    </w:p>
    <w:p w14:paraId="29450120">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检查标准：安全设施、安全管理机构建设完善，消防设施完好有效、无遮挡、记录完整；疏散通道畅通、标识清晰；用火用电持证审批，线路规范，燃气无泄漏，杜绝违规操作等。</w:t>
      </w:r>
    </w:p>
    <w:p w14:paraId="52B83BA9">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2</w:t>
      </w:r>
      <w:r>
        <w:rPr>
          <w:rFonts w:hint="eastAsia" w:ascii="Times New Roman" w:hAnsi="Times New Roman" w:eastAsia="仿宋_GB2312" w:cs="Times New Roman"/>
          <w:b/>
          <w:bCs/>
          <w:sz w:val="32"/>
          <w:szCs w:val="32"/>
          <w:lang w:val="en-US" w:eastAsia="zh-CN"/>
        </w:rPr>
        <w:t>.</w:t>
      </w:r>
      <w:r>
        <w:rPr>
          <w:rFonts w:hint="default" w:ascii="Times New Roman" w:hAnsi="Times New Roman" w:eastAsia="仿宋_GB2312" w:cs="Times New Roman"/>
          <w:b/>
          <w:bCs/>
          <w:sz w:val="32"/>
          <w:szCs w:val="32"/>
          <w:lang w:val="en-US" w:eastAsia="zh-CN"/>
        </w:rPr>
        <w:t>行政处罚：</w:t>
      </w:r>
      <w:r>
        <w:rPr>
          <w:rFonts w:hint="default" w:ascii="Times New Roman" w:hAnsi="Times New Roman" w:eastAsia="仿宋_GB2312" w:cs="Times New Roman"/>
          <w:sz w:val="32"/>
          <w:szCs w:val="32"/>
          <w:lang w:val="en-US" w:eastAsia="zh-CN"/>
        </w:rPr>
        <w:t>非法占用土地</w:t>
      </w:r>
    </w:p>
    <w:p w14:paraId="75E88215">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检查标准：核查用地审批手续，比对占地范围、面积与地类是否合规，严查未批先占、少批多占、擅自改途及破坏耕地等违法情形。</w:t>
      </w:r>
    </w:p>
    <w:p w14:paraId="66A0AD70">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楷体" w:hAnsi="楷体" w:eastAsia="楷体" w:cs="楷体"/>
          <w:sz w:val="32"/>
          <w:szCs w:val="32"/>
          <w:lang w:val="en-US" w:eastAsia="zh-CN"/>
        </w:rPr>
      </w:pPr>
      <w:r>
        <w:rPr>
          <w:rFonts w:hint="default" w:ascii="楷体" w:hAnsi="楷体" w:eastAsia="楷体" w:cs="楷体"/>
          <w:sz w:val="32"/>
          <w:szCs w:val="32"/>
          <w:lang w:val="en-US" w:eastAsia="zh-CN"/>
        </w:rPr>
        <w:t>（三）检查频率</w:t>
      </w:r>
    </w:p>
    <w:p w14:paraId="53532265">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用地手续：每季度至少一次。</w:t>
      </w:r>
    </w:p>
    <w:p w14:paraId="2390EB89">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安全生产：每年至少一次。</w:t>
      </w:r>
    </w:p>
    <w:p w14:paraId="386065EF">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楷体" w:hAnsi="楷体" w:eastAsia="楷体" w:cs="楷体"/>
          <w:sz w:val="32"/>
          <w:szCs w:val="32"/>
          <w:lang w:val="en-US" w:eastAsia="zh-CN"/>
        </w:rPr>
      </w:pPr>
      <w:r>
        <w:rPr>
          <w:rFonts w:hint="default" w:ascii="楷体" w:hAnsi="楷体" w:eastAsia="楷体" w:cs="楷体"/>
          <w:sz w:val="32"/>
          <w:szCs w:val="32"/>
          <w:lang w:val="en-US" w:eastAsia="zh-CN"/>
        </w:rPr>
        <w:t>（四）检查方式</w:t>
      </w:r>
    </w:p>
    <w:p w14:paraId="68323B87">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1</w:t>
      </w:r>
      <w:r>
        <w:rPr>
          <w:rFonts w:hint="eastAsia" w:ascii="Times New Roman" w:hAnsi="Times New Roman" w:eastAsia="仿宋_GB2312" w:cs="Times New Roman"/>
          <w:b/>
          <w:bCs/>
          <w:sz w:val="32"/>
          <w:szCs w:val="32"/>
          <w:lang w:val="en-US" w:eastAsia="zh-CN"/>
        </w:rPr>
        <w:t>.</w:t>
      </w:r>
      <w:r>
        <w:rPr>
          <w:rFonts w:hint="default" w:ascii="Times New Roman" w:hAnsi="Times New Roman" w:eastAsia="仿宋_GB2312" w:cs="Times New Roman"/>
          <w:b/>
          <w:bCs/>
          <w:sz w:val="32"/>
          <w:szCs w:val="32"/>
          <w:lang w:val="en-US" w:eastAsia="zh-CN"/>
        </w:rPr>
        <w:t>主动巡查：</w:t>
      </w:r>
      <w:r>
        <w:rPr>
          <w:rFonts w:hint="default" w:ascii="Times New Roman" w:hAnsi="Times New Roman" w:eastAsia="仿宋_GB2312" w:cs="Times New Roman"/>
          <w:sz w:val="32"/>
          <w:szCs w:val="32"/>
          <w:lang w:val="en-US" w:eastAsia="zh-CN"/>
        </w:rPr>
        <w:t>每季度独立开展安全生产隐患摸排。</w:t>
      </w:r>
    </w:p>
    <w:p w14:paraId="11153AD6">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2</w:t>
      </w:r>
      <w:r>
        <w:rPr>
          <w:rFonts w:hint="eastAsia" w:ascii="Times New Roman" w:hAnsi="Times New Roman" w:eastAsia="仿宋_GB2312" w:cs="Times New Roman"/>
          <w:b/>
          <w:bCs/>
          <w:sz w:val="32"/>
          <w:szCs w:val="32"/>
          <w:lang w:val="en-US" w:eastAsia="zh-CN"/>
        </w:rPr>
        <w:t>.</w:t>
      </w:r>
      <w:r>
        <w:rPr>
          <w:rFonts w:hint="default" w:ascii="Times New Roman" w:hAnsi="Times New Roman" w:eastAsia="仿宋_GB2312" w:cs="Times New Roman"/>
          <w:b/>
          <w:bCs/>
          <w:sz w:val="32"/>
          <w:szCs w:val="32"/>
          <w:lang w:val="en-US" w:eastAsia="zh-CN"/>
        </w:rPr>
        <w:t>随机抽查：</w:t>
      </w:r>
      <w:r>
        <w:rPr>
          <w:rFonts w:hint="default" w:ascii="Times New Roman" w:hAnsi="Times New Roman" w:eastAsia="仿宋_GB2312" w:cs="Times New Roman"/>
          <w:sz w:val="32"/>
          <w:szCs w:val="32"/>
          <w:lang w:val="en-US" w:eastAsia="zh-CN"/>
        </w:rPr>
        <w:t>不定时对辖区内组织进行非法占用土地方面的</w:t>
      </w:r>
      <w:r>
        <w:rPr>
          <w:rFonts w:hint="eastAsia" w:ascii="Times New Roman" w:hAnsi="Times New Roman" w:eastAsia="仿宋_GB2312" w:cs="Times New Roman"/>
          <w:sz w:val="32"/>
          <w:szCs w:val="32"/>
          <w:lang w:val="en-US" w:eastAsia="zh-CN"/>
        </w:rPr>
        <w:t>行政执法抽查工作。</w:t>
      </w:r>
    </w:p>
    <w:p w14:paraId="69F2CB3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left"/>
        <w:textAlignment w:val="auto"/>
        <w:outlineLvl w:val="9"/>
        <w:rPr>
          <w:rFonts w:hint="default" w:ascii="黑体" w:hAnsi="黑体" w:eastAsia="黑体" w:cs="黑体"/>
          <w:sz w:val="32"/>
          <w:szCs w:val="32"/>
          <w:lang w:val="en-US" w:eastAsia="zh-CN"/>
        </w:rPr>
      </w:pPr>
      <w:r>
        <w:rPr>
          <w:rFonts w:hint="default" w:ascii="黑体" w:hAnsi="黑体" w:eastAsia="黑体" w:cs="黑体"/>
          <w:sz w:val="32"/>
          <w:szCs w:val="32"/>
          <w:lang w:val="en-US" w:eastAsia="zh-CN"/>
        </w:rPr>
        <w:t>三、检查依据</w:t>
      </w:r>
    </w:p>
    <w:p w14:paraId="5C8A592D">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楷体" w:hAnsi="楷体" w:eastAsia="楷体" w:cs="楷体"/>
          <w:sz w:val="32"/>
          <w:szCs w:val="32"/>
          <w:lang w:val="en-US" w:eastAsia="zh-CN"/>
        </w:rPr>
        <w:t>（一）法律：《</w:t>
      </w:r>
      <w:r>
        <w:rPr>
          <w:rFonts w:hint="default" w:ascii="Times New Roman" w:hAnsi="Times New Roman" w:eastAsia="仿宋_GB2312" w:cs="Times New Roman"/>
          <w:sz w:val="32"/>
          <w:szCs w:val="32"/>
          <w:lang w:val="en-US" w:eastAsia="zh-CN"/>
        </w:rPr>
        <w:t>中华人民共和国土地管理法》《中华人民共和国消防法》《中华人民共和国安全生产法》；</w:t>
      </w:r>
    </w:p>
    <w:p w14:paraId="2D0A0EAE">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楷体" w:hAnsi="楷体" w:eastAsia="楷体" w:cs="楷体"/>
          <w:sz w:val="32"/>
          <w:szCs w:val="32"/>
          <w:lang w:val="en-US" w:eastAsia="zh-CN"/>
        </w:rPr>
        <w:t>（二）行政法规：</w:t>
      </w:r>
      <w:r>
        <w:rPr>
          <w:rFonts w:hint="default" w:ascii="Times New Roman" w:hAnsi="Times New Roman" w:eastAsia="仿宋_GB2312" w:cs="Times New Roman"/>
          <w:sz w:val="32"/>
          <w:szCs w:val="32"/>
          <w:lang w:val="en-US" w:eastAsia="zh-CN"/>
        </w:rPr>
        <w:t>《中华人民共和国土地管理法实施条例》；</w:t>
      </w:r>
    </w:p>
    <w:p w14:paraId="4FF690F1">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楷体" w:hAnsi="楷体" w:eastAsia="楷体" w:cs="楷体"/>
          <w:sz w:val="32"/>
          <w:szCs w:val="32"/>
          <w:lang w:val="en-US" w:eastAsia="zh-CN"/>
        </w:rPr>
        <w:t>（三）地方性法规：</w:t>
      </w:r>
      <w:r>
        <w:rPr>
          <w:rFonts w:hint="default" w:ascii="Times New Roman" w:hAnsi="Times New Roman" w:eastAsia="仿宋_GB2312" w:cs="Times New Roman"/>
          <w:sz w:val="32"/>
          <w:szCs w:val="32"/>
          <w:lang w:val="en-US" w:eastAsia="zh-CN"/>
        </w:rPr>
        <w:t>《内蒙古自治区消防条例》《内蒙古自治区安全生产条例》；</w:t>
      </w:r>
    </w:p>
    <w:p w14:paraId="48F3158E">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黑体" w:hAnsi="黑体" w:eastAsia="黑体" w:cs="黑体"/>
          <w:sz w:val="32"/>
          <w:szCs w:val="32"/>
          <w:lang w:val="en-US" w:eastAsia="zh-CN"/>
        </w:rPr>
      </w:pPr>
      <w:r>
        <w:rPr>
          <w:rFonts w:hint="eastAsia" w:ascii="楷体" w:hAnsi="楷体" w:eastAsia="楷体" w:cs="楷体"/>
          <w:sz w:val="32"/>
          <w:szCs w:val="32"/>
          <w:lang w:val="en-US" w:eastAsia="zh-CN"/>
        </w:rPr>
        <w:t>（四）规范性文件：</w:t>
      </w:r>
      <w:r>
        <w:rPr>
          <w:rFonts w:hint="eastAsia" w:ascii="Times New Roman" w:hAnsi="Times New Roman" w:eastAsia="仿宋_GB2312" w:cs="Times New Roman"/>
          <w:sz w:val="32"/>
          <w:szCs w:val="32"/>
          <w:lang w:val="en-US" w:eastAsia="zh-CN"/>
        </w:rPr>
        <w:t>《关于印发＜内蒙古自治区赋予苏木乡镇（街道）行政执法权力指导目录＞的通知》（内司通〔2024）21号）、《鄂尔多斯市消防安全责任制实施办法》。</w:t>
      </w:r>
    </w:p>
    <w:p w14:paraId="3048D7A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left"/>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四、检查工作要求</w:t>
      </w:r>
    </w:p>
    <w:p w14:paraId="6695E6C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jc w:val="both"/>
        <w:textAlignment w:val="auto"/>
        <w:outlineLvl w:val="9"/>
        <w:rPr>
          <w:rFonts w:hint="eastAsia" w:ascii="Times New Roman" w:hAnsi="Times New Roman" w:eastAsia="仿宋_GB2312" w:cs="Times New Roman"/>
          <w:sz w:val="32"/>
          <w:szCs w:val="32"/>
          <w:lang w:val="en-US" w:eastAsia="zh-CN"/>
        </w:rPr>
      </w:pPr>
      <w:r>
        <w:rPr>
          <w:rFonts w:hint="eastAsia" w:ascii="楷体" w:hAnsi="楷体" w:eastAsia="楷体" w:cs="楷体"/>
          <w:sz w:val="32"/>
          <w:szCs w:val="32"/>
          <w:lang w:val="en-US" w:eastAsia="zh-CN"/>
        </w:rPr>
        <w:t>（一）规范检查流程。</w:t>
      </w:r>
      <w:r>
        <w:rPr>
          <w:rFonts w:hint="eastAsia" w:ascii="Times New Roman" w:hAnsi="Times New Roman" w:eastAsia="仿宋_GB2312" w:cs="Times New Roman"/>
          <w:sz w:val="32"/>
          <w:szCs w:val="32"/>
          <w:lang w:val="en-US" w:eastAsia="zh-CN"/>
        </w:rPr>
        <w:t>检查人员需持有效证件开展检查，如实填写《行政检查记录表》，详细记录检查时间、对象、内容、发现问题及处理意见，由检查对象签字确认；对拒不配合的，依法依规处置。</w:t>
      </w:r>
    </w:p>
    <w:p w14:paraId="7F9BAB4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jc w:val="both"/>
        <w:textAlignment w:val="auto"/>
        <w:outlineLvl w:val="9"/>
        <w:rPr>
          <w:rFonts w:hint="default" w:ascii="Times New Roman" w:hAnsi="Times New Roman" w:eastAsia="仿宋_GB2312" w:cs="Times New Roman"/>
          <w:sz w:val="32"/>
          <w:szCs w:val="32"/>
          <w:lang w:val="en-US" w:eastAsia="zh-CN"/>
        </w:rPr>
      </w:pPr>
      <w:r>
        <w:rPr>
          <w:rFonts w:hint="default" w:ascii="楷体" w:hAnsi="楷体" w:eastAsia="楷体" w:cs="楷体"/>
          <w:sz w:val="32"/>
          <w:szCs w:val="32"/>
          <w:lang w:val="en-US" w:eastAsia="zh-CN"/>
        </w:rPr>
        <w:t>（二）问题整改闭环。</w:t>
      </w:r>
      <w:r>
        <w:rPr>
          <w:rFonts w:hint="default" w:ascii="Times New Roman" w:hAnsi="Times New Roman" w:eastAsia="仿宋_GB2312" w:cs="Times New Roman"/>
          <w:sz w:val="32"/>
          <w:szCs w:val="32"/>
          <w:lang w:val="en-US" w:eastAsia="zh-CN"/>
        </w:rPr>
        <w:t>对检查发现的一般问题，当场责令整改；当场未能整改的，下达＜限期整改通知书＞，明确整改时限、责任人，限期复查；对违法违规行为，依法予以处罚，涉嫌犯罪的移交上级部门。</w:t>
      </w:r>
    </w:p>
    <w:p w14:paraId="4B61F98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jc w:val="both"/>
        <w:textAlignment w:val="auto"/>
        <w:outlineLvl w:val="9"/>
        <w:rPr>
          <w:rFonts w:hint="default" w:ascii="Times New Roman" w:hAnsi="Times New Roman" w:eastAsia="仿宋_GB2312" w:cs="Times New Roman"/>
          <w:sz w:val="32"/>
          <w:szCs w:val="32"/>
          <w:lang w:val="en-US" w:eastAsia="zh-CN"/>
        </w:rPr>
      </w:pPr>
      <w:r>
        <w:rPr>
          <w:rFonts w:hint="default" w:ascii="楷体" w:hAnsi="楷体" w:eastAsia="楷体" w:cs="楷体"/>
          <w:sz w:val="32"/>
          <w:szCs w:val="32"/>
          <w:lang w:val="en-US" w:eastAsia="zh-CN"/>
        </w:rPr>
        <w:t>（三）相关纪律要求。</w:t>
      </w:r>
      <w:r>
        <w:rPr>
          <w:rFonts w:hint="default" w:ascii="Times New Roman" w:hAnsi="Times New Roman" w:eastAsia="仿宋_GB2312" w:cs="Times New Roman"/>
          <w:sz w:val="32"/>
          <w:szCs w:val="32"/>
          <w:lang w:val="en-US" w:eastAsia="zh-CN"/>
        </w:rPr>
        <w:t>检查人员严格遵守工作纪律，廉洁自律，不得索取、收受检查对象财物，不得利用检查之便谋取私利，自觉接受群众监督。</w:t>
      </w:r>
    </w:p>
    <w:p w14:paraId="58DBE14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jc w:val="both"/>
        <w:textAlignment w:val="auto"/>
        <w:outlineLvl w:val="9"/>
        <w:rPr>
          <w:rFonts w:hint="default" w:ascii="Times New Roman" w:hAnsi="Times New Roman" w:eastAsia="仿宋_GB2312" w:cs="Times New Roman"/>
          <w:spacing w:val="-6"/>
          <w:sz w:val="32"/>
          <w:szCs w:val="32"/>
          <w:lang w:val="en-US" w:eastAsia="zh-CN"/>
        </w:rPr>
      </w:pPr>
      <w:r>
        <w:rPr>
          <w:rFonts w:hint="eastAsia" w:ascii="Times New Roman" w:hAnsi="Times New Roman" w:eastAsia="仿宋_GB2312" w:cs="Times New Roman"/>
          <w:sz w:val="32"/>
          <w:szCs w:val="32"/>
          <w:lang w:val="en-US" w:eastAsia="zh-CN"/>
        </w:rPr>
        <w:t xml:space="preserve">    附件：</w:t>
      </w:r>
      <w:r>
        <w:rPr>
          <w:rFonts w:hint="eastAsia" w:ascii="Times New Roman" w:hAnsi="Times New Roman" w:eastAsia="仿宋_GB2312" w:cs="Times New Roman"/>
          <w:spacing w:val="-6"/>
          <w:sz w:val="32"/>
          <w:szCs w:val="32"/>
          <w:lang w:val="en-US" w:eastAsia="zh-CN"/>
        </w:rPr>
        <w:t>准格尔旗迎泽街道办事处2026年度行政执法检查计划</w:t>
      </w:r>
    </w:p>
    <w:p w14:paraId="66171DF9">
      <w:pPr>
        <w:keepNext w:val="0"/>
        <w:keepLines w:val="0"/>
        <w:pageBreakBefore w:val="0"/>
        <w:widowControl w:val="0"/>
        <w:kinsoku/>
        <w:wordWrap/>
        <w:overflowPunct/>
        <w:topLinePunct w:val="0"/>
        <w:autoSpaceDE/>
        <w:autoSpaceDN/>
        <w:bidi w:val="0"/>
        <w:adjustRightInd/>
        <w:snapToGrid/>
        <w:spacing w:line="578" w:lineRule="exact"/>
        <w:jc w:val="both"/>
        <w:textAlignment w:val="auto"/>
        <w:rPr>
          <w:rFonts w:hint="default" w:ascii="Times New Roman" w:hAnsi="Times New Roman" w:eastAsia="仿宋_GB2312" w:cs="Times New Roman"/>
          <w:sz w:val="32"/>
          <w:szCs w:val="32"/>
          <w:lang w:val="en-US" w:eastAsia="zh-CN"/>
        </w:rPr>
      </w:pPr>
    </w:p>
    <w:p w14:paraId="0B0FA81E">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sz w:val="32"/>
          <w:szCs w:val="32"/>
          <w:lang w:val="en-US" w:eastAsia="zh-CN"/>
        </w:rPr>
        <w:sectPr>
          <w:footerReference r:id="rId3" w:type="default"/>
          <w:pgSz w:w="11906" w:h="16838"/>
          <w:pgMar w:top="1871" w:right="1474" w:bottom="1701" w:left="1587" w:header="851" w:footer="992" w:gutter="0"/>
          <w:pgNumType w:fmt="decimal"/>
          <w:cols w:space="720" w:num="1"/>
          <w:docGrid w:type="lines" w:linePitch="312" w:charSpace="0"/>
        </w:sectPr>
      </w:pPr>
    </w:p>
    <w:p w14:paraId="6AB29859">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1C0E593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准格尔旗迎泽街道办事处2026年度行政执法检查计划</w:t>
      </w:r>
    </w:p>
    <w:tbl>
      <w:tblPr>
        <w:tblStyle w:val="4"/>
        <w:tblW w:w="1384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74"/>
        <w:gridCol w:w="917"/>
        <w:gridCol w:w="917"/>
        <w:gridCol w:w="1100"/>
        <w:gridCol w:w="7024"/>
        <w:gridCol w:w="1151"/>
        <w:gridCol w:w="597"/>
        <w:gridCol w:w="550"/>
        <w:gridCol w:w="1016"/>
      </w:tblGrid>
      <w:tr w14:paraId="73D022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80" w:hRule="atLeast"/>
          <w:jc w:val="center"/>
        </w:trPr>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668A3">
            <w:pPr>
              <w:keepNext w:val="0"/>
              <w:keepLines w:val="0"/>
              <w:widowControl/>
              <w:suppressLineNumbers w:val="0"/>
              <w:jc w:val="center"/>
              <w:textAlignment w:val="center"/>
              <w:rPr>
                <w:rFonts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lang w:val="en-US" w:eastAsia="zh-CN" w:bidi="ar"/>
              </w:rPr>
              <w:t>序号</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F5D28">
            <w:pPr>
              <w:keepNext w:val="0"/>
              <w:keepLines w:val="0"/>
              <w:widowControl/>
              <w:suppressLineNumbers w:val="0"/>
              <w:jc w:val="center"/>
              <w:textAlignment w:val="center"/>
              <w:rPr>
                <w:rFonts w:hint="eastAsia"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lang w:val="en-US" w:eastAsia="zh-CN" w:bidi="ar"/>
              </w:rPr>
              <w:t>检查主体</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D77B9">
            <w:pPr>
              <w:keepNext w:val="0"/>
              <w:keepLines w:val="0"/>
              <w:widowControl/>
              <w:suppressLineNumbers w:val="0"/>
              <w:jc w:val="center"/>
              <w:textAlignment w:val="center"/>
              <w:rPr>
                <w:rFonts w:hint="eastAsia"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lang w:val="en-US" w:eastAsia="zh-CN" w:bidi="ar"/>
              </w:rPr>
              <w:t>检查对象</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BBB93">
            <w:pPr>
              <w:keepNext w:val="0"/>
              <w:keepLines w:val="0"/>
              <w:widowControl/>
              <w:suppressLineNumbers w:val="0"/>
              <w:jc w:val="center"/>
              <w:textAlignment w:val="center"/>
              <w:rPr>
                <w:rFonts w:hint="eastAsia"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lang w:val="en-US" w:eastAsia="zh-CN" w:bidi="ar"/>
              </w:rPr>
              <w:t>检查实施事项</w:t>
            </w:r>
          </w:p>
        </w:tc>
        <w:tc>
          <w:tcPr>
            <w:tcW w:w="7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1D8DD">
            <w:pPr>
              <w:keepNext w:val="0"/>
              <w:keepLines w:val="0"/>
              <w:widowControl/>
              <w:suppressLineNumbers w:val="0"/>
              <w:jc w:val="center"/>
              <w:textAlignment w:val="center"/>
              <w:rPr>
                <w:rFonts w:hint="eastAsia"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lang w:val="en-US" w:eastAsia="zh-CN" w:bidi="ar"/>
              </w:rPr>
              <w:t>检查依据</w:t>
            </w: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55CD8">
            <w:pPr>
              <w:keepNext w:val="0"/>
              <w:keepLines w:val="0"/>
              <w:widowControl/>
              <w:suppressLineNumbers w:val="0"/>
              <w:jc w:val="center"/>
              <w:textAlignment w:val="center"/>
              <w:rPr>
                <w:rFonts w:hint="eastAsia"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lang w:val="en-US" w:eastAsia="zh-CN" w:bidi="ar"/>
              </w:rPr>
              <w:t>检查比例</w:t>
            </w:r>
          </w:p>
        </w:tc>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C27F1">
            <w:pPr>
              <w:keepNext w:val="0"/>
              <w:keepLines w:val="0"/>
              <w:widowControl/>
              <w:suppressLineNumbers w:val="0"/>
              <w:jc w:val="center"/>
              <w:textAlignment w:val="center"/>
              <w:rPr>
                <w:rFonts w:hint="eastAsia"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lang w:val="en-US" w:eastAsia="zh-CN" w:bidi="ar"/>
              </w:rPr>
              <w:t>检查频次</w:t>
            </w:r>
          </w:p>
        </w:tc>
        <w:tc>
          <w:tcPr>
            <w:tcW w:w="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C00BE">
            <w:pPr>
              <w:keepNext w:val="0"/>
              <w:keepLines w:val="0"/>
              <w:widowControl/>
              <w:suppressLineNumbers w:val="0"/>
              <w:jc w:val="center"/>
              <w:textAlignment w:val="center"/>
              <w:rPr>
                <w:rFonts w:hint="eastAsia"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lang w:val="en-US" w:eastAsia="zh-CN" w:bidi="ar"/>
              </w:rPr>
              <w:t>检查方式</w:t>
            </w: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6168C">
            <w:pPr>
              <w:keepNext w:val="0"/>
              <w:keepLines w:val="0"/>
              <w:widowControl/>
              <w:suppressLineNumbers w:val="0"/>
              <w:jc w:val="center"/>
              <w:textAlignment w:val="center"/>
              <w:rPr>
                <w:rFonts w:hint="eastAsia"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lang w:val="en-US" w:eastAsia="zh-CN" w:bidi="ar"/>
              </w:rPr>
              <w:t>是否与其他部门联合开展</w:t>
            </w:r>
          </w:p>
        </w:tc>
      </w:tr>
      <w:tr w14:paraId="034F9C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05" w:hRule="atLeast"/>
          <w:jc w:val="center"/>
        </w:trPr>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6078F">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cs="宋体"/>
                <w:i w:val="0"/>
                <w:iCs w:val="0"/>
                <w:color w:val="000000"/>
                <w:kern w:val="0"/>
                <w:sz w:val="20"/>
                <w:szCs w:val="20"/>
                <w:u w:val="none"/>
                <w:lang w:val="en-US" w:eastAsia="zh-CN" w:bidi="ar"/>
              </w:rPr>
              <w:t>1</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CFC95">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准格尔旗迎泽街道办事处</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E115F">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辖区内生产经营企业，个体工商户、农民种养殖专业合作社等经营主体</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8485A">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对未经批准或者采取欺骗手段骗取批准以及超过批准的数量，非法占用土地的行政检查</w:t>
            </w:r>
          </w:p>
        </w:tc>
        <w:tc>
          <w:tcPr>
            <w:tcW w:w="7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CA25A">
            <w:pPr>
              <w:keepNext w:val="0"/>
              <w:keepLines w:val="0"/>
              <w:widowControl/>
              <w:suppressLineNumbers w:val="0"/>
              <w:jc w:val="left"/>
              <w:textAlignment w:val="center"/>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《中华人民共和国土地管理法》第七十七条　</w:t>
            </w:r>
            <w:r>
              <w:rPr>
                <w:rFonts w:hint="eastAsia" w:ascii="宋体" w:hAnsi="宋体" w:eastAsia="宋体" w:cs="宋体"/>
                <w:b w:val="0"/>
                <w:bCs w:val="0"/>
                <w:i w:val="0"/>
                <w:iCs w:val="0"/>
                <w:color w:val="000000"/>
                <w:kern w:val="0"/>
                <w:sz w:val="20"/>
                <w:szCs w:val="20"/>
                <w:u w:val="none"/>
                <w:lang w:val="en-US" w:eastAsia="zh-CN" w:bidi="ar"/>
              </w:rPr>
              <w:t>未经批准或者采取欺骗手段骗取批准，非法占用土地的，由县级以上人民政府自然资源主管部门责令退还非法占用的土地，对违反土地利用总体规划擅自将农用地改为建设用地的，限期拆除在非法占用的土地上新建的建筑物和其他设施，恢复土地原状，对符合土地利用总体规划的，没收在非法占用的土地上新建的建筑物和其他设施，可以并处罚款；对非法占用土地单位的直接负责的主管人员和其他直接责任人员，依法给予处分；构成犯罪的，依法追究刑事责任。超过批准的数量占用土地，多占的土地以非法占用土地论处。</w:t>
            </w:r>
          </w:p>
          <w:p w14:paraId="1DBED1B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《中华人民共和国土地管理法实施条例》第五十七条第一款　</w:t>
            </w:r>
            <w:r>
              <w:rPr>
                <w:rFonts w:hint="eastAsia" w:ascii="宋体" w:hAnsi="宋体" w:eastAsia="宋体" w:cs="宋体"/>
                <w:b w:val="0"/>
                <w:bCs w:val="0"/>
                <w:i w:val="0"/>
                <w:iCs w:val="0"/>
                <w:color w:val="000000"/>
                <w:kern w:val="0"/>
                <w:sz w:val="20"/>
                <w:szCs w:val="20"/>
                <w:u w:val="none"/>
                <w:lang w:val="en-US" w:eastAsia="zh-CN" w:bidi="ar"/>
              </w:rPr>
              <w:t>依照</w:t>
            </w:r>
            <w:r>
              <w:rPr>
                <w:rFonts w:hint="eastAsia" w:ascii="宋体" w:hAnsi="宋体" w:cs="宋体"/>
                <w:b w:val="0"/>
                <w:bCs w:val="0"/>
                <w:i w:val="0"/>
                <w:iCs w:val="0"/>
                <w:color w:val="000000"/>
                <w:kern w:val="0"/>
                <w:sz w:val="20"/>
                <w:szCs w:val="20"/>
                <w:u w:val="none"/>
                <w:lang w:val="en-US" w:eastAsia="zh-CN" w:bidi="ar"/>
              </w:rPr>
              <w:t>《中华人民共和国土地管理法》</w:t>
            </w:r>
            <w:r>
              <w:rPr>
                <w:rFonts w:hint="eastAsia" w:ascii="宋体" w:hAnsi="宋体" w:eastAsia="宋体" w:cs="宋体"/>
                <w:b w:val="0"/>
                <w:bCs w:val="0"/>
                <w:i w:val="0"/>
                <w:iCs w:val="0"/>
                <w:color w:val="000000"/>
                <w:kern w:val="0"/>
                <w:sz w:val="20"/>
                <w:szCs w:val="20"/>
                <w:u w:val="none"/>
                <w:lang w:val="en-US" w:eastAsia="zh-CN" w:bidi="ar"/>
              </w:rPr>
              <w:t>第七十七条的规定处以罚款的，罚款额为非法占用土地每平方米100元以上1000元以下。</w:t>
            </w: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CA750">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随机抽查</w:t>
            </w:r>
          </w:p>
        </w:tc>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538AC">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每季度至少1次</w:t>
            </w:r>
          </w:p>
        </w:tc>
        <w:tc>
          <w:tcPr>
            <w:tcW w:w="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3CD02">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现场检查</w:t>
            </w: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364AF">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否</w:t>
            </w:r>
          </w:p>
        </w:tc>
      </w:tr>
      <w:tr w14:paraId="7B9550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56" w:hRule="atLeast"/>
          <w:jc w:val="center"/>
        </w:trPr>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5F9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2</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673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准格尔旗迎泽街道办事处</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F06C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迎泽街道辖区内烟花爆竹批发经营企业、零售店、大型商超、九小场所等生产经营企业个体工商户</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ADB0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贯彻落实安全生产工作责任制，负责消防安全网格化管理，开展日常消防安全隐患排查上报，消防应急知识宣传，负责辖区内辖区内烟花爆竹批发经营企业、零售店、大型商超、九小场所生产经营企业、个体工商户等重点场所消防安全隐患排查上报；发生火情及时组织群众疏散。</w:t>
            </w:r>
          </w:p>
        </w:tc>
        <w:tc>
          <w:tcPr>
            <w:tcW w:w="7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6ABE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《中华人民共和国消防法》第三十二条</w:t>
            </w:r>
            <w:r>
              <w:rPr>
                <w:rFonts w:hint="eastAsia" w:ascii="宋体" w:hAnsi="宋体" w:eastAsia="宋体" w:cs="宋体"/>
                <w:i w:val="0"/>
                <w:iCs w:val="0"/>
                <w:color w:val="000000"/>
                <w:kern w:val="0"/>
                <w:sz w:val="20"/>
                <w:szCs w:val="20"/>
                <w:u w:val="none"/>
                <w:lang w:val="en-US" w:eastAsia="zh-CN" w:bidi="ar"/>
              </w:rPr>
              <w:t xml:space="preserve"> 乡镇人民政府、城市街道办事处应当指导、支持和帮助村民委员会、居民委员会开展群众性的消防工作。村民委员会、居民委员会应当确定消防安全管理人，组织制定防火安全公约，进行防火安全检查。</w:t>
            </w:r>
            <w:r>
              <w:rPr>
                <w:rFonts w:hint="eastAsia" w:ascii="宋体" w:hAnsi="宋体" w:eastAsia="宋体" w:cs="宋体"/>
                <w:b/>
                <w:bCs/>
                <w:i w:val="0"/>
                <w:iCs w:val="0"/>
                <w:color w:val="000000"/>
                <w:kern w:val="0"/>
                <w:sz w:val="20"/>
                <w:szCs w:val="20"/>
                <w:u w:val="none"/>
                <w:lang w:val="en-US" w:eastAsia="zh-CN" w:bidi="ar"/>
              </w:rPr>
              <w:t>第五十二条</w:t>
            </w:r>
            <w:r>
              <w:rPr>
                <w:rFonts w:hint="eastAsia" w:ascii="宋体" w:hAnsi="宋体" w:eastAsia="宋体" w:cs="宋体"/>
                <w:i w:val="0"/>
                <w:iCs w:val="0"/>
                <w:color w:val="000000"/>
                <w:kern w:val="0"/>
                <w:sz w:val="20"/>
                <w:szCs w:val="20"/>
                <w:u w:val="none"/>
                <w:lang w:val="en-US" w:eastAsia="zh-CN" w:bidi="ar"/>
              </w:rPr>
              <w:t xml:space="preserve"> 地方各级人民政府应当落实消防工作责任制，对本级人民政府有关部门履行消防安全职责的情况进行监督检查。县级以上地方人民政府有关部门应当根据本系统的特点，有针对性地开展消防安全检查，及时督促整改火灾隐患。                             </w:t>
            </w:r>
          </w:p>
          <w:p w14:paraId="255F9BA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《中华人民共和国安全生产法》第九条</w:t>
            </w:r>
            <w:r>
              <w:rPr>
                <w:rFonts w:hint="eastAsia" w:ascii="宋体" w:hAnsi="宋体" w:eastAsia="宋体" w:cs="宋体"/>
                <w:i w:val="0"/>
                <w:iCs w:val="0"/>
                <w:color w:val="000000"/>
                <w:kern w:val="0"/>
                <w:sz w:val="20"/>
                <w:szCs w:val="20"/>
                <w:u w:val="none"/>
                <w:lang w:val="en-US" w:eastAsia="zh-CN" w:bidi="ar"/>
              </w:rPr>
              <w:t> 国务院和县级以上地方各级人民政府应当加强对安全生产工作的领导， 建立健全安全生产工作协调机制，支持、督促各有关部门依法履行安全生产监督管理职责，及时协调、解决安全生产监督管理中存在的重大问题。乡镇人民政府和街道办事处，以及开发区、工业园区、港区、风景区等应当明确负责安全生产监督管理的有关工作机构及其职责，加强安全生产监管力量建设，按照职责对本行政区域或者管理区域内生产经营单位安全生产状况进行监督检查，协助人民政府有关部门或者按照授权依法履行安全生产监督管理职责。</w:t>
            </w:r>
            <w:r>
              <w:rPr>
                <w:rFonts w:hint="eastAsia" w:ascii="宋体" w:hAnsi="宋体" w:eastAsia="宋体" w:cs="宋体"/>
                <w:b/>
                <w:bCs/>
                <w:i w:val="0"/>
                <w:iCs w:val="0"/>
                <w:color w:val="000000"/>
                <w:kern w:val="0"/>
                <w:sz w:val="20"/>
                <w:szCs w:val="20"/>
                <w:u w:val="none"/>
                <w:lang w:val="en-US" w:eastAsia="zh-CN" w:bidi="ar"/>
              </w:rPr>
              <w:t>第十三条</w:t>
            </w:r>
            <w:r>
              <w:rPr>
                <w:rFonts w:hint="eastAsia" w:ascii="宋体" w:hAnsi="宋体" w:eastAsia="宋体" w:cs="宋体"/>
                <w:i w:val="0"/>
                <w:iCs w:val="0"/>
                <w:color w:val="000000"/>
                <w:kern w:val="0"/>
                <w:sz w:val="20"/>
                <w:szCs w:val="20"/>
                <w:u w:val="none"/>
                <w:lang w:val="en-US" w:eastAsia="zh-CN" w:bidi="ar"/>
              </w:rPr>
              <w:t xml:space="preserve"> 各级人民政府及其有关部门应当采取多种形式，加强对有关安全生产的法律、法规和安全生产知识的宣传，增强全社会的安全生产意识。                                                          </w:t>
            </w:r>
            <w:r>
              <w:rPr>
                <w:rFonts w:hint="eastAsia" w:ascii="宋体" w:hAnsi="宋体" w:eastAsia="宋体" w:cs="宋体"/>
                <w:b/>
                <w:bCs/>
                <w:i w:val="0"/>
                <w:iCs w:val="0"/>
                <w:color w:val="000000"/>
                <w:kern w:val="0"/>
                <w:sz w:val="20"/>
                <w:szCs w:val="20"/>
                <w:u w:val="none"/>
                <w:lang w:val="en-US" w:eastAsia="zh-CN" w:bidi="ar"/>
              </w:rPr>
              <w:t>《内蒙古自治区消防条例》第十七条</w:t>
            </w:r>
            <w:r>
              <w:rPr>
                <w:rFonts w:hint="eastAsia" w:ascii="宋体" w:hAnsi="宋体" w:eastAsia="宋体" w:cs="宋体"/>
                <w:i w:val="0"/>
                <w:iCs w:val="0"/>
                <w:color w:val="000000"/>
                <w:kern w:val="0"/>
                <w:sz w:val="20"/>
                <w:szCs w:val="20"/>
                <w:u w:val="none"/>
                <w:lang w:val="en-US" w:eastAsia="zh-CN" w:bidi="ar"/>
              </w:rPr>
              <w:t xml:space="preserve"> 苏木乡镇人民政府、街道办事处应当履行下列职责：（一）建立健全消防安全组织，明确消防工作人员和职责，制定消防安全制度，落实消防安全措施；（二）加强消防基础设施建设，指导、支持、帮助嘎查村民委员会、居民委员会开展群众性的消防工作；（三）落实消防安全网格化管理措施，组织开展消防安全检查，督促整改火灾隐患；（四）协助灭火救援、火灾事故调查和善后处理工作；（五）法律、法规规定的其他消防职责。                                                                                                                                                                                   </w:t>
            </w:r>
            <w:r>
              <w:rPr>
                <w:rFonts w:hint="eastAsia" w:ascii="宋体" w:hAnsi="宋体" w:eastAsia="宋体" w:cs="宋体"/>
                <w:b/>
                <w:bCs/>
                <w:i w:val="0"/>
                <w:iCs w:val="0"/>
                <w:color w:val="000000"/>
                <w:kern w:val="0"/>
                <w:sz w:val="20"/>
                <w:szCs w:val="20"/>
                <w:u w:val="none"/>
                <w:lang w:val="en-US" w:eastAsia="zh-CN" w:bidi="ar"/>
              </w:rPr>
              <w:t>《内蒙古自治区安全生产条例》第五条</w:t>
            </w:r>
            <w:r>
              <w:rPr>
                <w:rFonts w:hint="eastAsia" w:ascii="宋体" w:hAnsi="宋体" w:eastAsia="宋体" w:cs="宋体"/>
                <w:i w:val="0"/>
                <w:iCs w:val="0"/>
                <w:color w:val="000000"/>
                <w:kern w:val="0"/>
                <w:sz w:val="20"/>
                <w:szCs w:val="20"/>
                <w:u w:val="none"/>
                <w:lang w:val="en-US" w:eastAsia="zh-CN" w:bidi="ar"/>
              </w:rPr>
              <w:t> 旗县级以上人民政府应当加强对安全生产工作的领导，将安全生产工作纳入国民经济和社会发展规划，制定实施安全生产专项规划，及时协调、解决本行政区域内安全生产工作的重大问题，支持、督促有关部门依法履行安全生产监督管理职责。苏木乡镇人民政府以及街道办事处、开发区管理机构等人民政府的派出机关应当按照职责，加强对本行政区域内生产经营单位安全生产状况的监督检查，协助上级人民政府有关部门依法履行安全生产监督管理职责；生产经营单位集中、安全生产监督管理任务较重的，应当明确承担安全生产监督管理职责的机构，合理配备人员。居民委员会、嘎查村民委员会应当协助开展安全生产宣传教育活动，及时向所在地人民政府或者有关部门报告事故隐患、安全生产违法行为和生产安全事故。</w:t>
            </w:r>
            <w:r>
              <w:rPr>
                <w:rFonts w:hint="eastAsia" w:ascii="宋体" w:hAnsi="宋体" w:eastAsia="宋体" w:cs="宋体"/>
                <w:b/>
                <w:bCs/>
                <w:i w:val="0"/>
                <w:iCs w:val="0"/>
                <w:color w:val="000000"/>
                <w:kern w:val="0"/>
                <w:sz w:val="20"/>
                <w:szCs w:val="20"/>
                <w:u w:val="none"/>
                <w:lang w:val="en-US" w:eastAsia="zh-CN" w:bidi="ar"/>
              </w:rPr>
              <w:t>第四十七条</w:t>
            </w:r>
            <w:r>
              <w:rPr>
                <w:rFonts w:hint="eastAsia" w:ascii="宋体" w:hAnsi="宋体" w:eastAsia="宋体" w:cs="宋体"/>
                <w:i w:val="0"/>
                <w:iCs w:val="0"/>
                <w:color w:val="000000"/>
                <w:kern w:val="0"/>
                <w:sz w:val="20"/>
                <w:szCs w:val="20"/>
                <w:u w:val="none"/>
                <w:lang w:val="en-US" w:eastAsia="zh-CN" w:bidi="ar"/>
              </w:rPr>
              <w:t xml:space="preserve"> 苏木乡镇人民政府和街道办事处、开发区管理机构等人民政府的派出机关可以进入生产经营单位进行检查，对发现的安全生产违法行为、生产安全事故隐患，应当及时向负有安全生产监督管理职责的部门报告。                                                         </w:t>
            </w:r>
            <w:r>
              <w:rPr>
                <w:rFonts w:hint="eastAsia" w:ascii="宋体" w:hAnsi="宋体" w:eastAsia="宋体" w:cs="宋体"/>
                <w:b/>
                <w:bCs/>
                <w:i w:val="0"/>
                <w:iCs w:val="0"/>
                <w:color w:val="000000"/>
                <w:kern w:val="0"/>
                <w:sz w:val="20"/>
                <w:szCs w:val="20"/>
                <w:u w:val="none"/>
                <w:lang w:val="en-US" w:eastAsia="zh-CN" w:bidi="ar"/>
              </w:rPr>
              <w:t>《鄂尔多斯市消防安全责任制实施办法》第七条</w:t>
            </w:r>
            <w:r>
              <w:rPr>
                <w:rFonts w:hint="eastAsia" w:ascii="宋体" w:hAnsi="宋体" w:eastAsia="宋体" w:cs="宋体"/>
                <w:i w:val="0"/>
                <w:iCs w:val="0"/>
                <w:color w:val="000000"/>
                <w:kern w:val="0"/>
                <w:sz w:val="20"/>
                <w:szCs w:val="20"/>
                <w:u w:val="none"/>
                <w:lang w:val="en-US" w:eastAsia="zh-CN" w:bidi="ar"/>
              </w:rPr>
              <w:t>　苏木乡镇人民政府、街道办事处应当履行下列职责。（一）依托平安建设办公室等安全生产管理机构设立消防服务中心，明确专人负责，落实办公场所和经费，对辖区消防工作实施监督管理。（二）安排专用经费，用于公共消防设施建设和业务经费支出，加强消防基础设施建设。 （三）部署消防安全整治，组织开展消防安全检查，督促整改火灾隐患。 （四）实行消防安全“网格化”管理，落实消防工作制度，督促单位落实消防安全管理责任。（五）指导嘎查村民委员会、居民委员会（社区）开展群众性的消防工作，确定消防安全管理人，制定防火安全公约，根据需要建立志愿消防队或微型消防站，开展消防安全检查、宣传教育、应急疏散演练等工作。 （六）按照有关标准在农村牧区建立专（兼）职消防站、志愿消防站。</w:t>
            </w: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02879">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cs="宋体"/>
                <w:i w:val="0"/>
                <w:iCs w:val="0"/>
                <w:color w:val="000000"/>
                <w:kern w:val="0"/>
                <w:sz w:val="20"/>
                <w:szCs w:val="20"/>
                <w:u w:val="none"/>
                <w:lang w:val="en-US" w:eastAsia="zh-CN" w:bidi="ar"/>
              </w:rPr>
              <w:t>10-20%</w:t>
            </w:r>
          </w:p>
        </w:tc>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E5E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每季度至少1次</w:t>
            </w:r>
          </w:p>
        </w:tc>
        <w:tc>
          <w:tcPr>
            <w:tcW w:w="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6C7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现场检查</w:t>
            </w: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BCA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否</w:t>
            </w:r>
          </w:p>
        </w:tc>
      </w:tr>
    </w:tbl>
    <w:p w14:paraId="5A3DC47B">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sz w:val="32"/>
          <w:szCs w:val="32"/>
          <w:lang w:val="en-US" w:eastAsia="zh-CN"/>
        </w:rPr>
      </w:pPr>
    </w:p>
    <w:p w14:paraId="0FE95916">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sz w:val="32"/>
          <w:szCs w:val="32"/>
          <w:lang w:val="en-US" w:eastAsia="zh-CN"/>
        </w:rPr>
      </w:pPr>
    </w:p>
    <w:p w14:paraId="1A8F40E1">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sz w:val="32"/>
          <w:szCs w:val="32"/>
          <w:lang w:val="en-US" w:eastAsia="zh-CN"/>
        </w:rPr>
      </w:pPr>
    </w:p>
    <w:sectPr>
      <w:pgSz w:w="16838" w:h="11906" w:orient="landscape"/>
      <w:pgMar w:top="1587" w:right="1871" w:bottom="1474" w:left="1701" w:header="851" w:footer="992" w:gutter="0"/>
      <w:pgNumType w:fmt="decimal"/>
      <w:cols w:space="0" w:num="1"/>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CFAB589-0199-4622-BC43-FBC940E5D94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2" w:fontKey="{C79E0177-2DB1-4883-810A-A406EF7C81AC}"/>
  </w:font>
  <w:font w:name="方正小标宋简体">
    <w:panose1 w:val="02000000000000000000"/>
    <w:charset w:val="86"/>
    <w:family w:val="auto"/>
    <w:pitch w:val="default"/>
    <w:sig w:usb0="00000001" w:usb1="08000000" w:usb2="00000000" w:usb3="00000000" w:csb0="00040000" w:csb1="00000000"/>
    <w:embedRegular r:id="rId3" w:fontKey="{911697B0-34FD-411B-A2D2-266CDACBD433}"/>
  </w:font>
  <w:font w:name="楷体">
    <w:panose1 w:val="02010609060101010101"/>
    <w:charset w:val="86"/>
    <w:family w:val="auto"/>
    <w:pitch w:val="default"/>
    <w:sig w:usb0="800002BF" w:usb1="38CF7CFA" w:usb2="00000016" w:usb3="00000000" w:csb0="00040001" w:csb1="00000000"/>
    <w:embedRegular r:id="rId4" w:fontKey="{74DB7674-6DC8-4729-8DBA-982C6572A868}"/>
  </w:font>
  <w:font w:name="WPSEMBED1">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C90AC7">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93F1DA4">
                          <w:pPr>
                            <w:pStyle w:val="2"/>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493F1DA4">
                    <w:pPr>
                      <w:pStyle w:val="2"/>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hyphenationZone w:val="360"/>
  <w:drawingGridVerticalSpacing w:val="158"/>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19948FF"/>
    <w:rsid w:val="04793C19"/>
    <w:rsid w:val="0B8D184E"/>
    <w:rsid w:val="126006AE"/>
    <w:rsid w:val="171952CF"/>
    <w:rsid w:val="17535054"/>
    <w:rsid w:val="193DB7A1"/>
    <w:rsid w:val="1D5232E9"/>
    <w:rsid w:val="1E4075E6"/>
    <w:rsid w:val="1E884867"/>
    <w:rsid w:val="200A3D4E"/>
    <w:rsid w:val="22AF4D3A"/>
    <w:rsid w:val="2A6F54DA"/>
    <w:rsid w:val="2C416BAA"/>
    <w:rsid w:val="2C886B00"/>
    <w:rsid w:val="2E4B4D36"/>
    <w:rsid w:val="2FAB3C10"/>
    <w:rsid w:val="316B19E9"/>
    <w:rsid w:val="356E2833"/>
    <w:rsid w:val="366C3C7B"/>
    <w:rsid w:val="3C42631A"/>
    <w:rsid w:val="3CA75AC5"/>
    <w:rsid w:val="417B3B85"/>
    <w:rsid w:val="4DA71C94"/>
    <w:rsid w:val="500F7D1D"/>
    <w:rsid w:val="5408251D"/>
    <w:rsid w:val="546C0318"/>
    <w:rsid w:val="54CF7324"/>
    <w:rsid w:val="56C13995"/>
    <w:rsid w:val="56CD7DD4"/>
    <w:rsid w:val="5BF136F2"/>
    <w:rsid w:val="5C9546B7"/>
    <w:rsid w:val="5FCF040C"/>
    <w:rsid w:val="63394514"/>
    <w:rsid w:val="673D79E2"/>
    <w:rsid w:val="6A7C24DA"/>
    <w:rsid w:val="6E091096"/>
    <w:rsid w:val="6F1A77D7"/>
    <w:rsid w:val="722B0122"/>
    <w:rsid w:val="776B622F"/>
    <w:rsid w:val="79ED3E5D"/>
    <w:rsid w:val="7ADC1107"/>
    <w:rsid w:val="7B1F2573"/>
    <w:rsid w:val="7BB6DAC3"/>
    <w:rsid w:val="7DF6F797"/>
    <w:rsid w:val="7F7FCF5F"/>
    <w:rsid w:val="7FFFA5D8"/>
    <w:rsid w:val="BFBDACFE"/>
    <w:rsid w:val="DE5F6023"/>
    <w:rsid w:val="EEF832A0"/>
    <w:rsid w:val="F2DEAFCF"/>
    <w:rsid w:val="F7989455"/>
    <w:rsid w:val="F7FED255"/>
    <w:rsid w:val="FAFB34B7"/>
    <w:rsid w:val="FFF61754"/>
    <w:rsid w:val="FFFF917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0"/>
    <w:pPr>
      <w:tabs>
        <w:tab w:val="center" w:pos="4153"/>
        <w:tab w:val="right" w:pos="8306"/>
      </w:tabs>
      <w:snapToGrid w:val="0"/>
      <w:spacing w:beforeLines="0" w:afterLines="0"/>
      <w:jc w:val="left"/>
    </w:pPr>
    <w:rPr>
      <w:rFonts w:hint="default"/>
      <w:sz w:val="18"/>
      <w:szCs w:val="24"/>
    </w:rPr>
  </w:style>
  <w:style w:type="paragraph" w:styleId="3">
    <w:name w:val="header"/>
    <w:basedOn w:val="1"/>
    <w:unhideWhenUsed/>
    <w:qFormat/>
    <w:uiPriority w:val="0"/>
    <w:pPr>
      <w:pBdr>
        <w:bottom w:val="single" w:color="auto" w:sz="6" w:space="1"/>
      </w:pBdr>
      <w:tabs>
        <w:tab w:val="center" w:pos="4153"/>
        <w:tab w:val="right" w:pos="8306"/>
      </w:tabs>
      <w:snapToGrid w:val="0"/>
      <w:spacing w:beforeLines="0" w:afterLines="0"/>
      <w:jc w:val="center"/>
    </w:pPr>
    <w:rPr>
      <w:rFonts w:hint="default"/>
      <w:sz w:val="18"/>
      <w:szCs w:val="24"/>
    </w:rPr>
  </w:style>
  <w:style w:type="character" w:styleId="6">
    <w:name w:val="page number"/>
    <w:basedOn w:val="5"/>
    <w:unhideWhenUsed/>
    <w:qFormat/>
    <w:uiPriority w:val="0"/>
    <w:rPr>
      <w:rFonts w:hint="default"/>
      <w:sz w:val="24"/>
      <w:szCs w:val="24"/>
    </w:rPr>
  </w:style>
  <w:style w:type="character" w:customStyle="1" w:styleId="7">
    <w:name w:val="font51"/>
    <w:basedOn w:val="5"/>
    <w:qFormat/>
    <w:uiPriority w:val="0"/>
    <w:rPr>
      <w:rFonts w:hint="default" w:ascii="Times New Roman" w:hAnsi="Times New Roman" w:cs="Times New Roman"/>
      <w:color w:val="000000"/>
      <w:sz w:val="20"/>
      <w:szCs w:val="20"/>
      <w:u w:val="none"/>
    </w:rPr>
  </w:style>
  <w:style w:type="character" w:customStyle="1" w:styleId="8">
    <w:name w:val="font31"/>
    <w:basedOn w:val="5"/>
    <w:qFormat/>
    <w:uiPriority w:val="0"/>
    <w:rPr>
      <w:rFonts w:hint="eastAsia" w:ascii="宋体" w:hAnsi="宋体" w:eastAsia="宋体" w:cs="宋体"/>
      <w:color w:val="000000"/>
      <w:sz w:val="20"/>
      <w:szCs w:val="20"/>
      <w:u w:val="none"/>
    </w:rPr>
  </w:style>
  <w:style w:type="character" w:customStyle="1" w:styleId="9">
    <w:name w:val="font61"/>
    <w:basedOn w:val="5"/>
    <w:qFormat/>
    <w:uiPriority w:val="0"/>
    <w:rPr>
      <w:rFonts w:ascii="仿宋_GB2312" w:eastAsia="仿宋_GB2312" w:cs="仿宋_GB2312"/>
      <w:color w:val="000000"/>
      <w:sz w:val="20"/>
      <w:szCs w:val="20"/>
      <w:u w:val="none"/>
    </w:rPr>
  </w:style>
  <w:style w:type="character" w:customStyle="1" w:styleId="10">
    <w:name w:val="font71"/>
    <w:basedOn w:val="5"/>
    <w:qFormat/>
    <w:uiPriority w:val="0"/>
    <w:rPr>
      <w:rFonts w:hint="default" w:ascii="Times New Roman" w:hAnsi="Times New Roman" w:cs="Times New Roman"/>
      <w:color w:val="000000"/>
      <w:sz w:val="16"/>
      <w:szCs w:val="16"/>
      <w:u w:val="none"/>
    </w:rPr>
  </w:style>
  <w:style w:type="character" w:customStyle="1" w:styleId="11">
    <w:name w:val="font41"/>
    <w:basedOn w:val="5"/>
    <w:qFormat/>
    <w:uiPriority w:val="0"/>
    <w:rPr>
      <w:rFonts w:hint="eastAsia" w:ascii="宋体" w:hAnsi="宋体" w:eastAsia="宋体" w:cs="宋体"/>
      <w:color w:val="000000"/>
      <w:sz w:val="16"/>
      <w:szCs w:val="16"/>
      <w:u w:val="none"/>
    </w:rPr>
  </w:style>
  <w:style w:type="character" w:customStyle="1" w:styleId="12">
    <w:name w:val="font81"/>
    <w:basedOn w:val="5"/>
    <w:qFormat/>
    <w:uiPriority w:val="0"/>
    <w:rPr>
      <w:rFonts w:ascii="仿宋_GB2312" w:eastAsia="仿宋_GB2312" w:cs="仿宋_GB2312"/>
      <w:color w:val="000000"/>
      <w:sz w:val="20"/>
      <w:szCs w:val="20"/>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3520</Words>
  <Characters>3551</Characters>
  <Lines>0</Lines>
  <Paragraphs>0</Paragraphs>
  <TotalTime>0</TotalTime>
  <ScaleCrop>false</ScaleCrop>
  <LinksUpToDate>false</LinksUpToDate>
  <CharactersWithSpaces>3888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2025-03-01T09:40:00Z</dcterms:created>
  <dc:creator>yz1</dc:creator>
  <cp:lastModifiedBy>WPS_1535080285</cp:lastModifiedBy>
  <cp:lastPrinted>2026-04-14T03:41:00Z</cp:lastPrinted>
  <dcterms:modified xsi:type="dcterms:W3CDTF">2026-06-01T09:40:48Z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0AC7889CF1664471BCB1C92F2F531CD4_13</vt:lpwstr>
  </property>
  <property fmtid="{D5CDD505-2E9C-101B-9397-08002B2CF9AE}" pid="4" name="KSOTemplateDocerSaveRecord">
    <vt:lpwstr>eyJoZGlkIjoiMTk2OTI4YmMxMzc2MjEzYjIzZmVmZjM5OTliMjZkZjEiLCJ1c2VySWQiOiIzOTczOTY3MjYifQ==</vt:lpwstr>
  </property>
</Properties>
</file>