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E4C8A">
      <w:pPr>
        <w:pStyle w:val="2"/>
        <w:spacing w:line="259" w:lineRule="auto"/>
      </w:pPr>
    </w:p>
    <w:p w14:paraId="02F8C1BE">
      <w:pPr>
        <w:pStyle w:val="2"/>
        <w:spacing w:line="260" w:lineRule="auto"/>
      </w:pPr>
    </w:p>
    <w:p w14:paraId="08C06B17">
      <w:pPr>
        <w:pStyle w:val="2"/>
        <w:spacing w:line="260" w:lineRule="auto"/>
      </w:pPr>
    </w:p>
    <w:p w14:paraId="32E07F19">
      <w:pPr>
        <w:pStyle w:val="2"/>
        <w:spacing w:line="448" w:lineRule="auto"/>
      </w:pPr>
    </w:p>
    <w:p w14:paraId="15772735">
      <w:pPr>
        <w:spacing w:before="137" w:line="219" w:lineRule="auto"/>
        <w:ind w:left="121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19"/>
          <w:sz w:val="42"/>
          <w:szCs w:val="42"/>
        </w:rPr>
        <w:t>准格尔旗统计局关于印发2025年度</w:t>
      </w:r>
    </w:p>
    <w:p w14:paraId="7102E93C">
      <w:pPr>
        <w:spacing w:before="29" w:line="219" w:lineRule="auto"/>
        <w:ind w:left="73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33"/>
          <w:sz w:val="42"/>
          <w:szCs w:val="42"/>
        </w:rPr>
        <w:t>“双随机、一公开”抽查工作计划的通知</w:t>
      </w:r>
    </w:p>
    <w:p w14:paraId="1BCC8C24">
      <w:pPr>
        <w:pStyle w:val="2"/>
        <w:spacing w:line="318" w:lineRule="auto"/>
      </w:pPr>
    </w:p>
    <w:p w14:paraId="5A8955A0">
      <w:pPr>
        <w:pStyle w:val="2"/>
        <w:spacing w:line="319" w:lineRule="auto"/>
      </w:pPr>
    </w:p>
    <w:p w14:paraId="1F94BECD">
      <w:pPr>
        <w:spacing w:before="89" w:line="221" w:lineRule="auto"/>
        <w:ind w:left="324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8"/>
          <w:sz w:val="27"/>
          <w:szCs w:val="27"/>
        </w:rPr>
        <w:t>城乡社会经济调查队、各股室：</w:t>
      </w:r>
    </w:p>
    <w:p w14:paraId="76A1DA92">
      <w:pPr>
        <w:spacing w:before="218" w:line="388" w:lineRule="auto"/>
        <w:ind w:left="324" w:firstLine="570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4"/>
          <w:sz w:val="27"/>
          <w:szCs w:val="27"/>
        </w:rPr>
        <w:t>现将《准格尔旗统计局关于印发2025年度“双随机、</w:t>
      </w:r>
      <w:r>
        <w:rPr>
          <w:rFonts w:ascii="仿宋" w:hAnsi="仿宋" w:eastAsia="仿宋" w:cs="仿宋"/>
          <w:spacing w:val="-19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4"/>
          <w:sz w:val="27"/>
          <w:szCs w:val="27"/>
        </w:rPr>
        <w:t>一公开”</w:t>
      </w:r>
      <w:r>
        <w:rPr>
          <w:rFonts w:ascii="仿宋" w:hAnsi="仿宋" w:eastAsia="仿宋" w:cs="仿宋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10"/>
          <w:sz w:val="27"/>
          <w:szCs w:val="27"/>
        </w:rPr>
        <w:t>抽查工作计划》印发给你们，请认真贯彻执行。</w:t>
      </w:r>
    </w:p>
    <w:p w14:paraId="6BF08A7A">
      <w:pPr>
        <w:pStyle w:val="2"/>
        <w:spacing w:line="287" w:lineRule="auto"/>
      </w:pPr>
    </w:p>
    <w:p w14:paraId="4B42A3B8">
      <w:pPr>
        <w:pStyle w:val="2"/>
        <w:spacing w:line="288" w:lineRule="auto"/>
      </w:pPr>
    </w:p>
    <w:p w14:paraId="4ED4A4AB">
      <w:pPr>
        <w:pStyle w:val="2"/>
        <w:spacing w:line="288" w:lineRule="auto"/>
      </w:pPr>
    </w:p>
    <w:p w14:paraId="41A2303B">
      <w:pPr>
        <w:spacing w:before="88" w:line="222" w:lineRule="auto"/>
        <w:ind w:left="5595"/>
      </w:pPr>
      <w:r>
        <w:rPr>
          <w:rFonts w:ascii="仿宋" w:hAnsi="仿宋" w:eastAsia="仿宋" w:cs="仿宋"/>
          <w:spacing w:val="19"/>
          <w:sz w:val="27"/>
          <w:szCs w:val="27"/>
        </w:rPr>
        <w:t>准格尔旗统计局</w:t>
      </w:r>
    </w:p>
    <w:p w14:paraId="0CCB85CB">
      <w:pPr>
        <w:spacing w:before="88" w:line="222" w:lineRule="auto"/>
        <w:ind w:left="5494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39"/>
          <w:w w:val="103"/>
          <w:sz w:val="27"/>
          <w:szCs w:val="27"/>
        </w:rPr>
        <w:t>2025年2月27日</w:t>
      </w:r>
    </w:p>
    <w:p w14:paraId="2C7092B6">
      <w:pPr>
        <w:spacing w:line="222" w:lineRule="auto"/>
        <w:rPr>
          <w:rFonts w:ascii="仿宋" w:hAnsi="仿宋" w:eastAsia="仿宋" w:cs="仿宋"/>
          <w:sz w:val="27"/>
          <w:szCs w:val="27"/>
        </w:rPr>
        <w:sectPr>
          <w:pgSz w:w="11900" w:h="16840"/>
          <w:pgMar w:top="1431" w:right="1696" w:bottom="0" w:left="1785" w:header="0" w:footer="0" w:gutter="0"/>
          <w:cols w:space="720" w:num="1"/>
        </w:sectPr>
      </w:pPr>
    </w:p>
    <w:p w14:paraId="59095978">
      <w:pPr>
        <w:pStyle w:val="2"/>
        <w:spacing w:line="255" w:lineRule="auto"/>
      </w:pPr>
    </w:p>
    <w:p w14:paraId="6C0F9449">
      <w:pPr>
        <w:pStyle w:val="2"/>
        <w:spacing w:line="255" w:lineRule="auto"/>
      </w:pPr>
    </w:p>
    <w:p w14:paraId="6D3F2CC5">
      <w:pPr>
        <w:pStyle w:val="2"/>
        <w:spacing w:line="255" w:lineRule="auto"/>
      </w:pPr>
    </w:p>
    <w:p w14:paraId="4FFAE1AA">
      <w:pPr>
        <w:pStyle w:val="2"/>
        <w:spacing w:line="255" w:lineRule="auto"/>
      </w:pPr>
    </w:p>
    <w:p w14:paraId="266673E3">
      <w:pPr>
        <w:pStyle w:val="2"/>
        <w:spacing w:line="255" w:lineRule="auto"/>
      </w:pPr>
    </w:p>
    <w:p w14:paraId="5F1EE515">
      <w:pPr>
        <w:spacing w:before="134" w:line="219" w:lineRule="auto"/>
        <w:ind w:left="430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-4"/>
          <w:sz w:val="41"/>
          <w:szCs w:val="41"/>
        </w:rPr>
        <w:t>2025年度“双随机、一公开”抽查工作计划</w:t>
      </w:r>
    </w:p>
    <w:p w14:paraId="12A863EB">
      <w:pPr>
        <w:pStyle w:val="2"/>
        <w:spacing w:line="266" w:lineRule="auto"/>
      </w:pPr>
    </w:p>
    <w:p w14:paraId="4D980DCB">
      <w:pPr>
        <w:pStyle w:val="2"/>
        <w:spacing w:line="267" w:lineRule="auto"/>
      </w:pPr>
    </w:p>
    <w:p w14:paraId="03F1E6F8">
      <w:pPr>
        <w:spacing w:before="94" w:line="331" w:lineRule="auto"/>
        <w:ind w:left="255" w:right="65" w:firstLine="609"/>
        <w:jc w:val="both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10"/>
          <w:sz w:val="29"/>
          <w:szCs w:val="29"/>
        </w:rPr>
        <w:t>为切实做好2025年准格尔旗统计局统计执法检查和数据质</w:t>
      </w:r>
      <w:r>
        <w:rPr>
          <w:rFonts w:ascii="仿宋" w:hAnsi="仿宋" w:eastAsia="仿宋" w:cs="仿宋"/>
          <w:b w:val="0"/>
          <w:bCs w:val="0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>量监控工作，充分发挥统计监督职能作用，根据《准格尔旗“双</w:t>
      </w:r>
      <w:r>
        <w:rPr>
          <w:rFonts w:ascii="仿宋" w:hAnsi="仿宋" w:eastAsia="仿宋" w:cs="仿宋"/>
          <w:b w:val="0"/>
          <w:bCs w:val="0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0"/>
          <w:sz w:val="29"/>
          <w:szCs w:val="29"/>
        </w:rPr>
        <w:t>随机、一公开”联席会议办公室关于制定“双随机、一公开”工作</w:t>
      </w:r>
      <w:r>
        <w:rPr>
          <w:rFonts w:ascii="仿宋" w:hAnsi="仿宋" w:eastAsia="仿宋" w:cs="仿宋"/>
          <w:b w:val="0"/>
          <w:bCs w:val="0"/>
          <w:spacing w:val="13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>计划、更新随机抽查事项清单及公示的通知》文件要求，结合统</w:t>
      </w:r>
      <w:r>
        <w:rPr>
          <w:rFonts w:ascii="仿宋" w:hAnsi="仿宋" w:eastAsia="仿宋" w:cs="仿宋"/>
          <w:b w:val="0"/>
          <w:bCs w:val="0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3"/>
          <w:sz w:val="29"/>
          <w:szCs w:val="29"/>
        </w:rPr>
        <w:t>计工作实际，制定本计划：</w:t>
      </w:r>
    </w:p>
    <w:p w14:paraId="635C2495">
      <w:pPr>
        <w:spacing w:before="15" w:line="224" w:lineRule="auto"/>
        <w:ind w:left="84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-9"/>
          <w:sz w:val="29"/>
          <w:szCs w:val="29"/>
        </w:rPr>
        <w:t>一</w:t>
      </w:r>
      <w:r>
        <w:rPr>
          <w:rFonts w:ascii="黑体" w:hAnsi="黑体" w:eastAsia="黑体" w:cs="黑体"/>
          <w:b w:val="0"/>
          <w:bCs w:val="0"/>
          <w:spacing w:val="-80"/>
          <w:sz w:val="29"/>
          <w:szCs w:val="29"/>
        </w:rPr>
        <w:t xml:space="preserve"> </w:t>
      </w:r>
      <w:r>
        <w:rPr>
          <w:rFonts w:ascii="黑体" w:hAnsi="黑体" w:eastAsia="黑体" w:cs="黑体"/>
          <w:b w:val="0"/>
          <w:bCs w:val="0"/>
          <w:spacing w:val="-9"/>
          <w:sz w:val="29"/>
          <w:szCs w:val="29"/>
        </w:rPr>
        <w:t>、总体目标</w:t>
      </w:r>
    </w:p>
    <w:p w14:paraId="3838BD52">
      <w:pPr>
        <w:spacing w:before="214" w:line="327" w:lineRule="auto"/>
        <w:ind w:left="255" w:right="77" w:firstLine="609"/>
        <w:jc w:val="both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及时了解和掌握企业贯彻执行统计法律法规制度情况，发现</w:t>
      </w:r>
      <w:r>
        <w:rPr>
          <w:rFonts w:ascii="仿宋" w:hAnsi="仿宋" w:eastAsia="仿宋" w:cs="仿宋"/>
          <w:b w:val="0"/>
          <w:bCs w:val="0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统计违法行为，完善统计基础工作，提升统计执法规范化、标准</w:t>
      </w:r>
      <w:r>
        <w:rPr>
          <w:rFonts w:ascii="仿宋" w:hAnsi="仿宋" w:eastAsia="仿宋" w:cs="仿宋"/>
          <w:b w:val="0"/>
          <w:bCs w:val="0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1"/>
          <w:sz w:val="29"/>
          <w:szCs w:val="29"/>
        </w:rPr>
        <w:t>化水平，推动各项法治工作落实，切实提高统计数据质量。</w:t>
      </w:r>
    </w:p>
    <w:p w14:paraId="62BE7618">
      <w:pPr>
        <w:spacing w:line="223" w:lineRule="auto"/>
        <w:ind w:left="86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1"/>
          <w:sz w:val="29"/>
          <w:szCs w:val="29"/>
        </w:rPr>
        <w:t>二、抽查范围</w:t>
      </w:r>
    </w:p>
    <w:p w14:paraId="25253426">
      <w:pPr>
        <w:spacing w:before="210" w:line="332" w:lineRule="auto"/>
        <w:ind w:left="255" w:right="29" w:firstLine="609"/>
        <w:jc w:val="both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以全旗联网直报单位为主，包括规模以上工业企业、限</w:t>
      </w:r>
      <w:r>
        <w:rPr>
          <w:rFonts w:ascii="仿宋" w:hAnsi="仿宋" w:eastAsia="仿宋" w:cs="仿宋"/>
          <w:b w:val="0"/>
          <w:bCs w:val="0"/>
          <w:spacing w:val="-2"/>
          <w:sz w:val="29"/>
          <w:szCs w:val="29"/>
        </w:rPr>
        <w:t>额以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2"/>
          <w:sz w:val="29"/>
          <w:szCs w:val="29"/>
        </w:rPr>
        <w:t>上批零住餐企业、规模以上服务业企业、有资质的建筑业企</w:t>
      </w:r>
      <w:r>
        <w:rPr>
          <w:rFonts w:ascii="仿宋" w:hAnsi="仿宋" w:eastAsia="仿宋" w:cs="仿宋"/>
          <w:b w:val="0"/>
          <w:bCs w:val="0"/>
          <w:spacing w:val="1"/>
          <w:sz w:val="29"/>
          <w:szCs w:val="29"/>
        </w:rPr>
        <w:t>业、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有开发经营活动的房地产企业等。</w:t>
      </w:r>
    </w:p>
    <w:p w14:paraId="6C861E97">
      <w:pPr>
        <w:spacing w:before="15" w:line="223" w:lineRule="auto"/>
        <w:ind w:left="86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1"/>
          <w:sz w:val="29"/>
          <w:szCs w:val="29"/>
        </w:rPr>
        <w:t>三、检查时间</w:t>
      </w:r>
    </w:p>
    <w:p w14:paraId="3F247354">
      <w:pPr>
        <w:spacing w:before="187" w:line="220" w:lineRule="auto"/>
        <w:ind w:left="865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检查时间从4月下旬开始至11月底结束。</w:t>
      </w:r>
    </w:p>
    <w:p w14:paraId="086671F9">
      <w:pPr>
        <w:spacing w:before="176" w:line="222" w:lineRule="auto"/>
        <w:ind w:left="86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-1"/>
          <w:sz w:val="29"/>
          <w:szCs w:val="29"/>
        </w:rPr>
        <w:t>四、抽查内容</w:t>
      </w:r>
    </w:p>
    <w:p w14:paraId="4226672D">
      <w:pPr>
        <w:spacing w:before="200" w:line="220" w:lineRule="auto"/>
        <w:ind w:left="994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8"/>
          <w:sz w:val="29"/>
          <w:szCs w:val="29"/>
        </w:rPr>
        <w:t>(一)调查对象依法设置原始记录、统计台账情况检查。</w:t>
      </w:r>
    </w:p>
    <w:p w14:paraId="2A8A8474">
      <w:pPr>
        <w:spacing w:before="205" w:line="287" w:lineRule="auto"/>
        <w:ind w:left="255" w:firstLine="73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8"/>
          <w:sz w:val="29"/>
          <w:szCs w:val="29"/>
        </w:rPr>
        <w:t>(二)主要统计指标数据的准确性。数据来源是否有依据，</w:t>
      </w:r>
      <w:r>
        <w:rPr>
          <w:rFonts w:ascii="仿宋" w:hAnsi="仿宋" w:eastAsia="仿宋" w:cs="仿宋"/>
          <w:b w:val="0"/>
          <w:bCs w:val="0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3"/>
          <w:sz w:val="29"/>
          <w:szCs w:val="29"/>
        </w:rPr>
        <w:t>是否有迟报、瞒报、漏报等现象，数据填报口径是否准确等。</w:t>
      </w:r>
    </w:p>
    <w:p w14:paraId="13D14E00">
      <w:pPr>
        <w:spacing w:before="156" w:line="221" w:lineRule="auto"/>
        <w:ind w:left="869"/>
        <w:outlineLvl w:val="2"/>
        <w:rPr>
          <w:b w:val="0"/>
          <w:bCs w:val="0"/>
        </w:rPr>
      </w:pPr>
      <w:r>
        <w:rPr>
          <w:rFonts w:ascii="黑体" w:hAnsi="黑体" w:eastAsia="黑体" w:cs="黑体"/>
          <w:b w:val="0"/>
          <w:bCs w:val="0"/>
          <w:spacing w:val="2"/>
          <w:sz w:val="29"/>
          <w:szCs w:val="29"/>
        </w:rPr>
        <w:t>五、抽查方式</w:t>
      </w:r>
      <w:bookmarkStart w:id="0" w:name="_GoBack"/>
      <w:bookmarkEnd w:id="0"/>
    </w:p>
    <w:p w14:paraId="54DAFDF3">
      <w:pPr>
        <w:spacing w:before="94" w:line="332" w:lineRule="auto"/>
        <w:ind w:left="175" w:right="355" w:firstLine="54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-4"/>
          <w:sz w:val="29"/>
          <w:szCs w:val="29"/>
        </w:rPr>
        <w:t>统计执法监督检查采用“双随机”执法检查和重点执法检查</w:t>
      </w:r>
      <w:r>
        <w:rPr>
          <w:rFonts w:ascii="仿宋" w:hAnsi="仿宋" w:eastAsia="仿宋" w:cs="仿宋"/>
          <w:b w:val="0"/>
          <w:bCs w:val="0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6"/>
          <w:sz w:val="29"/>
          <w:szCs w:val="29"/>
        </w:rPr>
        <w:t>相结合的方式进行。</w:t>
      </w:r>
    </w:p>
    <w:p w14:paraId="13A85B8D">
      <w:pPr>
        <w:spacing w:before="16" w:line="279" w:lineRule="auto"/>
        <w:ind w:left="175" w:right="294" w:firstLine="68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楷体" w:hAnsi="楷体" w:eastAsia="楷体" w:cs="楷体"/>
          <w:b w:val="0"/>
          <w:bCs w:val="0"/>
          <w:spacing w:val="4"/>
          <w:sz w:val="29"/>
          <w:szCs w:val="29"/>
        </w:rPr>
        <w:t>(一)部门内双随机执法检查。</w:t>
      </w:r>
      <w:r>
        <w:rPr>
          <w:rFonts w:ascii="仿宋" w:hAnsi="仿宋" w:eastAsia="仿宋" w:cs="仿宋"/>
          <w:b w:val="0"/>
          <w:bCs w:val="0"/>
          <w:spacing w:val="4"/>
          <w:sz w:val="29"/>
          <w:szCs w:val="29"/>
        </w:rPr>
        <w:t>按照《统计执法监督检查办</w:t>
      </w:r>
      <w:r>
        <w:rPr>
          <w:rFonts w:ascii="仿宋" w:hAnsi="仿宋" w:eastAsia="仿宋" w:cs="仿宋"/>
          <w:b w:val="0"/>
          <w:bCs w:val="0"/>
          <w:spacing w:val="13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3"/>
          <w:sz w:val="29"/>
          <w:szCs w:val="29"/>
        </w:rPr>
        <w:t>法》,对检查对象开展部门内双随机执法检</w:t>
      </w:r>
      <w:r>
        <w:rPr>
          <w:rFonts w:ascii="仿宋" w:hAnsi="仿宋" w:eastAsia="仿宋" w:cs="仿宋"/>
          <w:b w:val="0"/>
          <w:bCs w:val="0"/>
          <w:spacing w:val="-4"/>
          <w:sz w:val="29"/>
          <w:szCs w:val="29"/>
        </w:rPr>
        <w:t>查。</w:t>
      </w:r>
    </w:p>
    <w:p w14:paraId="79F9FF54">
      <w:pPr>
        <w:spacing w:before="204" w:line="294" w:lineRule="auto"/>
        <w:ind w:left="175" w:right="228" w:firstLine="68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楷体" w:hAnsi="楷体" w:eastAsia="楷体" w:cs="楷体"/>
          <w:b w:val="0"/>
          <w:bCs w:val="0"/>
          <w:spacing w:val="6"/>
          <w:sz w:val="29"/>
          <w:szCs w:val="29"/>
        </w:rPr>
        <w:t>(二)部门联合执法检查</w:t>
      </w:r>
      <w:r>
        <w:rPr>
          <w:rFonts w:ascii="仿宋" w:hAnsi="仿宋" w:eastAsia="仿宋" w:cs="仿宋"/>
          <w:b w:val="0"/>
          <w:bCs w:val="0"/>
          <w:spacing w:val="6"/>
          <w:sz w:val="29"/>
          <w:szCs w:val="29"/>
        </w:rPr>
        <w:t>。按照2025年度双随机、</w:t>
      </w:r>
      <w:r>
        <w:rPr>
          <w:rFonts w:ascii="仿宋" w:hAnsi="仿宋" w:eastAsia="仿宋" w:cs="仿宋"/>
          <w:b w:val="0"/>
          <w:bCs w:val="0"/>
          <w:spacing w:val="93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6"/>
          <w:sz w:val="29"/>
          <w:szCs w:val="29"/>
        </w:rPr>
        <w:t>一公开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0"/>
          <w:sz w:val="29"/>
          <w:szCs w:val="29"/>
        </w:rPr>
        <w:t>部门联合抽查任务要求，全面落实统计执法检查“双随机”制度，</w:t>
      </w:r>
      <w:r>
        <w:rPr>
          <w:rFonts w:ascii="仿宋" w:hAnsi="仿宋" w:eastAsia="仿宋" w:cs="仿宋"/>
          <w:b w:val="0"/>
          <w:bCs w:val="0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4"/>
          <w:sz w:val="29"/>
          <w:szCs w:val="29"/>
        </w:rPr>
        <w:t>选取3户企业与市场监督管理局联合开展执法检查。</w:t>
      </w:r>
    </w:p>
    <w:p w14:paraId="6C87AA74">
      <w:pPr>
        <w:spacing w:before="194" w:line="294" w:lineRule="auto"/>
        <w:ind w:left="175" w:right="280" w:firstLine="68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楷体" w:hAnsi="楷体" w:eastAsia="楷体" w:cs="楷体"/>
          <w:b w:val="0"/>
          <w:bCs w:val="0"/>
          <w:spacing w:val="4"/>
          <w:sz w:val="29"/>
          <w:szCs w:val="29"/>
        </w:rPr>
        <w:t>(三)统计违法线索执法检查</w:t>
      </w:r>
      <w:r>
        <w:rPr>
          <w:rFonts w:ascii="仿宋" w:hAnsi="仿宋" w:eastAsia="仿宋" w:cs="仿宋"/>
          <w:b w:val="0"/>
          <w:bCs w:val="0"/>
          <w:spacing w:val="4"/>
          <w:sz w:val="29"/>
          <w:szCs w:val="29"/>
        </w:rPr>
        <w:t>。对领导批示、群众举</w:t>
      </w:r>
      <w:r>
        <w:rPr>
          <w:rFonts w:ascii="仿宋" w:hAnsi="仿宋" w:eastAsia="仿宋" w:cs="仿宋"/>
          <w:b w:val="0"/>
          <w:bCs w:val="0"/>
          <w:spacing w:val="3"/>
          <w:sz w:val="29"/>
          <w:szCs w:val="29"/>
        </w:rPr>
        <w:t>报、部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2"/>
          <w:sz w:val="29"/>
          <w:szCs w:val="29"/>
        </w:rPr>
        <w:t>门移送和自治区、市统计局批转，各专业股室提供的统计违法线</w:t>
      </w:r>
      <w:r>
        <w:rPr>
          <w:rFonts w:ascii="仿宋" w:hAnsi="仿宋" w:eastAsia="仿宋" w:cs="仿宋"/>
          <w:b w:val="0"/>
          <w:bCs w:val="0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7"/>
          <w:sz w:val="29"/>
          <w:szCs w:val="29"/>
        </w:rPr>
        <w:t>索开展专项执法检查。</w:t>
      </w:r>
    </w:p>
    <w:p w14:paraId="01BBC419">
      <w:pPr>
        <w:spacing w:before="180" w:line="225" w:lineRule="auto"/>
        <w:ind w:left="72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-1"/>
          <w:sz w:val="29"/>
          <w:szCs w:val="29"/>
        </w:rPr>
        <w:t>六、抽查结果运用</w:t>
      </w:r>
    </w:p>
    <w:p w14:paraId="43933CFF">
      <w:pPr>
        <w:spacing w:before="203" w:line="337" w:lineRule="auto"/>
        <w:ind w:left="104" w:right="54" w:firstLine="619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-3"/>
          <w:sz w:val="29"/>
          <w:szCs w:val="29"/>
        </w:rPr>
        <w:t>对检查中发现的涉嫌违法违规情形，属于我局职责范围内</w:t>
      </w:r>
      <w:r>
        <w:rPr>
          <w:rFonts w:ascii="仿宋" w:hAnsi="仿宋" w:eastAsia="仿宋" w:cs="仿宋"/>
          <w:b w:val="0"/>
          <w:bCs w:val="0"/>
          <w:spacing w:val="-4"/>
          <w:sz w:val="29"/>
          <w:szCs w:val="29"/>
        </w:rPr>
        <w:t>的，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按规定及时做出处理决定。属于其他部门管辖范围的，及时移交</w:t>
      </w:r>
      <w:r>
        <w:rPr>
          <w:rFonts w:ascii="仿宋" w:hAnsi="仿宋" w:eastAsia="仿宋" w:cs="仿宋"/>
          <w:b w:val="0"/>
          <w:bCs w:val="0"/>
          <w:spacing w:val="3"/>
          <w:sz w:val="29"/>
          <w:szCs w:val="29"/>
        </w:rPr>
        <w:t xml:space="preserve">  </w:t>
      </w:r>
      <w:r>
        <w:rPr>
          <w:rFonts w:ascii="仿宋" w:hAnsi="仿宋" w:eastAsia="仿宋" w:cs="仿宋"/>
          <w:b w:val="0"/>
          <w:bCs w:val="0"/>
          <w:spacing w:val="10"/>
          <w:sz w:val="29"/>
          <w:szCs w:val="29"/>
        </w:rPr>
        <w:t>相关部门处理。同时按要求在抽查检查工作结束之日起20个工</w:t>
      </w:r>
      <w:r>
        <w:rPr>
          <w:rFonts w:ascii="仿宋" w:hAnsi="仿宋" w:eastAsia="仿宋" w:cs="仿宋"/>
          <w:b w:val="0"/>
          <w:bCs w:val="0"/>
          <w:spacing w:val="4"/>
          <w:sz w:val="29"/>
          <w:szCs w:val="29"/>
        </w:rPr>
        <w:t xml:space="preserve">  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>作日内通过国家企业信用信息公示系统“部门协同监管平台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”录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 xml:space="preserve">  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入并公示抽查检查结果，向社会公示。</w:t>
      </w:r>
    </w:p>
    <w:p w14:paraId="59445D0C">
      <w:pPr>
        <w:spacing w:before="52" w:line="222" w:lineRule="auto"/>
        <w:ind w:left="729"/>
        <w:outlineLvl w:val="2"/>
        <w:rPr>
          <w:rFonts w:ascii="黑体" w:hAnsi="黑体" w:eastAsia="黑体" w:cs="黑体"/>
          <w:b w:val="0"/>
          <w:bCs w:val="0"/>
          <w:sz w:val="29"/>
          <w:szCs w:val="29"/>
        </w:rPr>
      </w:pPr>
      <w:r>
        <w:rPr>
          <w:rFonts w:ascii="黑体" w:hAnsi="黑体" w:eastAsia="黑体" w:cs="黑体"/>
          <w:b w:val="0"/>
          <w:bCs w:val="0"/>
          <w:spacing w:val="-5"/>
          <w:sz w:val="29"/>
          <w:szCs w:val="29"/>
        </w:rPr>
        <w:t>七、抽查要求</w:t>
      </w:r>
    </w:p>
    <w:p w14:paraId="5FCA5636">
      <w:pPr>
        <w:spacing w:before="174" w:line="352" w:lineRule="auto"/>
        <w:ind w:left="104" w:firstLine="720"/>
        <w:rPr>
          <w:rFonts w:ascii="仿宋" w:hAnsi="仿宋" w:eastAsia="仿宋" w:cs="仿宋"/>
          <w:b w:val="0"/>
          <w:bCs w:val="0"/>
          <w:sz w:val="23"/>
          <w:szCs w:val="23"/>
        </w:rPr>
      </w:pPr>
      <w:r>
        <w:rPr>
          <w:rFonts w:ascii="仿宋" w:hAnsi="仿宋" w:eastAsia="仿宋" w:cs="仿宋"/>
          <w:b w:val="0"/>
          <w:bCs w:val="0"/>
          <w:spacing w:val="17"/>
          <w:sz w:val="29"/>
          <w:szCs w:val="29"/>
        </w:rPr>
        <w:t>(一)各股室要进一步增强责任意识，大力推广“双随机”</w:t>
      </w:r>
      <w:r>
        <w:rPr>
          <w:rFonts w:ascii="仿宋" w:hAnsi="仿宋" w:eastAsia="仿宋" w:cs="仿宋"/>
          <w:b w:val="0"/>
          <w:bCs w:val="0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29"/>
          <w:szCs w:val="29"/>
        </w:rPr>
        <w:t>抽查工作制度，公平、有效、透明地进行事中事后监管，切实履</w:t>
      </w:r>
      <w:r>
        <w:rPr>
          <w:rFonts w:ascii="仿宋" w:hAnsi="仿宋" w:eastAsia="仿宋" w:cs="仿宋"/>
          <w:b w:val="0"/>
          <w:bCs w:val="0"/>
          <w:spacing w:val="2"/>
          <w:sz w:val="29"/>
          <w:szCs w:val="29"/>
        </w:rPr>
        <w:t xml:space="preserve">   </w:t>
      </w:r>
      <w:r>
        <w:rPr>
          <w:rFonts w:ascii="仿宋" w:hAnsi="仿宋" w:eastAsia="仿宋" w:cs="仿宋"/>
          <w:b w:val="0"/>
          <w:bCs w:val="0"/>
          <w:sz w:val="29"/>
          <w:szCs w:val="29"/>
        </w:rPr>
        <w:t>行法定监管职责。强化过程管控，落实责任分工，确保工作落到</w:t>
      </w:r>
      <w:r>
        <w:rPr>
          <w:rFonts w:ascii="仿宋" w:hAnsi="仿宋" w:eastAsia="仿宋" w:cs="仿宋"/>
          <w:b w:val="0"/>
          <w:bCs w:val="0"/>
          <w:spacing w:val="5"/>
          <w:sz w:val="29"/>
          <w:szCs w:val="29"/>
        </w:rPr>
        <w:t xml:space="preserve">   </w:t>
      </w:r>
      <w:r>
        <w:rPr>
          <w:rFonts w:ascii="仿宋" w:hAnsi="仿宋" w:eastAsia="仿宋" w:cs="仿宋"/>
          <w:b w:val="0"/>
          <w:bCs w:val="0"/>
          <w:spacing w:val="-12"/>
          <w:sz w:val="23"/>
          <w:szCs w:val="23"/>
        </w:rPr>
        <w:t>实</w:t>
      </w:r>
      <w:r>
        <w:rPr>
          <w:rFonts w:ascii="仿宋" w:hAnsi="仿宋" w:eastAsia="仿宋" w:cs="仿宋"/>
          <w:b w:val="0"/>
          <w:bCs w:val="0"/>
          <w:spacing w:val="-22"/>
          <w:sz w:val="23"/>
          <w:szCs w:val="23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2"/>
          <w:sz w:val="23"/>
          <w:szCs w:val="23"/>
        </w:rPr>
        <w:t>处</w:t>
      </w:r>
      <w:r>
        <w:rPr>
          <w:rFonts w:ascii="仿宋" w:hAnsi="仿宋" w:eastAsia="仿宋" w:cs="仿宋"/>
          <w:b w:val="0"/>
          <w:bCs w:val="0"/>
          <w:spacing w:val="-38"/>
          <w:sz w:val="23"/>
          <w:szCs w:val="23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2"/>
          <w:sz w:val="23"/>
          <w:szCs w:val="23"/>
        </w:rPr>
        <w:t>。</w:t>
      </w:r>
    </w:p>
    <w:p w14:paraId="65638F0A">
      <w:pPr>
        <w:spacing w:before="17" w:line="219" w:lineRule="auto"/>
        <w:jc w:val="right"/>
        <w:rPr>
          <w:rFonts w:ascii="仿宋" w:hAnsi="仿宋" w:eastAsia="仿宋" w:cs="仿宋"/>
          <w:b w:val="0"/>
          <w:bCs w:val="0"/>
          <w:sz w:val="29"/>
          <w:szCs w:val="29"/>
        </w:rPr>
      </w:pPr>
      <w:r>
        <w:rPr>
          <w:rFonts w:ascii="仿宋" w:hAnsi="仿宋" w:eastAsia="仿宋" w:cs="仿宋"/>
          <w:b w:val="0"/>
          <w:bCs w:val="0"/>
          <w:spacing w:val="18"/>
          <w:sz w:val="29"/>
          <w:szCs w:val="29"/>
        </w:rPr>
        <w:t>(二)统计局设计管理与统计执法监督股在开展“双随机”</w:t>
      </w:r>
    </w:p>
    <w:p w14:paraId="396B6976">
      <w:pPr>
        <w:spacing w:line="219" w:lineRule="auto"/>
        <w:rPr>
          <w:rFonts w:ascii="仿宋" w:hAnsi="仿宋" w:eastAsia="仿宋" w:cs="仿宋"/>
          <w:b w:val="0"/>
          <w:bCs w:val="0"/>
          <w:sz w:val="29"/>
          <w:szCs w:val="29"/>
        </w:rPr>
        <w:sectPr>
          <w:footerReference r:id="rId5" w:type="default"/>
          <w:pgSz w:w="11900" w:h="16840"/>
          <w:pgMar w:top="1431" w:right="1586" w:bottom="2309" w:left="1785" w:header="0" w:footer="1932" w:gutter="0"/>
          <w:cols w:space="720" w:num="1"/>
        </w:sectPr>
      </w:pPr>
    </w:p>
    <w:p w14:paraId="7C00D5C9">
      <w:pPr>
        <w:pStyle w:val="2"/>
        <w:spacing w:line="305" w:lineRule="auto"/>
        <w:rPr>
          <w:b w:val="0"/>
          <w:bCs w:val="0"/>
        </w:rPr>
      </w:pPr>
    </w:p>
    <w:p w14:paraId="29382407">
      <w:pPr>
        <w:pStyle w:val="2"/>
        <w:spacing w:line="305" w:lineRule="auto"/>
        <w:rPr>
          <w:b w:val="0"/>
          <w:bCs w:val="0"/>
        </w:rPr>
      </w:pPr>
    </w:p>
    <w:p w14:paraId="5F909525">
      <w:pPr>
        <w:pStyle w:val="2"/>
        <w:spacing w:line="305" w:lineRule="auto"/>
        <w:rPr>
          <w:b w:val="0"/>
          <w:bCs w:val="0"/>
        </w:rPr>
      </w:pPr>
    </w:p>
    <w:p w14:paraId="5044A663">
      <w:pPr>
        <w:spacing w:before="91" w:line="362" w:lineRule="auto"/>
        <w:ind w:left="414" w:right="235"/>
        <w:jc w:val="both"/>
        <w:rPr>
          <w:rFonts w:ascii="仿宋" w:hAnsi="仿宋" w:eastAsia="仿宋" w:cs="仿宋"/>
          <w:b w:val="0"/>
          <w:bCs w:val="0"/>
          <w:sz w:val="21"/>
          <w:szCs w:val="21"/>
        </w:rPr>
      </w:pPr>
      <w:r>
        <w:rPr>
          <w:rFonts w:ascii="仿宋" w:hAnsi="仿宋" w:eastAsia="仿宋" w:cs="仿宋"/>
          <w:b w:val="0"/>
          <w:bCs w:val="0"/>
          <w:spacing w:val="-6"/>
          <w:sz w:val="28"/>
          <w:szCs w:val="28"/>
        </w:rPr>
        <w:t>抽查检查前，要制作统计执法文书，各专业工作人员提前通知相</w:t>
      </w:r>
      <w:r>
        <w:rPr>
          <w:rFonts w:ascii="仿宋" w:hAnsi="仿宋" w:eastAsia="仿宋" w:cs="仿宋"/>
          <w:b w:val="0"/>
          <w:bCs w:val="0"/>
          <w:spacing w:val="6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-7"/>
          <w:sz w:val="28"/>
          <w:szCs w:val="28"/>
        </w:rPr>
        <w:t>关企业准备好检查所需资料，召开数据质量检查动员会，安排部</w:t>
      </w:r>
      <w:r>
        <w:rPr>
          <w:rFonts w:ascii="仿宋" w:hAnsi="仿宋" w:eastAsia="仿宋" w:cs="仿宋"/>
          <w:b w:val="0"/>
          <w:bCs w:val="0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-6"/>
          <w:sz w:val="28"/>
          <w:szCs w:val="28"/>
        </w:rPr>
        <w:t>署检查工作。检查工作结束后，检查组及时总结，形成检查工作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0"/>
          <w:sz w:val="21"/>
          <w:szCs w:val="21"/>
        </w:rPr>
        <w:t>报</w:t>
      </w:r>
      <w:r>
        <w:rPr>
          <w:rFonts w:ascii="仿宋" w:hAnsi="仿宋" w:eastAsia="仿宋" w:cs="仿宋"/>
          <w:b w:val="0"/>
          <w:bCs w:val="0"/>
          <w:spacing w:val="-17"/>
          <w:sz w:val="21"/>
          <w:szCs w:val="21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0"/>
          <w:sz w:val="21"/>
          <w:szCs w:val="21"/>
        </w:rPr>
        <w:t>告</w:t>
      </w:r>
      <w:r>
        <w:rPr>
          <w:rFonts w:ascii="仿宋" w:hAnsi="仿宋" w:eastAsia="仿宋" w:cs="仿宋"/>
          <w:b w:val="0"/>
          <w:bCs w:val="0"/>
          <w:spacing w:val="-31"/>
          <w:sz w:val="21"/>
          <w:szCs w:val="21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0"/>
          <w:sz w:val="21"/>
          <w:szCs w:val="21"/>
        </w:rPr>
        <w:t>。</w:t>
      </w:r>
    </w:p>
    <w:p w14:paraId="43873938">
      <w:pPr>
        <w:spacing w:before="25" w:line="366" w:lineRule="auto"/>
        <w:ind w:left="414" w:right="214" w:firstLine="690"/>
        <w:rPr>
          <w:rFonts w:ascii="仿宋" w:hAnsi="仿宋" w:eastAsia="仿宋" w:cs="仿宋"/>
          <w:b w:val="0"/>
          <w:bCs w:val="0"/>
          <w:sz w:val="24"/>
          <w:szCs w:val="24"/>
        </w:rPr>
      </w:pPr>
      <w:r>
        <w:rPr>
          <w:rFonts w:ascii="仿宋" w:hAnsi="仿宋" w:eastAsia="仿宋" w:cs="仿宋"/>
          <w:b w:val="0"/>
          <w:bCs w:val="0"/>
          <w:sz w:val="28"/>
          <w:szCs w:val="28"/>
        </w:rPr>
        <w:t>(三)执法检查人员在抽查检查中要严格执行中央“八项规</w:t>
      </w:r>
      <w:r>
        <w:rPr>
          <w:rFonts w:ascii="仿宋" w:hAnsi="仿宋" w:eastAsia="仿宋" w:cs="仿宋"/>
          <w:b w:val="0"/>
          <w:bCs w:val="0"/>
          <w:spacing w:val="9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-5"/>
          <w:sz w:val="28"/>
          <w:szCs w:val="28"/>
        </w:rPr>
        <w:t>定”精神，严格遵守统计法律法规，做到规范执法、文明执法、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26"/>
          <w:sz w:val="24"/>
          <w:szCs w:val="24"/>
        </w:rPr>
        <w:t>廉洁执法。</w:t>
      </w:r>
    </w:p>
    <w:p w14:paraId="5BD4F1B3">
      <w:pPr>
        <w:pStyle w:val="2"/>
        <w:spacing w:line="443" w:lineRule="auto"/>
        <w:rPr>
          <w:b w:val="0"/>
          <w:bCs w:val="0"/>
        </w:rPr>
      </w:pPr>
    </w:p>
    <w:p w14:paraId="2744B07E">
      <w:pPr>
        <w:spacing w:before="91" w:line="349" w:lineRule="auto"/>
        <w:ind w:left="2144" w:right="203" w:hanging="1150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ascii="仿宋" w:hAnsi="仿宋" w:eastAsia="仿宋" w:cs="仿宋"/>
          <w:b w:val="0"/>
          <w:bCs w:val="0"/>
          <w:spacing w:val="1"/>
          <w:sz w:val="28"/>
          <w:szCs w:val="28"/>
        </w:rPr>
        <w:t>附件：1.准格尔旗统计局2025年度“双随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机、</w:t>
      </w:r>
      <w:r>
        <w:rPr>
          <w:rFonts w:ascii="仿宋" w:hAnsi="仿宋" w:eastAsia="仿宋" w:cs="仿宋"/>
          <w:b w:val="0"/>
          <w:bCs w:val="0"/>
          <w:spacing w:val="-31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 xml:space="preserve">一公开”抽 </w:t>
      </w:r>
      <w:r>
        <w:rPr>
          <w:rFonts w:ascii="仿宋" w:hAnsi="仿宋" w:eastAsia="仿宋" w:cs="仿宋"/>
          <w:b w:val="0"/>
          <w:bCs w:val="0"/>
          <w:spacing w:val="-1"/>
          <w:sz w:val="28"/>
          <w:szCs w:val="28"/>
        </w:rPr>
        <w:t>查事项清单</w:t>
      </w:r>
    </w:p>
    <w:p w14:paraId="51589CBF">
      <w:pPr>
        <w:spacing w:line="390" w:lineRule="auto"/>
        <w:ind w:left="2143" w:right="203" w:hanging="299"/>
        <w:rPr>
          <w:rFonts w:ascii="仿宋" w:hAnsi="仿宋" w:eastAsia="仿宋" w:cs="仿宋"/>
          <w:b w:val="0"/>
          <w:bCs w:val="0"/>
          <w:sz w:val="28"/>
          <w:szCs w:val="28"/>
        </w:rPr>
      </w:pPr>
      <w:r>
        <w:rPr>
          <w:rFonts w:ascii="宋体" w:hAnsi="宋体" w:eastAsia="宋体" w:cs="宋体"/>
          <w:b w:val="0"/>
          <w:bCs w:val="0"/>
          <w:spacing w:val="-1"/>
          <w:sz w:val="28"/>
          <w:szCs w:val="28"/>
        </w:rPr>
        <w:t>2.</w:t>
      </w:r>
      <w:r>
        <w:rPr>
          <w:rFonts w:ascii="仿宋" w:hAnsi="仿宋" w:eastAsia="仿宋" w:cs="仿宋"/>
          <w:b w:val="0"/>
          <w:bCs w:val="0"/>
          <w:spacing w:val="-1"/>
          <w:sz w:val="28"/>
          <w:szCs w:val="28"/>
        </w:rPr>
        <w:t>准格尔旗统计局2025年度“双随机、 一公开”抽</w:t>
      </w:r>
      <w:r>
        <w:rPr>
          <w:rFonts w:ascii="仿宋" w:hAnsi="仿宋" w:eastAsia="仿宋" w:cs="仿宋"/>
          <w:b w:val="0"/>
          <w:bCs w:val="0"/>
          <w:spacing w:val="6"/>
          <w:sz w:val="28"/>
          <w:szCs w:val="28"/>
        </w:rPr>
        <w:t xml:space="preserve"> </w:t>
      </w:r>
      <w:r>
        <w:rPr>
          <w:rFonts w:ascii="仿宋" w:hAnsi="仿宋" w:eastAsia="仿宋" w:cs="仿宋"/>
          <w:b w:val="0"/>
          <w:bCs w:val="0"/>
          <w:spacing w:val="-4"/>
          <w:sz w:val="28"/>
          <w:szCs w:val="28"/>
        </w:rPr>
        <w:t>查计划表</w:t>
      </w:r>
    </w:p>
    <w:p w14:paraId="30A3A868">
      <w:pPr>
        <w:spacing w:line="390" w:lineRule="auto"/>
        <w:rPr>
          <w:rFonts w:ascii="仿宋" w:hAnsi="仿宋" w:eastAsia="仿宋" w:cs="仿宋"/>
          <w:b w:val="0"/>
          <w:bCs w:val="0"/>
          <w:sz w:val="28"/>
          <w:szCs w:val="28"/>
        </w:rPr>
        <w:sectPr>
          <w:footerReference r:id="rId6" w:type="default"/>
          <w:pgSz w:w="11900" w:h="16840"/>
          <w:pgMar w:top="1431" w:right="1785" w:bottom="2030" w:left="1785" w:header="0" w:footer="1664" w:gutter="0"/>
          <w:cols w:space="720" w:num="1"/>
        </w:sectPr>
      </w:pPr>
    </w:p>
    <w:p w14:paraId="5118F90F">
      <w:pPr>
        <w:pStyle w:val="2"/>
        <w:spacing w:line="246" w:lineRule="auto"/>
      </w:pPr>
    </w:p>
    <w:p w14:paraId="4D5FBCC3">
      <w:pPr>
        <w:pStyle w:val="2"/>
        <w:spacing w:line="246" w:lineRule="auto"/>
      </w:pPr>
    </w:p>
    <w:p w14:paraId="03F20C33">
      <w:pPr>
        <w:pStyle w:val="2"/>
        <w:spacing w:line="247" w:lineRule="auto"/>
      </w:pPr>
    </w:p>
    <w:p w14:paraId="38191091">
      <w:pPr>
        <w:pStyle w:val="2"/>
        <w:spacing w:line="247" w:lineRule="auto"/>
      </w:pPr>
    </w:p>
    <w:p w14:paraId="086531C5">
      <w:pPr>
        <w:spacing w:before="98" w:line="224" w:lineRule="auto"/>
        <w:ind w:left="16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27"/>
          <w:sz w:val="30"/>
          <w:szCs w:val="30"/>
        </w:rPr>
        <w:t>附件1</w:t>
      </w:r>
    </w:p>
    <w:p w14:paraId="37960111">
      <w:pPr>
        <w:spacing w:before="125" w:line="219" w:lineRule="auto"/>
        <w:ind w:left="4610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18"/>
          <w:sz w:val="41"/>
          <w:szCs w:val="41"/>
        </w:rPr>
        <w:t>准格尔旗统计局2025年度</w:t>
      </w:r>
    </w:p>
    <w:p w14:paraId="464A7E77">
      <w:pPr>
        <w:spacing w:before="20" w:line="219" w:lineRule="auto"/>
        <w:ind w:left="3875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3"/>
          <w:sz w:val="41"/>
          <w:szCs w:val="41"/>
        </w:rPr>
        <w:t>“双随机、一公开”抽查事项清单</w:t>
      </w:r>
    </w:p>
    <w:p w14:paraId="672B954D">
      <w:pPr>
        <w:spacing w:before="14"/>
      </w:pPr>
    </w:p>
    <w:p w14:paraId="29591514">
      <w:pPr>
        <w:spacing w:before="13"/>
      </w:pPr>
    </w:p>
    <w:tbl>
      <w:tblPr>
        <w:tblStyle w:val="5"/>
        <w:tblW w:w="135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"/>
        <w:gridCol w:w="1059"/>
        <w:gridCol w:w="2888"/>
        <w:gridCol w:w="1099"/>
        <w:gridCol w:w="1159"/>
        <w:gridCol w:w="1159"/>
        <w:gridCol w:w="2778"/>
        <w:gridCol w:w="2933"/>
      </w:tblGrid>
      <w:tr w14:paraId="733BD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434" w:type="dxa"/>
            <w:vMerge w:val="restart"/>
            <w:tcBorders>
              <w:bottom w:val="nil"/>
            </w:tcBorders>
            <w:textDirection w:val="tbRlV"/>
            <w:vAlign w:val="top"/>
          </w:tcPr>
          <w:p w14:paraId="0F886622">
            <w:pPr>
              <w:pStyle w:val="6"/>
              <w:spacing w:before="131" w:line="199" w:lineRule="auto"/>
              <w:ind w:left="121"/>
            </w:pPr>
            <w:r>
              <w:rPr>
                <w:b/>
                <w:bCs/>
                <w:spacing w:val="-3"/>
              </w:rPr>
              <w:t>序</w:t>
            </w:r>
            <w:r>
              <w:rPr>
                <w:spacing w:val="14"/>
              </w:rPr>
              <w:t xml:space="preserve">   </w:t>
            </w: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3947" w:type="dxa"/>
            <w:gridSpan w:val="2"/>
            <w:vAlign w:val="top"/>
          </w:tcPr>
          <w:p w14:paraId="03CC1063">
            <w:pPr>
              <w:pStyle w:val="6"/>
              <w:spacing w:before="151" w:line="220" w:lineRule="auto"/>
              <w:ind w:left="1563"/>
            </w:pPr>
            <w:r>
              <w:rPr>
                <w:b/>
                <w:bCs/>
                <w:spacing w:val="6"/>
              </w:rPr>
              <w:t>抽查项目</w:t>
            </w:r>
          </w:p>
        </w:tc>
        <w:tc>
          <w:tcPr>
            <w:tcW w:w="1099" w:type="dxa"/>
            <w:vMerge w:val="restart"/>
            <w:tcBorders>
              <w:bottom w:val="nil"/>
            </w:tcBorders>
            <w:vAlign w:val="top"/>
          </w:tcPr>
          <w:p w14:paraId="40373F6A">
            <w:pPr>
              <w:spacing w:line="340" w:lineRule="auto"/>
              <w:rPr>
                <w:rFonts w:ascii="Arial"/>
                <w:sz w:val="21"/>
              </w:rPr>
            </w:pPr>
          </w:p>
          <w:p w14:paraId="34CD105B">
            <w:pPr>
              <w:pStyle w:val="6"/>
              <w:spacing w:before="68" w:line="219" w:lineRule="auto"/>
              <w:ind w:left="126"/>
            </w:pPr>
            <w:r>
              <w:rPr>
                <w:b/>
                <w:bCs/>
                <w:spacing w:val="-4"/>
              </w:rPr>
              <w:t>检查对象</w:t>
            </w:r>
          </w:p>
        </w:tc>
        <w:tc>
          <w:tcPr>
            <w:tcW w:w="1159" w:type="dxa"/>
            <w:vMerge w:val="restart"/>
            <w:tcBorders>
              <w:bottom w:val="nil"/>
            </w:tcBorders>
            <w:vAlign w:val="top"/>
          </w:tcPr>
          <w:p w14:paraId="285CF6EB">
            <w:pPr>
              <w:spacing w:line="340" w:lineRule="auto"/>
              <w:rPr>
                <w:rFonts w:ascii="Arial"/>
                <w:sz w:val="21"/>
              </w:rPr>
            </w:pPr>
          </w:p>
          <w:p w14:paraId="7610979F">
            <w:pPr>
              <w:pStyle w:val="6"/>
              <w:spacing w:before="68" w:line="219" w:lineRule="auto"/>
              <w:ind w:left="157"/>
            </w:pPr>
            <w:r>
              <w:rPr>
                <w:b/>
                <w:bCs/>
                <w:spacing w:val="-4"/>
              </w:rPr>
              <w:t>事项类别</w:t>
            </w:r>
          </w:p>
        </w:tc>
        <w:tc>
          <w:tcPr>
            <w:tcW w:w="1159" w:type="dxa"/>
            <w:vMerge w:val="restart"/>
            <w:tcBorders>
              <w:bottom w:val="nil"/>
            </w:tcBorders>
            <w:vAlign w:val="top"/>
          </w:tcPr>
          <w:p w14:paraId="538AA582">
            <w:pPr>
              <w:spacing w:line="340" w:lineRule="auto"/>
              <w:rPr>
                <w:rFonts w:ascii="Arial"/>
                <w:sz w:val="21"/>
              </w:rPr>
            </w:pPr>
          </w:p>
          <w:p w14:paraId="41868297">
            <w:pPr>
              <w:pStyle w:val="6"/>
              <w:spacing w:before="68" w:line="219" w:lineRule="auto"/>
              <w:ind w:left="158"/>
            </w:pPr>
            <w:r>
              <w:rPr>
                <w:b/>
                <w:bCs/>
                <w:spacing w:val="-4"/>
              </w:rPr>
              <w:t>检查方式</w:t>
            </w:r>
          </w:p>
        </w:tc>
        <w:tc>
          <w:tcPr>
            <w:tcW w:w="2778" w:type="dxa"/>
            <w:vMerge w:val="restart"/>
            <w:tcBorders>
              <w:bottom w:val="nil"/>
            </w:tcBorders>
            <w:vAlign w:val="top"/>
          </w:tcPr>
          <w:p w14:paraId="2A5567E6">
            <w:pPr>
              <w:spacing w:line="338" w:lineRule="auto"/>
              <w:rPr>
                <w:rFonts w:ascii="Arial"/>
                <w:sz w:val="21"/>
              </w:rPr>
            </w:pPr>
          </w:p>
          <w:p w14:paraId="64A141F9">
            <w:pPr>
              <w:pStyle w:val="6"/>
              <w:spacing w:before="69" w:line="219" w:lineRule="auto"/>
              <w:ind w:left="969"/>
            </w:pPr>
            <w:r>
              <w:rPr>
                <w:b/>
                <w:bCs/>
                <w:spacing w:val="-4"/>
              </w:rPr>
              <w:t>检查依据</w:t>
            </w:r>
          </w:p>
        </w:tc>
        <w:tc>
          <w:tcPr>
            <w:tcW w:w="2933" w:type="dxa"/>
            <w:vMerge w:val="restart"/>
            <w:tcBorders>
              <w:bottom w:val="nil"/>
            </w:tcBorders>
            <w:vAlign w:val="top"/>
          </w:tcPr>
          <w:p w14:paraId="6782C1FE">
            <w:pPr>
              <w:spacing w:line="340" w:lineRule="auto"/>
              <w:rPr>
                <w:rFonts w:ascii="Arial"/>
                <w:sz w:val="21"/>
              </w:rPr>
            </w:pPr>
          </w:p>
          <w:p w14:paraId="567B5350">
            <w:pPr>
              <w:pStyle w:val="6"/>
              <w:spacing w:before="68" w:line="219" w:lineRule="auto"/>
              <w:ind w:left="1041"/>
            </w:pPr>
            <w:r>
              <w:rPr>
                <w:b/>
                <w:bCs/>
                <w:spacing w:val="-4"/>
              </w:rPr>
              <w:t>检查内容</w:t>
            </w:r>
          </w:p>
        </w:tc>
      </w:tr>
      <w:tr w14:paraId="0B882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34" w:type="dxa"/>
            <w:vMerge w:val="continue"/>
            <w:tcBorders>
              <w:top w:val="nil"/>
            </w:tcBorders>
            <w:textDirection w:val="tbRlV"/>
            <w:vAlign w:val="top"/>
          </w:tcPr>
          <w:p w14:paraId="7CBCEE37"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 w14:paraId="56975B98">
            <w:pPr>
              <w:pStyle w:val="6"/>
              <w:spacing w:before="157" w:line="219" w:lineRule="auto"/>
              <w:ind w:left="103"/>
            </w:pPr>
            <w:r>
              <w:rPr>
                <w:b/>
                <w:bCs/>
                <w:spacing w:val="-4"/>
              </w:rPr>
              <w:t>抽查类别</w:t>
            </w:r>
          </w:p>
        </w:tc>
        <w:tc>
          <w:tcPr>
            <w:tcW w:w="2888" w:type="dxa"/>
            <w:vAlign w:val="top"/>
          </w:tcPr>
          <w:p w14:paraId="00A13AAD">
            <w:pPr>
              <w:pStyle w:val="6"/>
              <w:spacing w:before="158" w:line="220" w:lineRule="auto"/>
              <w:ind w:left="1015"/>
            </w:pPr>
            <w:r>
              <w:rPr>
                <w:b/>
                <w:bCs/>
                <w:spacing w:val="-4"/>
              </w:rPr>
              <w:t>抽查事项</w:t>
            </w:r>
          </w:p>
        </w:tc>
        <w:tc>
          <w:tcPr>
            <w:tcW w:w="1099" w:type="dxa"/>
            <w:vMerge w:val="continue"/>
            <w:tcBorders>
              <w:top w:val="nil"/>
            </w:tcBorders>
            <w:vAlign w:val="top"/>
          </w:tcPr>
          <w:p w14:paraId="44073192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vAlign w:val="top"/>
          </w:tcPr>
          <w:p w14:paraId="13AC0CD4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vAlign w:val="top"/>
          </w:tcPr>
          <w:p w14:paraId="263F9997">
            <w:pPr>
              <w:rPr>
                <w:rFonts w:ascii="Arial"/>
                <w:sz w:val="21"/>
              </w:rPr>
            </w:pPr>
          </w:p>
        </w:tc>
        <w:tc>
          <w:tcPr>
            <w:tcW w:w="2778" w:type="dxa"/>
            <w:vMerge w:val="continue"/>
            <w:tcBorders>
              <w:top w:val="nil"/>
            </w:tcBorders>
            <w:vAlign w:val="top"/>
          </w:tcPr>
          <w:p w14:paraId="107A1910">
            <w:pPr>
              <w:rPr>
                <w:rFonts w:ascii="Arial"/>
                <w:sz w:val="21"/>
              </w:rPr>
            </w:pPr>
          </w:p>
        </w:tc>
        <w:tc>
          <w:tcPr>
            <w:tcW w:w="2933" w:type="dxa"/>
            <w:vMerge w:val="continue"/>
            <w:tcBorders>
              <w:top w:val="nil"/>
            </w:tcBorders>
            <w:vAlign w:val="top"/>
          </w:tcPr>
          <w:p w14:paraId="6C090BAA">
            <w:pPr>
              <w:rPr>
                <w:rFonts w:ascii="Arial"/>
                <w:sz w:val="21"/>
              </w:rPr>
            </w:pPr>
          </w:p>
        </w:tc>
      </w:tr>
      <w:tr w14:paraId="2236F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434" w:type="dxa"/>
            <w:vAlign w:val="top"/>
          </w:tcPr>
          <w:p w14:paraId="67269B94">
            <w:pPr>
              <w:spacing w:line="310" w:lineRule="auto"/>
              <w:rPr>
                <w:rFonts w:ascii="Arial"/>
                <w:sz w:val="21"/>
              </w:rPr>
            </w:pPr>
          </w:p>
          <w:p w14:paraId="030B08E6">
            <w:pPr>
              <w:spacing w:line="311" w:lineRule="auto"/>
              <w:rPr>
                <w:rFonts w:ascii="Arial"/>
                <w:sz w:val="21"/>
              </w:rPr>
            </w:pPr>
          </w:p>
          <w:p w14:paraId="6C4DA2B0">
            <w:pPr>
              <w:pStyle w:val="6"/>
              <w:spacing w:before="68" w:line="241" w:lineRule="auto"/>
              <w:ind w:left="74"/>
            </w:pPr>
            <w:r>
              <w:t>1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 w14:paraId="6D02DB14">
            <w:pPr>
              <w:spacing w:line="286" w:lineRule="auto"/>
              <w:rPr>
                <w:rFonts w:ascii="Arial"/>
                <w:sz w:val="21"/>
              </w:rPr>
            </w:pPr>
          </w:p>
          <w:p w14:paraId="0E846E45">
            <w:pPr>
              <w:spacing w:line="287" w:lineRule="auto"/>
              <w:rPr>
                <w:rFonts w:ascii="Arial"/>
                <w:sz w:val="21"/>
              </w:rPr>
            </w:pPr>
          </w:p>
          <w:p w14:paraId="74BD7CA3">
            <w:pPr>
              <w:spacing w:line="287" w:lineRule="auto"/>
              <w:rPr>
                <w:rFonts w:ascii="Arial"/>
                <w:sz w:val="21"/>
              </w:rPr>
            </w:pPr>
          </w:p>
          <w:p w14:paraId="38FC14CC">
            <w:pPr>
              <w:pStyle w:val="6"/>
              <w:spacing w:before="68" w:line="221" w:lineRule="auto"/>
              <w:ind w:left="100"/>
            </w:pPr>
            <w:r>
              <w:rPr>
                <w:spacing w:val="2"/>
              </w:rPr>
              <w:t>统计调查</w:t>
            </w:r>
          </w:p>
          <w:p w14:paraId="50791A88">
            <w:pPr>
              <w:pStyle w:val="6"/>
              <w:spacing w:before="268" w:line="220" w:lineRule="auto"/>
              <w:ind w:left="100"/>
            </w:pPr>
            <w:r>
              <w:rPr>
                <w:spacing w:val="2"/>
              </w:rPr>
              <w:t>单位抽查</w:t>
            </w:r>
          </w:p>
        </w:tc>
        <w:tc>
          <w:tcPr>
            <w:tcW w:w="2888" w:type="dxa"/>
            <w:vAlign w:val="top"/>
          </w:tcPr>
          <w:p w14:paraId="4CCF2973">
            <w:pPr>
              <w:pStyle w:val="6"/>
              <w:spacing w:before="161" w:line="400" w:lineRule="auto"/>
              <w:ind w:left="71" w:firstLine="99"/>
              <w:jc w:val="both"/>
            </w:pPr>
            <w:r>
              <w:rPr>
                <w:spacing w:val="-1"/>
              </w:rPr>
              <w:t>对迟报统计资料或者未按照</w:t>
            </w:r>
            <w:r>
              <w:t xml:space="preserve">   </w:t>
            </w:r>
            <w:r>
              <w:rPr>
                <w:spacing w:val="5"/>
              </w:rPr>
              <w:t>国家有关规定设置原始记录、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统计台账的监督检查</w:t>
            </w:r>
          </w:p>
        </w:tc>
        <w:tc>
          <w:tcPr>
            <w:tcW w:w="1099" w:type="dxa"/>
            <w:vMerge w:val="restart"/>
            <w:tcBorders>
              <w:bottom w:val="nil"/>
            </w:tcBorders>
            <w:vAlign w:val="top"/>
          </w:tcPr>
          <w:p w14:paraId="517B98D8">
            <w:pPr>
              <w:spacing w:line="284" w:lineRule="auto"/>
              <w:rPr>
                <w:rFonts w:ascii="Arial"/>
                <w:sz w:val="21"/>
              </w:rPr>
            </w:pPr>
          </w:p>
          <w:p w14:paraId="4D8FF657">
            <w:pPr>
              <w:spacing w:line="284" w:lineRule="auto"/>
              <w:rPr>
                <w:rFonts w:ascii="Arial"/>
                <w:sz w:val="21"/>
              </w:rPr>
            </w:pPr>
          </w:p>
          <w:p w14:paraId="27FC116A">
            <w:pPr>
              <w:spacing w:line="285" w:lineRule="auto"/>
              <w:rPr>
                <w:rFonts w:ascii="Arial"/>
                <w:sz w:val="21"/>
              </w:rPr>
            </w:pPr>
          </w:p>
          <w:p w14:paraId="2CB787FB">
            <w:pPr>
              <w:pStyle w:val="6"/>
              <w:spacing w:before="68" w:line="471" w:lineRule="auto"/>
              <w:ind w:left="310" w:hanging="292"/>
            </w:pPr>
            <w:r>
              <w:rPr>
                <w:spacing w:val="13"/>
              </w:rPr>
              <w:t>“</w:t>
            </w:r>
            <w:r>
              <w:rPr>
                <w:spacing w:val="-16"/>
              </w:rPr>
              <w:t xml:space="preserve"> </w:t>
            </w:r>
            <w:r>
              <w:rPr>
                <w:spacing w:val="13"/>
              </w:rPr>
              <w:t>四上</w:t>
            </w:r>
            <w:r>
              <w:rPr>
                <w:spacing w:val="-17"/>
              </w:rPr>
              <w:t xml:space="preserve"> </w:t>
            </w:r>
            <w:r>
              <w:rPr>
                <w:spacing w:val="13"/>
              </w:rPr>
              <w:t>”</w:t>
            </w:r>
            <w:r>
              <w:t xml:space="preserve"> </w:t>
            </w:r>
            <w:r>
              <w:rPr>
                <w:spacing w:val="-11"/>
              </w:rPr>
              <w:t>企业</w:t>
            </w:r>
          </w:p>
        </w:tc>
        <w:tc>
          <w:tcPr>
            <w:tcW w:w="1159" w:type="dxa"/>
            <w:vMerge w:val="restart"/>
            <w:tcBorders>
              <w:bottom w:val="nil"/>
            </w:tcBorders>
            <w:vAlign w:val="top"/>
          </w:tcPr>
          <w:p w14:paraId="4DE9745D">
            <w:pPr>
              <w:spacing w:line="283" w:lineRule="auto"/>
              <w:rPr>
                <w:rFonts w:ascii="Arial"/>
                <w:sz w:val="21"/>
              </w:rPr>
            </w:pPr>
          </w:p>
          <w:p w14:paraId="0695738E">
            <w:pPr>
              <w:spacing w:line="283" w:lineRule="auto"/>
              <w:rPr>
                <w:rFonts w:ascii="Arial"/>
                <w:sz w:val="21"/>
              </w:rPr>
            </w:pPr>
          </w:p>
          <w:p w14:paraId="1A83F917">
            <w:pPr>
              <w:spacing w:line="283" w:lineRule="auto"/>
              <w:rPr>
                <w:rFonts w:ascii="Arial"/>
                <w:sz w:val="21"/>
              </w:rPr>
            </w:pPr>
          </w:p>
          <w:p w14:paraId="21F0D232">
            <w:pPr>
              <w:pStyle w:val="6"/>
              <w:spacing w:before="68" w:line="219" w:lineRule="auto"/>
              <w:ind w:left="154"/>
            </w:pPr>
            <w:r>
              <w:rPr>
                <w:spacing w:val="2"/>
              </w:rPr>
              <w:t>一般检查</w:t>
            </w:r>
          </w:p>
          <w:p w14:paraId="3E9EDB8D">
            <w:pPr>
              <w:pStyle w:val="6"/>
              <w:spacing w:before="271" w:line="220" w:lineRule="auto"/>
              <w:ind w:left="364"/>
            </w:pPr>
            <w:r>
              <w:rPr>
                <w:spacing w:val="6"/>
              </w:rPr>
              <w:t>事项</w:t>
            </w:r>
          </w:p>
        </w:tc>
        <w:tc>
          <w:tcPr>
            <w:tcW w:w="1159" w:type="dxa"/>
            <w:vMerge w:val="restart"/>
            <w:tcBorders>
              <w:bottom w:val="nil"/>
            </w:tcBorders>
            <w:vAlign w:val="top"/>
          </w:tcPr>
          <w:p w14:paraId="3D1577C4">
            <w:pPr>
              <w:spacing w:line="276" w:lineRule="auto"/>
              <w:rPr>
                <w:rFonts w:ascii="Arial"/>
                <w:sz w:val="21"/>
              </w:rPr>
            </w:pPr>
          </w:p>
          <w:p w14:paraId="07817DAD">
            <w:pPr>
              <w:spacing w:line="277" w:lineRule="auto"/>
              <w:rPr>
                <w:rFonts w:ascii="Arial"/>
                <w:sz w:val="21"/>
              </w:rPr>
            </w:pPr>
          </w:p>
          <w:p w14:paraId="2BEAA1D9">
            <w:pPr>
              <w:spacing w:line="277" w:lineRule="auto"/>
              <w:rPr>
                <w:rFonts w:ascii="Arial"/>
                <w:sz w:val="21"/>
              </w:rPr>
            </w:pPr>
          </w:p>
          <w:p w14:paraId="75590484">
            <w:pPr>
              <w:spacing w:line="277" w:lineRule="auto"/>
              <w:rPr>
                <w:rFonts w:ascii="Arial"/>
                <w:sz w:val="21"/>
              </w:rPr>
            </w:pPr>
          </w:p>
          <w:p w14:paraId="2CDDAB67">
            <w:pPr>
              <w:pStyle w:val="6"/>
              <w:spacing w:before="68" w:line="219" w:lineRule="auto"/>
              <w:ind w:left="155"/>
            </w:pPr>
            <w:r>
              <w:rPr>
                <w:spacing w:val="2"/>
              </w:rPr>
              <w:t>现场检查</w:t>
            </w:r>
          </w:p>
        </w:tc>
        <w:tc>
          <w:tcPr>
            <w:tcW w:w="2778" w:type="dxa"/>
            <w:vAlign w:val="top"/>
          </w:tcPr>
          <w:p w14:paraId="6F996B1B">
            <w:pPr>
              <w:spacing w:line="332" w:lineRule="auto"/>
              <w:rPr>
                <w:rFonts w:ascii="Arial"/>
                <w:sz w:val="21"/>
              </w:rPr>
            </w:pPr>
          </w:p>
          <w:p w14:paraId="7F4A4601">
            <w:pPr>
              <w:pStyle w:val="6"/>
              <w:spacing w:before="68" w:line="459" w:lineRule="auto"/>
              <w:ind w:left="117" w:right="143" w:firstLine="4"/>
            </w:pPr>
            <w:r>
              <w:rPr>
                <w:spacing w:val="-2"/>
              </w:rPr>
              <w:t>《中华人民共和国统计法》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第八条、第四十五条</w:t>
            </w:r>
          </w:p>
        </w:tc>
        <w:tc>
          <w:tcPr>
            <w:tcW w:w="2933" w:type="dxa"/>
            <w:vAlign w:val="top"/>
          </w:tcPr>
          <w:p w14:paraId="09898622">
            <w:pPr>
              <w:pStyle w:val="6"/>
              <w:spacing w:before="150" w:line="403" w:lineRule="auto"/>
              <w:ind w:left="98" w:right="84" w:firstLine="100"/>
            </w:pPr>
            <w:r>
              <w:rPr>
                <w:spacing w:val="-1"/>
              </w:rPr>
              <w:t>检查企业是否按时报送统计</w:t>
            </w:r>
            <w:r>
              <w:rPr>
                <w:spacing w:val="1"/>
              </w:rPr>
              <w:t xml:space="preserve">  </w:t>
            </w:r>
            <w:r>
              <w:t>资料，是否按要求设置原始记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录和统计台账。</w:t>
            </w:r>
          </w:p>
        </w:tc>
      </w:tr>
      <w:tr w14:paraId="57A89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434" w:type="dxa"/>
            <w:vAlign w:val="top"/>
          </w:tcPr>
          <w:p w14:paraId="6B65A4F1">
            <w:pPr>
              <w:spacing w:line="466" w:lineRule="auto"/>
              <w:rPr>
                <w:rFonts w:ascii="Arial"/>
                <w:sz w:val="21"/>
              </w:rPr>
            </w:pPr>
          </w:p>
          <w:p w14:paraId="1E4189B4">
            <w:pPr>
              <w:pStyle w:val="6"/>
              <w:spacing w:before="68" w:line="241" w:lineRule="auto"/>
              <w:ind w:left="64"/>
            </w:pPr>
            <w:r>
              <w:t>2</w:t>
            </w: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 w14:paraId="4A28064D">
            <w:pPr>
              <w:rPr>
                <w:rFonts w:ascii="Arial"/>
                <w:sz w:val="21"/>
              </w:rPr>
            </w:pPr>
          </w:p>
        </w:tc>
        <w:tc>
          <w:tcPr>
            <w:tcW w:w="2888" w:type="dxa"/>
            <w:vAlign w:val="top"/>
          </w:tcPr>
          <w:p w14:paraId="194E8BF3">
            <w:pPr>
              <w:pStyle w:val="6"/>
              <w:spacing w:before="156" w:line="376" w:lineRule="auto"/>
              <w:ind w:left="101" w:right="169" w:firstLine="70"/>
            </w:pPr>
            <w:r>
              <w:rPr>
                <w:spacing w:val="1"/>
              </w:rPr>
              <w:t>对提供不真实或者不完整的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统计资料的监督检查</w:t>
            </w:r>
          </w:p>
        </w:tc>
        <w:tc>
          <w:tcPr>
            <w:tcW w:w="1099" w:type="dxa"/>
            <w:vMerge w:val="continue"/>
            <w:tcBorders>
              <w:top w:val="nil"/>
            </w:tcBorders>
            <w:vAlign w:val="top"/>
          </w:tcPr>
          <w:p w14:paraId="6F57FB8E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vAlign w:val="top"/>
          </w:tcPr>
          <w:p w14:paraId="50F16F30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vAlign w:val="top"/>
          </w:tcPr>
          <w:p w14:paraId="571466C2">
            <w:pPr>
              <w:rPr>
                <w:rFonts w:ascii="Arial"/>
                <w:sz w:val="21"/>
              </w:rPr>
            </w:pPr>
          </w:p>
        </w:tc>
        <w:tc>
          <w:tcPr>
            <w:tcW w:w="2778" w:type="dxa"/>
            <w:vAlign w:val="top"/>
          </w:tcPr>
          <w:p w14:paraId="3D7111EF">
            <w:pPr>
              <w:pStyle w:val="6"/>
              <w:spacing w:before="147" w:line="380" w:lineRule="auto"/>
              <w:ind w:left="125" w:right="129" w:hanging="4"/>
            </w:pPr>
            <w:r>
              <w:rPr>
                <w:spacing w:val="-2"/>
              </w:rPr>
              <w:t>《中华人民共和国统计法》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第八条、第四十四条第二款</w:t>
            </w:r>
          </w:p>
        </w:tc>
        <w:tc>
          <w:tcPr>
            <w:tcW w:w="2933" w:type="dxa"/>
            <w:vAlign w:val="top"/>
          </w:tcPr>
          <w:p w14:paraId="48FDAF8D">
            <w:pPr>
              <w:pStyle w:val="6"/>
              <w:spacing w:before="145" w:line="381" w:lineRule="auto"/>
              <w:ind w:left="118" w:right="102" w:hanging="20"/>
            </w:pPr>
            <w:r>
              <w:rPr>
                <w:spacing w:val="-1"/>
              </w:rPr>
              <w:t>检查企业是否提供不真实、不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完整、不准确的统计资料。</w:t>
            </w:r>
          </w:p>
        </w:tc>
      </w:tr>
    </w:tbl>
    <w:p w14:paraId="0C79BEC0">
      <w:pPr>
        <w:pStyle w:val="2"/>
        <w:spacing w:line="244" w:lineRule="auto"/>
      </w:pPr>
    </w:p>
    <w:p w14:paraId="10DE73EA">
      <w:pPr>
        <w:pStyle w:val="2"/>
        <w:spacing w:line="244" w:lineRule="auto"/>
      </w:pPr>
    </w:p>
    <w:p w14:paraId="1B43DCD0">
      <w:pPr>
        <w:pStyle w:val="2"/>
        <w:spacing w:line="244" w:lineRule="auto"/>
      </w:pPr>
    </w:p>
    <w:p w14:paraId="4E54417C">
      <w:pPr>
        <w:pStyle w:val="2"/>
        <w:spacing w:line="244" w:lineRule="auto"/>
      </w:pPr>
    </w:p>
    <w:p w14:paraId="7BB2A9AA">
      <w:pPr>
        <w:pStyle w:val="2"/>
        <w:spacing w:line="244" w:lineRule="auto"/>
      </w:pPr>
    </w:p>
    <w:p w14:paraId="0063D906">
      <w:pPr>
        <w:pStyle w:val="2"/>
        <w:spacing w:line="244" w:lineRule="auto"/>
      </w:pPr>
    </w:p>
    <w:p w14:paraId="2115CBA5">
      <w:pPr>
        <w:pStyle w:val="2"/>
        <w:spacing w:line="244" w:lineRule="auto"/>
      </w:pPr>
    </w:p>
    <w:p w14:paraId="7A0C98B9">
      <w:pPr>
        <w:spacing w:before="98"/>
        <w:ind w:left="1113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—5—</w:t>
      </w:r>
    </w:p>
    <w:p w14:paraId="1238EE30">
      <w:pPr>
        <w:rPr>
          <w:rFonts w:ascii="宋体" w:hAnsi="宋体" w:eastAsia="宋体" w:cs="宋体"/>
          <w:sz w:val="30"/>
          <w:szCs w:val="30"/>
        </w:rPr>
        <w:sectPr>
          <w:footerReference r:id="rId7" w:type="default"/>
          <w:pgSz w:w="16840" w:h="11900"/>
          <w:pgMar w:top="1011" w:right="1265" w:bottom="400" w:left="2055" w:header="0" w:footer="0" w:gutter="0"/>
          <w:cols w:space="720" w:num="1"/>
        </w:sectPr>
      </w:pPr>
    </w:p>
    <w:p w14:paraId="125490BE">
      <w:pPr>
        <w:pStyle w:val="2"/>
        <w:spacing w:line="249" w:lineRule="auto"/>
      </w:pPr>
    </w:p>
    <w:p w14:paraId="4D42203C">
      <w:pPr>
        <w:pStyle w:val="2"/>
        <w:spacing w:line="249" w:lineRule="auto"/>
      </w:pPr>
    </w:p>
    <w:p w14:paraId="2CF943E1">
      <w:pPr>
        <w:pStyle w:val="2"/>
        <w:spacing w:line="249" w:lineRule="auto"/>
      </w:pPr>
    </w:p>
    <w:p w14:paraId="462FDB9E">
      <w:pPr>
        <w:pStyle w:val="2"/>
        <w:spacing w:line="249" w:lineRule="auto"/>
      </w:pPr>
    </w:p>
    <w:p w14:paraId="0CFF1829">
      <w:pPr>
        <w:pStyle w:val="2"/>
        <w:spacing w:line="249" w:lineRule="auto"/>
      </w:pPr>
    </w:p>
    <w:p w14:paraId="4DA5931B">
      <w:pPr>
        <w:spacing w:before="97" w:line="224" w:lineRule="auto"/>
        <w:ind w:left="7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3"/>
          <w:sz w:val="30"/>
          <w:szCs w:val="30"/>
        </w:rPr>
        <w:t>附件2</w:t>
      </w:r>
    </w:p>
    <w:p w14:paraId="489E29B6">
      <w:pPr>
        <w:spacing w:before="3" w:line="203" w:lineRule="auto"/>
        <w:ind w:left="378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37"/>
          <w:sz w:val="39"/>
          <w:szCs w:val="39"/>
        </w:rPr>
        <w:t>准格尔旗统计局2025年度</w:t>
      </w:r>
    </w:p>
    <w:p w14:paraId="4F983C38">
      <w:pPr>
        <w:spacing w:before="1" w:line="218" w:lineRule="auto"/>
        <w:ind w:left="328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“双随机、</w:t>
      </w:r>
      <w:r>
        <w:rPr>
          <w:rFonts w:ascii="宋体" w:hAnsi="宋体" w:eastAsia="宋体" w:cs="宋体"/>
          <w:spacing w:val="9"/>
          <w:sz w:val="39"/>
          <w:szCs w:val="39"/>
        </w:rPr>
        <w:t xml:space="preserve"> 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一公开”抽查计划表</w:t>
      </w:r>
    </w:p>
    <w:p w14:paraId="17229293">
      <w:pPr>
        <w:spacing w:before="163"/>
      </w:pPr>
    </w:p>
    <w:tbl>
      <w:tblPr>
        <w:tblStyle w:val="5"/>
        <w:tblW w:w="12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"/>
        <w:gridCol w:w="1029"/>
        <w:gridCol w:w="2448"/>
        <w:gridCol w:w="1009"/>
        <w:gridCol w:w="969"/>
        <w:gridCol w:w="989"/>
        <w:gridCol w:w="1000"/>
        <w:gridCol w:w="2218"/>
        <w:gridCol w:w="1099"/>
        <w:gridCol w:w="1404"/>
      </w:tblGrid>
      <w:tr w14:paraId="3F00A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385" w:type="dxa"/>
            <w:textDirection w:val="tbRlV"/>
            <w:vAlign w:val="top"/>
          </w:tcPr>
          <w:p w14:paraId="07CC6F82">
            <w:pPr>
              <w:pStyle w:val="6"/>
              <w:spacing w:before="102" w:line="199" w:lineRule="auto"/>
              <w:ind w:left="331"/>
            </w:pPr>
            <w:r>
              <w:rPr>
                <w:b/>
                <w:bCs/>
                <w:spacing w:val="-3"/>
              </w:rPr>
              <w:t>序</w:t>
            </w:r>
            <w:r>
              <w:rPr>
                <w:spacing w:val="14"/>
              </w:rPr>
              <w:t xml:space="preserve">   </w:t>
            </w: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1029" w:type="dxa"/>
            <w:vAlign w:val="top"/>
          </w:tcPr>
          <w:p w14:paraId="31A11F86">
            <w:pPr>
              <w:spacing w:line="310" w:lineRule="auto"/>
              <w:rPr>
                <w:rFonts w:ascii="Arial"/>
                <w:sz w:val="21"/>
              </w:rPr>
            </w:pPr>
          </w:p>
          <w:p w14:paraId="14207C3A">
            <w:pPr>
              <w:pStyle w:val="6"/>
              <w:spacing w:before="68" w:line="219" w:lineRule="auto"/>
              <w:ind w:left="192"/>
            </w:pPr>
            <w:r>
              <w:rPr>
                <w:b/>
                <w:bCs/>
                <w:spacing w:val="-4"/>
              </w:rPr>
              <w:t>抽查类</w:t>
            </w:r>
          </w:p>
          <w:p w14:paraId="563CB468">
            <w:pPr>
              <w:pStyle w:val="6"/>
              <w:spacing w:before="251" w:line="220" w:lineRule="auto"/>
              <w:ind w:left="402"/>
            </w:pPr>
            <w:r>
              <w:rPr>
                <w:b/>
                <w:bCs/>
                <w:spacing w:val="-3"/>
              </w:rPr>
              <w:t>别</w:t>
            </w:r>
          </w:p>
        </w:tc>
        <w:tc>
          <w:tcPr>
            <w:tcW w:w="2448" w:type="dxa"/>
            <w:vAlign w:val="top"/>
          </w:tcPr>
          <w:p w14:paraId="0F6C5B4C">
            <w:pPr>
              <w:spacing w:line="274" w:lineRule="auto"/>
              <w:rPr>
                <w:rFonts w:ascii="Arial"/>
                <w:sz w:val="21"/>
              </w:rPr>
            </w:pPr>
          </w:p>
          <w:p w14:paraId="200C0655">
            <w:pPr>
              <w:spacing w:line="275" w:lineRule="auto"/>
              <w:rPr>
                <w:rFonts w:ascii="Arial"/>
                <w:sz w:val="21"/>
              </w:rPr>
            </w:pPr>
          </w:p>
          <w:p w14:paraId="7485B713">
            <w:pPr>
              <w:pStyle w:val="6"/>
              <w:spacing w:before="68" w:line="220" w:lineRule="auto"/>
              <w:ind w:left="794"/>
            </w:pPr>
            <w:r>
              <w:rPr>
                <w:b/>
                <w:bCs/>
                <w:spacing w:val="-4"/>
              </w:rPr>
              <w:t>抽查事项</w:t>
            </w:r>
          </w:p>
        </w:tc>
        <w:tc>
          <w:tcPr>
            <w:tcW w:w="1009" w:type="dxa"/>
            <w:vAlign w:val="top"/>
          </w:tcPr>
          <w:p w14:paraId="494B6FB4">
            <w:pPr>
              <w:spacing w:line="310" w:lineRule="auto"/>
              <w:rPr>
                <w:rFonts w:ascii="Arial"/>
                <w:sz w:val="21"/>
              </w:rPr>
            </w:pPr>
          </w:p>
          <w:p w14:paraId="53587A1E">
            <w:pPr>
              <w:pStyle w:val="6"/>
              <w:spacing w:before="68" w:line="219" w:lineRule="auto"/>
              <w:ind w:left="186"/>
            </w:pPr>
            <w:r>
              <w:rPr>
                <w:b/>
                <w:bCs/>
                <w:spacing w:val="-5"/>
              </w:rPr>
              <w:t>检查对</w:t>
            </w:r>
          </w:p>
          <w:p w14:paraId="0FB5D0D7">
            <w:pPr>
              <w:pStyle w:val="6"/>
              <w:spacing w:before="260" w:line="219" w:lineRule="auto"/>
              <w:ind w:left="396"/>
            </w:pPr>
            <w:r>
              <w:rPr>
                <w:b/>
                <w:bCs/>
                <w:spacing w:val="-3"/>
              </w:rPr>
              <w:t>象</w:t>
            </w:r>
          </w:p>
        </w:tc>
        <w:tc>
          <w:tcPr>
            <w:tcW w:w="969" w:type="dxa"/>
            <w:vAlign w:val="top"/>
          </w:tcPr>
          <w:p w14:paraId="36A1C8F8">
            <w:pPr>
              <w:spacing w:line="290" w:lineRule="auto"/>
              <w:rPr>
                <w:rFonts w:ascii="Arial"/>
                <w:sz w:val="21"/>
              </w:rPr>
            </w:pPr>
          </w:p>
          <w:p w14:paraId="09BFFDFE">
            <w:pPr>
              <w:pStyle w:val="6"/>
              <w:spacing w:before="68" w:line="219" w:lineRule="auto"/>
              <w:ind w:left="167"/>
            </w:pPr>
            <w:r>
              <w:rPr>
                <w:b/>
                <w:bCs/>
                <w:spacing w:val="-5"/>
              </w:rPr>
              <w:t>检查方</w:t>
            </w:r>
          </w:p>
          <w:p w14:paraId="67A24F70">
            <w:pPr>
              <w:pStyle w:val="6"/>
              <w:spacing w:before="251" w:line="221" w:lineRule="auto"/>
              <w:ind w:left="377"/>
            </w:pPr>
            <w:r>
              <w:rPr>
                <w:b/>
                <w:bCs/>
                <w:spacing w:val="-3"/>
              </w:rPr>
              <w:t>式</w:t>
            </w:r>
          </w:p>
        </w:tc>
        <w:tc>
          <w:tcPr>
            <w:tcW w:w="989" w:type="dxa"/>
            <w:vAlign w:val="top"/>
          </w:tcPr>
          <w:p w14:paraId="2404A09A">
            <w:pPr>
              <w:pStyle w:val="6"/>
              <w:spacing w:before="131" w:line="221" w:lineRule="auto"/>
              <w:ind w:left="177"/>
            </w:pPr>
            <w:r>
              <w:rPr>
                <w:b/>
                <w:bCs/>
                <w:spacing w:val="-4"/>
              </w:rPr>
              <w:t>抽查比</w:t>
            </w:r>
          </w:p>
          <w:p w14:paraId="72A990B0">
            <w:pPr>
              <w:pStyle w:val="6"/>
              <w:spacing w:before="227" w:line="219" w:lineRule="auto"/>
              <w:ind w:left="177"/>
            </w:pPr>
            <w:r>
              <w:rPr>
                <w:b/>
                <w:bCs/>
                <w:spacing w:val="-5"/>
              </w:rPr>
              <w:t>例或数</w:t>
            </w:r>
          </w:p>
          <w:p w14:paraId="5B42AFD1">
            <w:pPr>
              <w:pStyle w:val="6"/>
              <w:spacing w:before="237" w:line="225" w:lineRule="auto"/>
              <w:ind w:left="387"/>
            </w:pPr>
            <w:r>
              <w:rPr>
                <w:b/>
                <w:bCs/>
                <w:spacing w:val="-3"/>
              </w:rPr>
              <w:t>量</w:t>
            </w:r>
          </w:p>
        </w:tc>
        <w:tc>
          <w:tcPr>
            <w:tcW w:w="1000" w:type="dxa"/>
            <w:vAlign w:val="top"/>
          </w:tcPr>
          <w:p w14:paraId="538C1216">
            <w:pPr>
              <w:spacing w:line="281" w:lineRule="auto"/>
              <w:rPr>
                <w:rFonts w:ascii="Arial"/>
                <w:sz w:val="21"/>
              </w:rPr>
            </w:pPr>
          </w:p>
          <w:p w14:paraId="55094128">
            <w:pPr>
              <w:pStyle w:val="6"/>
              <w:spacing w:before="68" w:line="220" w:lineRule="auto"/>
              <w:ind w:left="178"/>
            </w:pPr>
            <w:r>
              <w:rPr>
                <w:b/>
                <w:bCs/>
                <w:spacing w:val="-5"/>
              </w:rPr>
              <w:t>起止时</w:t>
            </w:r>
          </w:p>
          <w:p w14:paraId="70789790">
            <w:pPr>
              <w:pStyle w:val="6"/>
              <w:spacing w:before="242" w:line="222" w:lineRule="auto"/>
              <w:ind w:left="388"/>
            </w:pPr>
            <w:r>
              <w:rPr>
                <w:b/>
                <w:bCs/>
                <w:spacing w:val="-3"/>
              </w:rPr>
              <w:t>间</w:t>
            </w:r>
          </w:p>
        </w:tc>
        <w:tc>
          <w:tcPr>
            <w:tcW w:w="2218" w:type="dxa"/>
            <w:vAlign w:val="top"/>
          </w:tcPr>
          <w:p w14:paraId="449A5000">
            <w:pPr>
              <w:spacing w:line="274" w:lineRule="auto"/>
              <w:rPr>
                <w:rFonts w:ascii="Arial"/>
                <w:sz w:val="21"/>
              </w:rPr>
            </w:pPr>
          </w:p>
          <w:p w14:paraId="1999D05C">
            <w:pPr>
              <w:spacing w:line="275" w:lineRule="auto"/>
              <w:rPr>
                <w:rFonts w:ascii="Arial"/>
                <w:sz w:val="21"/>
              </w:rPr>
            </w:pPr>
          </w:p>
          <w:p w14:paraId="4D3BB835">
            <w:pPr>
              <w:pStyle w:val="6"/>
              <w:spacing w:before="68" w:line="219" w:lineRule="auto"/>
              <w:ind w:left="689"/>
            </w:pPr>
            <w:r>
              <w:rPr>
                <w:b/>
                <w:bCs/>
                <w:spacing w:val="1"/>
              </w:rPr>
              <w:t>检查重点</w:t>
            </w:r>
          </w:p>
        </w:tc>
        <w:tc>
          <w:tcPr>
            <w:tcW w:w="1099" w:type="dxa"/>
            <w:vAlign w:val="top"/>
          </w:tcPr>
          <w:p w14:paraId="1AE3EB7D">
            <w:pPr>
              <w:spacing w:line="274" w:lineRule="auto"/>
              <w:rPr>
                <w:rFonts w:ascii="Arial"/>
                <w:sz w:val="21"/>
              </w:rPr>
            </w:pPr>
          </w:p>
          <w:p w14:paraId="568C519A">
            <w:pPr>
              <w:spacing w:line="275" w:lineRule="auto"/>
              <w:rPr>
                <w:rFonts w:ascii="Arial"/>
                <w:sz w:val="21"/>
              </w:rPr>
            </w:pPr>
          </w:p>
          <w:p w14:paraId="609F4C53">
            <w:pPr>
              <w:pStyle w:val="6"/>
              <w:spacing w:before="68" w:line="219" w:lineRule="auto"/>
              <w:ind w:left="130"/>
            </w:pPr>
            <w:r>
              <w:rPr>
                <w:b/>
                <w:bCs/>
                <w:spacing w:val="-6"/>
              </w:rPr>
              <w:t>责任股室</w:t>
            </w:r>
          </w:p>
        </w:tc>
        <w:tc>
          <w:tcPr>
            <w:tcW w:w="1404" w:type="dxa"/>
            <w:vAlign w:val="top"/>
          </w:tcPr>
          <w:p w14:paraId="359B7168">
            <w:pPr>
              <w:spacing w:line="275" w:lineRule="auto"/>
              <w:rPr>
                <w:rFonts w:ascii="Arial"/>
                <w:sz w:val="21"/>
              </w:rPr>
            </w:pPr>
          </w:p>
          <w:p w14:paraId="2A7B5A75">
            <w:pPr>
              <w:spacing w:line="275" w:lineRule="auto"/>
              <w:rPr>
                <w:rFonts w:ascii="Arial"/>
                <w:sz w:val="21"/>
              </w:rPr>
            </w:pPr>
          </w:p>
          <w:p w14:paraId="07135F9F">
            <w:pPr>
              <w:pStyle w:val="6"/>
              <w:spacing w:before="68" w:line="221" w:lineRule="auto"/>
              <w:ind w:left="491"/>
            </w:pPr>
            <w:r>
              <w:rPr>
                <w:b/>
                <w:bCs/>
                <w:spacing w:val="-5"/>
              </w:rPr>
              <w:t>备注</w:t>
            </w:r>
          </w:p>
        </w:tc>
      </w:tr>
      <w:tr w14:paraId="7D06E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5" w:hRule="atLeast"/>
        </w:trPr>
        <w:tc>
          <w:tcPr>
            <w:tcW w:w="385" w:type="dxa"/>
            <w:vAlign w:val="top"/>
          </w:tcPr>
          <w:p w14:paraId="483312ED">
            <w:pPr>
              <w:spacing w:line="296" w:lineRule="auto"/>
              <w:rPr>
                <w:rFonts w:ascii="Arial"/>
                <w:sz w:val="21"/>
              </w:rPr>
            </w:pPr>
          </w:p>
          <w:p w14:paraId="0B753FAE">
            <w:pPr>
              <w:spacing w:line="296" w:lineRule="auto"/>
              <w:rPr>
                <w:rFonts w:ascii="Arial"/>
                <w:sz w:val="21"/>
              </w:rPr>
            </w:pPr>
          </w:p>
          <w:p w14:paraId="67E1C84A">
            <w:pPr>
              <w:spacing w:line="296" w:lineRule="auto"/>
              <w:rPr>
                <w:rFonts w:ascii="Arial"/>
                <w:sz w:val="21"/>
              </w:rPr>
            </w:pPr>
          </w:p>
          <w:p w14:paraId="4A6D5E5A">
            <w:pPr>
              <w:pStyle w:val="6"/>
              <w:spacing w:before="69" w:line="241" w:lineRule="auto"/>
              <w:ind w:left="125"/>
            </w:pPr>
            <w:r>
              <w:t>1</w:t>
            </w:r>
          </w:p>
        </w:tc>
        <w:tc>
          <w:tcPr>
            <w:tcW w:w="1029" w:type="dxa"/>
            <w:vMerge w:val="restart"/>
            <w:tcBorders>
              <w:bottom w:val="nil"/>
            </w:tcBorders>
            <w:vAlign w:val="top"/>
          </w:tcPr>
          <w:p w14:paraId="1ACD95F6">
            <w:pPr>
              <w:spacing w:line="281" w:lineRule="auto"/>
              <w:rPr>
                <w:rFonts w:ascii="Arial"/>
                <w:sz w:val="21"/>
              </w:rPr>
            </w:pPr>
          </w:p>
          <w:p w14:paraId="1E5ECA29">
            <w:pPr>
              <w:spacing w:line="282" w:lineRule="auto"/>
              <w:rPr>
                <w:rFonts w:ascii="Arial"/>
                <w:sz w:val="21"/>
              </w:rPr>
            </w:pPr>
          </w:p>
          <w:p w14:paraId="1226AF84">
            <w:pPr>
              <w:spacing w:line="282" w:lineRule="auto"/>
              <w:rPr>
                <w:rFonts w:ascii="Arial"/>
                <w:sz w:val="21"/>
              </w:rPr>
            </w:pPr>
          </w:p>
          <w:p w14:paraId="5E622FAA">
            <w:pPr>
              <w:spacing w:line="282" w:lineRule="auto"/>
              <w:rPr>
                <w:rFonts w:ascii="Arial"/>
                <w:sz w:val="21"/>
              </w:rPr>
            </w:pPr>
          </w:p>
          <w:p w14:paraId="27167F98">
            <w:pPr>
              <w:pStyle w:val="6"/>
              <w:spacing w:before="68" w:line="424" w:lineRule="auto"/>
              <w:ind w:left="189" w:right="181"/>
              <w:jc w:val="both"/>
            </w:pPr>
            <w:r>
              <w:rPr>
                <w:spacing w:val="5"/>
              </w:rPr>
              <w:t>统计调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查单位</w:t>
            </w:r>
            <w:r>
              <w:t xml:space="preserve"> </w:t>
            </w:r>
            <w:r>
              <w:rPr>
                <w:spacing w:val="46"/>
              </w:rPr>
              <w:t>抽查</w:t>
            </w:r>
          </w:p>
        </w:tc>
        <w:tc>
          <w:tcPr>
            <w:tcW w:w="2448" w:type="dxa"/>
            <w:vAlign w:val="top"/>
          </w:tcPr>
          <w:p w14:paraId="4C178771">
            <w:pPr>
              <w:pStyle w:val="6"/>
              <w:spacing w:before="241" w:line="219" w:lineRule="auto"/>
              <w:ind w:left="280"/>
            </w:pPr>
            <w:r>
              <w:rPr>
                <w:spacing w:val="-1"/>
              </w:rPr>
              <w:t>对迟报统计资料或者未</w:t>
            </w:r>
          </w:p>
          <w:p w14:paraId="6C254F24">
            <w:pPr>
              <w:pStyle w:val="6"/>
              <w:spacing w:before="239" w:line="394" w:lineRule="auto"/>
              <w:ind w:left="111" w:firstLine="169"/>
            </w:pPr>
            <w:r>
              <w:rPr>
                <w:spacing w:val="-2"/>
              </w:rPr>
              <w:t>按照国家有关规定设置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原始记录、统计台账的监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督检查</w:t>
            </w: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2125D4DD">
            <w:pPr>
              <w:spacing w:line="277" w:lineRule="auto"/>
              <w:rPr>
                <w:rFonts w:ascii="Arial"/>
                <w:sz w:val="21"/>
              </w:rPr>
            </w:pPr>
          </w:p>
          <w:p w14:paraId="7CF3A2FD">
            <w:pPr>
              <w:spacing w:line="277" w:lineRule="auto"/>
              <w:rPr>
                <w:rFonts w:ascii="Arial"/>
                <w:sz w:val="21"/>
              </w:rPr>
            </w:pPr>
          </w:p>
          <w:p w14:paraId="565EB98B">
            <w:pPr>
              <w:spacing w:line="277" w:lineRule="auto"/>
              <w:rPr>
                <w:rFonts w:ascii="Arial"/>
                <w:sz w:val="21"/>
              </w:rPr>
            </w:pPr>
          </w:p>
          <w:p w14:paraId="5E27458D">
            <w:pPr>
              <w:spacing w:line="278" w:lineRule="auto"/>
              <w:rPr>
                <w:rFonts w:ascii="Arial"/>
                <w:sz w:val="21"/>
              </w:rPr>
            </w:pPr>
          </w:p>
          <w:p w14:paraId="41A9FB7A">
            <w:pPr>
              <w:spacing w:line="278" w:lineRule="auto"/>
              <w:rPr>
                <w:rFonts w:ascii="Arial"/>
                <w:sz w:val="21"/>
              </w:rPr>
            </w:pPr>
          </w:p>
          <w:p w14:paraId="1BED1C3C">
            <w:pPr>
              <w:pStyle w:val="6"/>
              <w:spacing w:before="68" w:line="419" w:lineRule="auto"/>
              <w:ind w:left="272" w:hanging="273"/>
            </w:pPr>
            <w:r>
              <w:rPr>
                <w:spacing w:val="-2"/>
              </w:rPr>
              <w:t>“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四上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”</w:t>
            </w:r>
            <w:r>
              <w:t xml:space="preserve"> </w:t>
            </w:r>
            <w:r>
              <w:rPr>
                <w:spacing w:val="-16"/>
                <w:w w:val="99"/>
              </w:rPr>
              <w:t>企业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 w14:paraId="011BFF81">
            <w:pPr>
              <w:spacing w:line="271" w:lineRule="auto"/>
              <w:rPr>
                <w:rFonts w:ascii="Arial"/>
                <w:sz w:val="21"/>
              </w:rPr>
            </w:pPr>
          </w:p>
          <w:p w14:paraId="79726D45">
            <w:pPr>
              <w:spacing w:line="271" w:lineRule="auto"/>
              <w:rPr>
                <w:rFonts w:ascii="Arial"/>
                <w:sz w:val="21"/>
              </w:rPr>
            </w:pPr>
          </w:p>
          <w:p w14:paraId="5001E875">
            <w:pPr>
              <w:spacing w:line="271" w:lineRule="auto"/>
              <w:rPr>
                <w:rFonts w:ascii="Arial"/>
                <w:sz w:val="21"/>
              </w:rPr>
            </w:pPr>
          </w:p>
          <w:p w14:paraId="13FF51CB">
            <w:pPr>
              <w:spacing w:line="271" w:lineRule="auto"/>
              <w:rPr>
                <w:rFonts w:ascii="Arial"/>
                <w:sz w:val="21"/>
              </w:rPr>
            </w:pPr>
          </w:p>
          <w:p w14:paraId="2E10B2A2">
            <w:pPr>
              <w:spacing w:line="271" w:lineRule="auto"/>
              <w:rPr>
                <w:rFonts w:ascii="Arial"/>
                <w:sz w:val="21"/>
              </w:rPr>
            </w:pPr>
          </w:p>
          <w:p w14:paraId="69494CAB">
            <w:pPr>
              <w:pStyle w:val="6"/>
              <w:spacing w:before="68" w:line="219" w:lineRule="auto"/>
              <w:ind w:left="164"/>
            </w:pPr>
            <w:r>
              <w:rPr>
                <w:spacing w:val="-3"/>
              </w:rPr>
              <w:t>现场检</w:t>
            </w:r>
          </w:p>
          <w:p w14:paraId="02D3B295">
            <w:pPr>
              <w:pStyle w:val="6"/>
              <w:spacing w:before="248" w:line="227" w:lineRule="auto"/>
              <w:ind w:left="374"/>
            </w:pPr>
            <w:r>
              <w:t>查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 w14:paraId="2C69CF74">
            <w:pPr>
              <w:spacing w:line="269" w:lineRule="auto"/>
              <w:rPr>
                <w:rFonts w:ascii="Arial"/>
                <w:sz w:val="21"/>
              </w:rPr>
            </w:pPr>
          </w:p>
          <w:p w14:paraId="3D7F56D5">
            <w:pPr>
              <w:spacing w:line="269" w:lineRule="auto"/>
              <w:rPr>
                <w:rFonts w:ascii="Arial"/>
                <w:sz w:val="21"/>
              </w:rPr>
            </w:pPr>
          </w:p>
          <w:p w14:paraId="6B75398F">
            <w:pPr>
              <w:spacing w:line="269" w:lineRule="auto"/>
              <w:rPr>
                <w:rFonts w:ascii="Arial"/>
                <w:sz w:val="21"/>
              </w:rPr>
            </w:pPr>
          </w:p>
          <w:p w14:paraId="70A20184">
            <w:pPr>
              <w:spacing w:line="269" w:lineRule="auto"/>
              <w:rPr>
                <w:rFonts w:ascii="Arial"/>
                <w:sz w:val="21"/>
              </w:rPr>
            </w:pPr>
          </w:p>
          <w:p w14:paraId="05D89B71">
            <w:pPr>
              <w:spacing w:line="269" w:lineRule="auto"/>
              <w:rPr>
                <w:rFonts w:ascii="Arial"/>
                <w:sz w:val="21"/>
              </w:rPr>
            </w:pPr>
          </w:p>
          <w:p w14:paraId="3CF4E77A">
            <w:pPr>
              <w:pStyle w:val="6"/>
              <w:spacing w:before="68" w:line="219" w:lineRule="auto"/>
              <w:ind w:left="174"/>
            </w:pPr>
            <w:r>
              <w:rPr>
                <w:spacing w:val="4"/>
              </w:rPr>
              <w:t>不高于</w:t>
            </w:r>
          </w:p>
          <w:p w14:paraId="2664B6E7">
            <w:pPr>
              <w:pStyle w:val="6"/>
              <w:spacing w:before="301"/>
              <w:ind w:left="384"/>
            </w:pPr>
            <w:r>
              <w:rPr>
                <w:spacing w:val="-4"/>
              </w:rPr>
              <w:t>5%</w:t>
            </w:r>
          </w:p>
        </w:tc>
        <w:tc>
          <w:tcPr>
            <w:tcW w:w="1000" w:type="dxa"/>
            <w:vMerge w:val="restart"/>
            <w:tcBorders>
              <w:bottom w:val="nil"/>
            </w:tcBorders>
            <w:vAlign w:val="top"/>
          </w:tcPr>
          <w:p w14:paraId="213B0F79">
            <w:pPr>
              <w:spacing w:line="265" w:lineRule="auto"/>
              <w:rPr>
                <w:rFonts w:ascii="Arial"/>
                <w:sz w:val="21"/>
              </w:rPr>
            </w:pPr>
          </w:p>
          <w:p w14:paraId="0035002E">
            <w:pPr>
              <w:spacing w:line="265" w:lineRule="auto"/>
              <w:rPr>
                <w:rFonts w:ascii="Arial"/>
                <w:sz w:val="21"/>
              </w:rPr>
            </w:pPr>
          </w:p>
          <w:p w14:paraId="663F8AEE">
            <w:pPr>
              <w:spacing w:line="265" w:lineRule="auto"/>
              <w:rPr>
                <w:rFonts w:ascii="Arial"/>
                <w:sz w:val="21"/>
              </w:rPr>
            </w:pPr>
          </w:p>
          <w:p w14:paraId="739D8A79">
            <w:pPr>
              <w:spacing w:line="266" w:lineRule="auto"/>
              <w:rPr>
                <w:rFonts w:ascii="Arial"/>
                <w:sz w:val="21"/>
              </w:rPr>
            </w:pPr>
          </w:p>
          <w:p w14:paraId="0500DFA4">
            <w:pPr>
              <w:spacing w:line="266" w:lineRule="auto"/>
              <w:rPr>
                <w:rFonts w:ascii="Arial"/>
                <w:sz w:val="21"/>
              </w:rPr>
            </w:pPr>
          </w:p>
          <w:p w14:paraId="2258D10C">
            <w:pPr>
              <w:spacing w:line="266" w:lineRule="auto"/>
              <w:rPr>
                <w:rFonts w:ascii="Arial"/>
                <w:sz w:val="21"/>
              </w:rPr>
            </w:pPr>
          </w:p>
          <w:p w14:paraId="294F501A">
            <w:pPr>
              <w:pStyle w:val="6"/>
              <w:spacing w:before="68" w:line="219" w:lineRule="auto"/>
              <w:ind w:left="175"/>
            </w:pPr>
            <w:r>
              <w:rPr>
                <w:spacing w:val="8"/>
              </w:rPr>
              <w:t>4-11月</w:t>
            </w:r>
          </w:p>
        </w:tc>
        <w:tc>
          <w:tcPr>
            <w:tcW w:w="2218" w:type="dxa"/>
            <w:vAlign w:val="top"/>
          </w:tcPr>
          <w:p w14:paraId="468207B0">
            <w:pPr>
              <w:pStyle w:val="6"/>
              <w:spacing w:before="209" w:line="410" w:lineRule="auto"/>
              <w:ind w:left="56" w:right="58" w:firstLine="100"/>
            </w:pPr>
            <w:r>
              <w:rPr>
                <w:spacing w:val="-1"/>
              </w:rPr>
              <w:t>检查企业是否按时报</w:t>
            </w:r>
            <w:r>
              <w:t xml:space="preserve">  </w:t>
            </w:r>
            <w:r>
              <w:rPr>
                <w:spacing w:val="-1"/>
              </w:rPr>
              <w:t>送统计资料，是否按要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求设置原始记录和统</w:t>
            </w:r>
            <w:r>
              <w:t xml:space="preserve">  </w:t>
            </w:r>
            <w:r>
              <w:rPr>
                <w:spacing w:val="11"/>
              </w:rPr>
              <w:t>计台账。</w:t>
            </w:r>
          </w:p>
        </w:tc>
        <w:tc>
          <w:tcPr>
            <w:tcW w:w="1099" w:type="dxa"/>
            <w:vMerge w:val="restart"/>
            <w:tcBorders>
              <w:bottom w:val="nil"/>
            </w:tcBorders>
            <w:vAlign w:val="top"/>
          </w:tcPr>
          <w:p w14:paraId="0E98615E">
            <w:pPr>
              <w:spacing w:line="276" w:lineRule="auto"/>
              <w:rPr>
                <w:rFonts w:ascii="Arial"/>
                <w:sz w:val="21"/>
              </w:rPr>
            </w:pPr>
          </w:p>
          <w:p w14:paraId="7E61DABC">
            <w:pPr>
              <w:spacing w:line="277" w:lineRule="auto"/>
              <w:rPr>
                <w:rFonts w:ascii="Arial"/>
                <w:sz w:val="21"/>
              </w:rPr>
            </w:pPr>
          </w:p>
          <w:p w14:paraId="2E5F288C">
            <w:pPr>
              <w:spacing w:line="277" w:lineRule="auto"/>
              <w:rPr>
                <w:rFonts w:ascii="Arial"/>
                <w:sz w:val="21"/>
              </w:rPr>
            </w:pPr>
          </w:p>
          <w:p w14:paraId="2EE3B04B">
            <w:pPr>
              <w:spacing w:line="277" w:lineRule="auto"/>
              <w:rPr>
                <w:rFonts w:ascii="Arial"/>
                <w:sz w:val="21"/>
              </w:rPr>
            </w:pPr>
          </w:p>
          <w:p w14:paraId="46BB9F5B">
            <w:pPr>
              <w:pStyle w:val="6"/>
              <w:spacing w:before="68" w:line="221" w:lineRule="auto"/>
              <w:ind w:left="127"/>
            </w:pPr>
            <w:r>
              <w:rPr>
                <w:spacing w:val="2"/>
              </w:rPr>
              <w:t>统计设计</w:t>
            </w:r>
          </w:p>
          <w:p w14:paraId="1A4E588D">
            <w:pPr>
              <w:pStyle w:val="6"/>
              <w:spacing w:before="237" w:line="219" w:lineRule="auto"/>
              <w:ind w:left="127"/>
            </w:pPr>
            <w:r>
              <w:rPr>
                <w:spacing w:val="2"/>
              </w:rPr>
              <w:t>管理与执</w:t>
            </w:r>
          </w:p>
          <w:p w14:paraId="155A450D">
            <w:pPr>
              <w:pStyle w:val="6"/>
              <w:spacing w:before="251" w:line="221" w:lineRule="auto"/>
              <w:ind w:left="127"/>
            </w:pPr>
            <w:r>
              <w:rPr>
                <w:spacing w:val="-2"/>
              </w:rPr>
              <w:t>法监督股</w:t>
            </w:r>
          </w:p>
        </w:tc>
        <w:tc>
          <w:tcPr>
            <w:tcW w:w="1404" w:type="dxa"/>
            <w:vAlign w:val="top"/>
          </w:tcPr>
          <w:p w14:paraId="6945BBAD">
            <w:pPr>
              <w:pStyle w:val="6"/>
              <w:spacing w:before="211" w:line="219" w:lineRule="auto"/>
              <w:ind w:left="169"/>
            </w:pPr>
            <w:r>
              <w:rPr>
                <w:spacing w:val="2"/>
              </w:rPr>
              <w:t>联合旗市场</w:t>
            </w:r>
          </w:p>
          <w:p w14:paraId="4E88BEE7">
            <w:pPr>
              <w:pStyle w:val="6"/>
              <w:spacing w:before="250" w:line="219" w:lineRule="auto"/>
              <w:ind w:left="169"/>
            </w:pPr>
            <w:r>
              <w:rPr>
                <w:spacing w:val="3"/>
              </w:rPr>
              <w:t>监督管理局</w:t>
            </w:r>
          </w:p>
          <w:p w14:paraId="19294906">
            <w:pPr>
              <w:pStyle w:val="6"/>
              <w:spacing w:before="241" w:line="221" w:lineRule="auto"/>
              <w:ind w:left="169"/>
            </w:pPr>
            <w:r>
              <w:rPr>
                <w:spacing w:val="3"/>
              </w:rPr>
              <w:t>和旗财政局</w:t>
            </w:r>
          </w:p>
          <w:p w14:paraId="7D2A4A2E">
            <w:pPr>
              <w:pStyle w:val="6"/>
              <w:spacing w:before="239" w:line="221" w:lineRule="auto"/>
              <w:ind w:left="488"/>
            </w:pPr>
            <w:r>
              <w:rPr>
                <w:spacing w:val="5"/>
              </w:rPr>
              <w:t>开展</w:t>
            </w:r>
          </w:p>
        </w:tc>
      </w:tr>
      <w:tr w14:paraId="2B4CE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385" w:type="dxa"/>
            <w:vAlign w:val="top"/>
          </w:tcPr>
          <w:p w14:paraId="4FE5FAFA">
            <w:pPr>
              <w:spacing w:line="287" w:lineRule="auto"/>
              <w:rPr>
                <w:rFonts w:ascii="Arial"/>
                <w:sz w:val="21"/>
              </w:rPr>
            </w:pPr>
          </w:p>
          <w:p w14:paraId="7C20AA35">
            <w:pPr>
              <w:spacing w:line="288" w:lineRule="auto"/>
              <w:rPr>
                <w:rFonts w:ascii="Arial"/>
                <w:sz w:val="21"/>
              </w:rPr>
            </w:pPr>
          </w:p>
          <w:p w14:paraId="287E7C20">
            <w:pPr>
              <w:pStyle w:val="6"/>
              <w:spacing w:before="68" w:line="241" w:lineRule="auto"/>
              <w:ind w:left="125"/>
            </w:pPr>
            <w:r>
              <w:t>2</w:t>
            </w:r>
          </w:p>
        </w:tc>
        <w:tc>
          <w:tcPr>
            <w:tcW w:w="1029" w:type="dxa"/>
            <w:vMerge w:val="continue"/>
            <w:tcBorders>
              <w:top w:val="nil"/>
            </w:tcBorders>
            <w:vAlign w:val="top"/>
          </w:tcPr>
          <w:p w14:paraId="5E644904">
            <w:pPr>
              <w:rPr>
                <w:rFonts w:ascii="Arial"/>
                <w:sz w:val="21"/>
              </w:rPr>
            </w:pPr>
          </w:p>
        </w:tc>
        <w:tc>
          <w:tcPr>
            <w:tcW w:w="2448" w:type="dxa"/>
            <w:vAlign w:val="top"/>
          </w:tcPr>
          <w:p w14:paraId="4A2BF099">
            <w:pPr>
              <w:pStyle w:val="6"/>
              <w:spacing w:before="175" w:line="219" w:lineRule="auto"/>
              <w:ind w:left="280"/>
            </w:pPr>
            <w:r>
              <w:rPr>
                <w:spacing w:val="-1"/>
              </w:rPr>
              <w:t>对提供不真实或者不完</w:t>
            </w:r>
          </w:p>
          <w:p w14:paraId="60EB7902">
            <w:pPr>
              <w:pStyle w:val="6"/>
              <w:spacing w:before="221" w:line="350" w:lineRule="auto"/>
              <w:ind w:left="91" w:right="66" w:firstLine="189"/>
            </w:pPr>
            <w:r>
              <w:rPr>
                <w:spacing w:val="-1"/>
              </w:rPr>
              <w:t>整的统计资料的监督检</w:t>
            </w:r>
            <w:r>
              <w:t xml:space="preserve"> 查</w:t>
            </w: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1F905FCD"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 w14:paraId="0FE0B658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 w14:paraId="588D626D">
            <w:pPr>
              <w:rPr>
                <w:rFonts w:ascii="Arial"/>
                <w:sz w:val="21"/>
              </w:rPr>
            </w:pPr>
          </w:p>
        </w:tc>
        <w:tc>
          <w:tcPr>
            <w:tcW w:w="1000" w:type="dxa"/>
            <w:vMerge w:val="continue"/>
            <w:tcBorders>
              <w:top w:val="nil"/>
            </w:tcBorders>
            <w:vAlign w:val="top"/>
          </w:tcPr>
          <w:p w14:paraId="6F8628AE">
            <w:pPr>
              <w:rPr>
                <w:rFonts w:ascii="Arial"/>
                <w:sz w:val="21"/>
              </w:rPr>
            </w:pPr>
          </w:p>
        </w:tc>
        <w:tc>
          <w:tcPr>
            <w:tcW w:w="2218" w:type="dxa"/>
            <w:vAlign w:val="top"/>
          </w:tcPr>
          <w:p w14:paraId="369BD7D5">
            <w:pPr>
              <w:pStyle w:val="6"/>
              <w:spacing w:before="155" w:line="377" w:lineRule="auto"/>
              <w:ind w:left="56" w:right="35" w:firstLine="100"/>
            </w:pPr>
            <w:r>
              <w:rPr>
                <w:spacing w:val="-1"/>
              </w:rPr>
              <w:t>检查企业是否提供不</w:t>
            </w:r>
            <w:r>
              <w:t xml:space="preserve">  </w:t>
            </w:r>
            <w:r>
              <w:rPr>
                <w:spacing w:val="1"/>
              </w:rPr>
              <w:t>真实、不完整、不准确</w:t>
            </w:r>
            <w:r>
              <w:rPr>
                <w:spacing w:val="5"/>
              </w:rPr>
              <w:t xml:space="preserve"> 的统计资料。</w:t>
            </w:r>
          </w:p>
        </w:tc>
        <w:tc>
          <w:tcPr>
            <w:tcW w:w="1099" w:type="dxa"/>
            <w:vMerge w:val="continue"/>
            <w:tcBorders>
              <w:top w:val="nil"/>
            </w:tcBorders>
            <w:vAlign w:val="top"/>
          </w:tcPr>
          <w:p w14:paraId="3B2D2B4C"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Align w:val="top"/>
          </w:tcPr>
          <w:p w14:paraId="39D71AB7">
            <w:pPr>
              <w:spacing w:line="276" w:lineRule="auto"/>
              <w:rPr>
                <w:rFonts w:ascii="Arial"/>
                <w:sz w:val="21"/>
              </w:rPr>
            </w:pPr>
          </w:p>
          <w:p w14:paraId="3423CF3D">
            <w:pPr>
              <w:spacing w:line="277" w:lineRule="auto"/>
              <w:rPr>
                <w:rFonts w:ascii="Arial"/>
                <w:sz w:val="21"/>
              </w:rPr>
            </w:pPr>
          </w:p>
          <w:p w14:paraId="2D9C4E19">
            <w:pPr>
              <w:pStyle w:val="6"/>
              <w:spacing w:before="68" w:line="219" w:lineRule="auto"/>
              <w:ind w:left="169"/>
            </w:pPr>
            <w:r>
              <w:rPr>
                <w:spacing w:val="2"/>
              </w:rPr>
              <w:t>本部门开展</w:t>
            </w:r>
          </w:p>
        </w:tc>
      </w:tr>
    </w:tbl>
    <w:p w14:paraId="044EF3B8">
      <w:pPr>
        <w:pStyle w:val="2"/>
        <w:spacing w:line="287" w:lineRule="auto"/>
      </w:pPr>
    </w:p>
    <w:p w14:paraId="0F312747">
      <w:pPr>
        <w:spacing w:before="97"/>
        <w:ind w:left="27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—6—</w:t>
      </w:r>
    </w:p>
    <w:sectPr>
      <w:pgSz w:w="16840" w:h="11900"/>
      <w:pgMar w:top="1011" w:right="2165" w:bottom="400" w:left="21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087D7">
    <w:pPr>
      <w:spacing w:line="233" w:lineRule="auto"/>
      <w:ind w:left="275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3"/>
        <w:sz w:val="29"/>
        <w:szCs w:val="29"/>
      </w:rPr>
      <w:t>—3—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CC3D5">
    <w:pPr>
      <w:spacing w:line="234" w:lineRule="auto"/>
      <w:ind w:left="68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—4—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AFB76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CC42E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1704</Words>
  <Characters>1747</Characters>
  <TotalTime>0</TotalTime>
  <ScaleCrop>false</ScaleCrop>
  <LinksUpToDate>false</LinksUpToDate>
  <CharactersWithSpaces>1834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2025-12-01T15:48:00Z</dcterms:created>
  <dc:creator>Administrator</dc:creator>
  <cp:lastModifiedBy>白云</cp:lastModifiedBy>
  <dcterms:modified xsi:type="dcterms:W3CDTF">2025-12-01T07:49:42Z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2025-12-01T15:48:58Z</vt:filetime>
  </property>
  <property fmtid="{D5CDD505-2E9C-101B-9397-08002B2CF9AE}" pid="4" name="UsrData">
    <vt:lpwstr>692d4867ac2b00001f53f479wl</vt:lpwstr>
  </property>
  <property fmtid="{D5CDD505-2E9C-101B-9397-08002B2CF9AE}" pid="5" name="KSOTemplateDocerSaveRecord">
    <vt:lpwstr>eyJoZGlkIjoiMTJjNGI4ZTQxYzNiNjM4OTQ0ZTE2N2U1NzY4NDM4OTgiLCJ1c2VySWQiOiI1MDYzNzQ5NjMifQ==</vt:lpwstr>
  </property>
  <property fmtid="{D5CDD505-2E9C-101B-9397-08002B2CF9AE}" pid="6" name="KSOProductBuildVer">
    <vt:lpwstr>2052-12.1.0.23542</vt:lpwstr>
  </property>
  <property fmtid="{D5CDD505-2E9C-101B-9397-08002B2CF9AE}" pid="7" name="ICV">
    <vt:lpwstr>54003A27E2A34C3AA5A6A22920E16BBE_12</vt:lpwstr>
  </property>
</Properties>
</file>