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5C4CC">
      <w:pPr>
        <w:spacing w:before="344" w:line="241" w:lineRule="auto"/>
        <w:ind w:left="678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h</w:t>
      </w:r>
    </w:p>
    <w:p w14:paraId="65BE96DD">
      <w:pPr>
        <w:spacing w:line="477" w:lineRule="auto"/>
        <w:rPr>
          <w:rFonts w:ascii="Arial"/>
          <w:sz w:val="21"/>
        </w:rPr>
      </w:pPr>
    </w:p>
    <w:p w14:paraId="4BC46D7B">
      <w:pPr>
        <w:spacing w:before="143" w:line="237" w:lineRule="auto"/>
        <w:ind w:left="1825" w:right="667" w:hanging="1369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3"/>
          <w:sz w:val="44"/>
          <w:szCs w:val="44"/>
        </w:rPr>
        <w:t>准格尔旗统计局关于印发《2025年度统计</w:t>
      </w:r>
      <w:r>
        <w:rPr>
          <w:rFonts w:ascii="宋体" w:hAnsi="宋体" w:eastAsia="宋体" w:cs="宋体"/>
          <w:spacing w:val="3"/>
          <w:sz w:val="44"/>
          <w:szCs w:val="44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44"/>
          <w:szCs w:val="44"/>
        </w:rPr>
        <w:t>执法监督检查计划》的通知</w:t>
      </w:r>
    </w:p>
    <w:p w14:paraId="7D30050D">
      <w:pPr>
        <w:spacing w:line="284" w:lineRule="auto"/>
        <w:rPr>
          <w:rFonts w:ascii="Arial"/>
          <w:sz w:val="21"/>
        </w:rPr>
      </w:pPr>
    </w:p>
    <w:p w14:paraId="2E055ACD">
      <w:pPr>
        <w:spacing w:line="285" w:lineRule="auto"/>
        <w:rPr>
          <w:rFonts w:ascii="Arial"/>
          <w:sz w:val="21"/>
        </w:rPr>
      </w:pPr>
    </w:p>
    <w:p w14:paraId="44E0451D">
      <w:pPr>
        <w:pStyle w:val="2"/>
        <w:spacing w:before="105" w:line="221" w:lineRule="auto"/>
        <w:ind w:left="39"/>
        <w:rPr>
          <w:sz w:val="32"/>
          <w:szCs w:val="32"/>
        </w:rPr>
      </w:pPr>
      <w:r>
        <w:rPr>
          <w:spacing w:val="-4"/>
          <w:sz w:val="32"/>
          <w:szCs w:val="32"/>
        </w:rPr>
        <w:t>城乡社会经济调查队、各专业股室：</w:t>
      </w:r>
    </w:p>
    <w:p w14:paraId="4931C45D">
      <w:pPr>
        <w:pStyle w:val="2"/>
        <w:spacing w:before="202" w:line="335" w:lineRule="auto"/>
        <w:ind w:left="39" w:firstLine="670"/>
        <w:jc w:val="both"/>
        <w:rPr>
          <w:sz w:val="32"/>
          <w:szCs w:val="32"/>
        </w:rPr>
      </w:pPr>
      <w:r>
        <w:rPr>
          <w:spacing w:val="-6"/>
          <w:sz w:val="32"/>
          <w:szCs w:val="32"/>
        </w:rPr>
        <w:t>为进一步贯彻落实防范和惩治统计造假、弄虚作假责任制度，</w:t>
      </w:r>
      <w:r>
        <w:rPr>
          <w:spacing w:val="10"/>
          <w:sz w:val="32"/>
          <w:szCs w:val="32"/>
        </w:rPr>
        <w:t xml:space="preserve"> </w:t>
      </w:r>
      <w:r>
        <w:rPr>
          <w:spacing w:val="8"/>
          <w:sz w:val="32"/>
          <w:szCs w:val="32"/>
        </w:rPr>
        <w:t xml:space="preserve">提高全旗统计数据质量，做好我旗2025年度统计执法监督检查  </w:t>
      </w:r>
      <w:r>
        <w:rPr>
          <w:spacing w:val="-3"/>
          <w:sz w:val="32"/>
          <w:szCs w:val="32"/>
        </w:rPr>
        <w:t>工作，根据《鄂尔多斯市严格规范涉企行政检查为企业减负六条</w:t>
      </w:r>
      <w:r>
        <w:rPr>
          <w:spacing w:val="8"/>
          <w:sz w:val="32"/>
          <w:szCs w:val="32"/>
        </w:rPr>
        <w:t xml:space="preserve">  </w:t>
      </w:r>
      <w:r>
        <w:rPr>
          <w:spacing w:val="24"/>
          <w:sz w:val="32"/>
          <w:szCs w:val="32"/>
        </w:rPr>
        <w:t>措施(试行)的通知》(鄂府发〔2025〕3号)要求，制定《准</w:t>
      </w:r>
      <w:r>
        <w:rPr>
          <w:spacing w:val="4"/>
          <w:sz w:val="32"/>
          <w:szCs w:val="32"/>
        </w:rPr>
        <w:t xml:space="preserve">  </w:t>
      </w:r>
      <w:r>
        <w:rPr>
          <w:spacing w:val="1"/>
          <w:sz w:val="32"/>
          <w:szCs w:val="32"/>
        </w:rPr>
        <w:t>格尔旗统计局2025年统计执法监督检查计划》。现印发给你们，</w:t>
      </w:r>
    </w:p>
    <w:p w14:paraId="7A40F398">
      <w:pPr>
        <w:pStyle w:val="2"/>
        <w:spacing w:line="220" w:lineRule="auto"/>
        <w:ind w:left="39"/>
        <w:rPr>
          <w:sz w:val="32"/>
          <w:szCs w:val="32"/>
        </w:rPr>
      </w:pPr>
      <w:r>
        <w:rPr>
          <w:spacing w:val="-9"/>
          <w:sz w:val="32"/>
          <w:szCs w:val="32"/>
        </w:rPr>
        <w:t>请遵照执行。</w:t>
      </w:r>
    </w:p>
    <w:p w14:paraId="7C8E9802">
      <w:pPr>
        <w:pStyle w:val="2"/>
        <w:spacing w:before="312" w:line="222" w:lineRule="auto"/>
        <w:ind w:left="5689"/>
      </w:pPr>
      <w:r>
        <w:rPr>
          <w:spacing w:val="26"/>
        </w:rPr>
        <w:t>准格尔旗统计局</w:t>
      </w:r>
    </w:p>
    <w:p w14:paraId="7D9753C2">
      <w:pPr>
        <w:pStyle w:val="2"/>
        <w:spacing w:before="211" w:line="222" w:lineRule="auto"/>
        <w:ind w:left="5630"/>
      </w:pPr>
      <w:r>
        <w:rPr>
          <w:spacing w:val="-18"/>
        </w:rPr>
        <w:t>2</w:t>
      </w:r>
      <w:r>
        <w:rPr>
          <w:spacing w:val="-59"/>
        </w:rPr>
        <w:t xml:space="preserve"> </w:t>
      </w:r>
      <w:r>
        <w:rPr>
          <w:spacing w:val="-18"/>
        </w:rPr>
        <w:t>0</w:t>
      </w:r>
      <w:r>
        <w:rPr>
          <w:spacing w:val="-59"/>
        </w:rPr>
        <w:t xml:space="preserve"> </w:t>
      </w:r>
      <w:r>
        <w:rPr>
          <w:spacing w:val="-18"/>
        </w:rPr>
        <w:t>2</w:t>
      </w:r>
      <w:r>
        <w:rPr>
          <w:spacing w:val="-56"/>
        </w:rPr>
        <w:t xml:space="preserve"> </w:t>
      </w:r>
      <w:r>
        <w:rPr>
          <w:spacing w:val="-18"/>
        </w:rPr>
        <w:t>5</w:t>
      </w:r>
      <w:r>
        <w:rPr>
          <w:spacing w:val="-47"/>
        </w:rPr>
        <w:t xml:space="preserve"> </w:t>
      </w:r>
      <w:r>
        <w:rPr>
          <w:spacing w:val="-18"/>
        </w:rPr>
        <w:t>年</w:t>
      </w:r>
      <w:r>
        <w:rPr>
          <w:spacing w:val="-57"/>
        </w:rPr>
        <w:t xml:space="preserve"> </w:t>
      </w:r>
      <w:r>
        <w:rPr>
          <w:spacing w:val="-18"/>
        </w:rPr>
        <w:t>3</w:t>
      </w:r>
      <w:r>
        <w:rPr>
          <w:spacing w:val="-39"/>
        </w:rPr>
        <w:t xml:space="preserve"> </w:t>
      </w:r>
      <w:r>
        <w:rPr>
          <w:spacing w:val="-18"/>
        </w:rPr>
        <w:t>月</w:t>
      </w:r>
      <w:r>
        <w:rPr>
          <w:spacing w:val="-41"/>
        </w:rPr>
        <w:t xml:space="preserve"> </w:t>
      </w:r>
      <w:r>
        <w:rPr>
          <w:spacing w:val="-18"/>
        </w:rPr>
        <w:t>1</w:t>
      </w:r>
      <w:r>
        <w:rPr>
          <w:spacing w:val="-55"/>
        </w:rPr>
        <w:t xml:space="preserve"> </w:t>
      </w:r>
      <w:r>
        <w:rPr>
          <w:spacing w:val="-18"/>
        </w:rPr>
        <w:t>7</w:t>
      </w:r>
      <w:r>
        <w:rPr>
          <w:spacing w:val="8"/>
        </w:rPr>
        <w:t xml:space="preserve"> </w:t>
      </w:r>
      <w:r>
        <w:rPr>
          <w:spacing w:val="-18"/>
        </w:rPr>
        <w:t>日</w:t>
      </w:r>
    </w:p>
    <w:p w14:paraId="553BC13A">
      <w:pPr>
        <w:spacing w:line="222" w:lineRule="auto"/>
        <w:sectPr>
          <w:pgSz w:w="11900" w:h="16830"/>
          <w:pgMar w:top="1430" w:right="1159" w:bottom="0" w:left="1539" w:header="0" w:footer="0" w:gutter="0"/>
          <w:cols w:space="720" w:num="1"/>
        </w:sectPr>
      </w:pPr>
    </w:p>
    <w:p w14:paraId="79B96CAF">
      <w:pPr>
        <w:spacing w:line="346" w:lineRule="auto"/>
        <w:rPr>
          <w:rFonts w:ascii="Arial"/>
          <w:sz w:val="21"/>
        </w:rPr>
      </w:pPr>
    </w:p>
    <w:p w14:paraId="425DC43F">
      <w:pPr>
        <w:spacing w:line="347" w:lineRule="auto"/>
        <w:rPr>
          <w:rFonts w:ascii="Arial"/>
          <w:sz w:val="21"/>
        </w:rPr>
      </w:pPr>
    </w:p>
    <w:p w14:paraId="55E27333">
      <w:pPr>
        <w:spacing w:before="143" w:line="237" w:lineRule="auto"/>
        <w:ind w:left="2665" w:right="1522" w:hanging="1209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9"/>
          <w:sz w:val="44"/>
          <w:szCs w:val="44"/>
        </w:rPr>
        <w:t>准格尔旗统计局2025年度统计</w:t>
      </w:r>
      <w:r>
        <w:rPr>
          <w:rFonts w:ascii="宋体" w:hAnsi="宋体" w:eastAsia="宋体" w:cs="宋体"/>
          <w:spacing w:val="11"/>
          <w:sz w:val="44"/>
          <w:szCs w:val="4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44"/>
          <w:szCs w:val="44"/>
        </w:rPr>
        <w:t>执法监督检查计划</w:t>
      </w:r>
    </w:p>
    <w:p w14:paraId="5C95C769">
      <w:pPr>
        <w:spacing w:line="312" w:lineRule="auto"/>
        <w:rPr>
          <w:rFonts w:ascii="Arial"/>
          <w:sz w:val="21"/>
        </w:rPr>
      </w:pPr>
    </w:p>
    <w:p w14:paraId="3FC107DB">
      <w:pPr>
        <w:spacing w:line="312" w:lineRule="auto"/>
        <w:rPr>
          <w:rFonts w:ascii="Arial"/>
          <w:sz w:val="21"/>
        </w:rPr>
      </w:pPr>
    </w:p>
    <w:p w14:paraId="548809AC">
      <w:pPr>
        <w:pStyle w:val="2"/>
        <w:spacing w:before="100" w:line="339" w:lineRule="auto"/>
        <w:ind w:firstLine="670"/>
        <w:jc w:val="both"/>
        <w:rPr>
          <w:b w:val="0"/>
          <w:bCs w:val="0"/>
          <w:sz w:val="31"/>
          <w:szCs w:val="31"/>
        </w:rPr>
      </w:pPr>
      <w:r>
        <w:rPr>
          <w:b w:val="0"/>
          <w:bCs w:val="0"/>
          <w:spacing w:val="7"/>
          <w:sz w:val="31"/>
          <w:szCs w:val="31"/>
        </w:rPr>
        <w:t>为深入贯彻落实党中央、国务院关于防范和惩治统计造假、</w:t>
      </w:r>
      <w:r>
        <w:rPr>
          <w:b w:val="0"/>
          <w:bCs w:val="0"/>
          <w:spacing w:val="1"/>
          <w:sz w:val="31"/>
          <w:szCs w:val="31"/>
        </w:rPr>
        <w:t xml:space="preserve"> </w:t>
      </w:r>
      <w:r>
        <w:rPr>
          <w:b w:val="0"/>
          <w:bCs w:val="0"/>
          <w:spacing w:val="6"/>
          <w:sz w:val="31"/>
          <w:szCs w:val="31"/>
        </w:rPr>
        <w:t>弄虚作假决策部署，进一步夯实统计机构主体责任，</w:t>
      </w:r>
      <w:r>
        <w:rPr>
          <w:b w:val="0"/>
          <w:bCs w:val="0"/>
          <w:spacing w:val="5"/>
          <w:sz w:val="31"/>
          <w:szCs w:val="31"/>
        </w:rPr>
        <w:t>更加有效发</w:t>
      </w:r>
      <w:r>
        <w:rPr>
          <w:b w:val="0"/>
          <w:bCs w:val="0"/>
          <w:sz w:val="31"/>
          <w:szCs w:val="31"/>
        </w:rPr>
        <w:t xml:space="preserve"> </w:t>
      </w:r>
      <w:r>
        <w:rPr>
          <w:b w:val="0"/>
          <w:bCs w:val="0"/>
          <w:spacing w:val="6"/>
          <w:sz w:val="31"/>
          <w:szCs w:val="31"/>
        </w:rPr>
        <w:t>挥统计监督职能作用，按照国家统计局、自治</w:t>
      </w:r>
      <w:r>
        <w:rPr>
          <w:b w:val="0"/>
          <w:bCs w:val="0"/>
          <w:spacing w:val="5"/>
          <w:sz w:val="31"/>
          <w:szCs w:val="31"/>
        </w:rPr>
        <w:t>区统计局和市统计</w:t>
      </w:r>
      <w:r>
        <w:rPr>
          <w:b w:val="0"/>
          <w:bCs w:val="0"/>
          <w:sz w:val="31"/>
          <w:szCs w:val="31"/>
        </w:rPr>
        <w:t xml:space="preserve"> </w:t>
      </w:r>
      <w:r>
        <w:rPr>
          <w:b w:val="0"/>
          <w:bCs w:val="0"/>
          <w:spacing w:val="5"/>
          <w:sz w:val="31"/>
          <w:szCs w:val="31"/>
        </w:rPr>
        <w:t>局相关要求，结合本年度统计法治工作重点任务，制定准格</w:t>
      </w:r>
      <w:r>
        <w:rPr>
          <w:b w:val="0"/>
          <w:bCs w:val="0"/>
          <w:spacing w:val="4"/>
          <w:sz w:val="31"/>
          <w:szCs w:val="31"/>
        </w:rPr>
        <w:t>尔旗</w:t>
      </w:r>
      <w:r>
        <w:rPr>
          <w:b w:val="0"/>
          <w:bCs w:val="0"/>
          <w:sz w:val="31"/>
          <w:szCs w:val="31"/>
        </w:rPr>
        <w:t xml:space="preserve"> </w:t>
      </w:r>
      <w:r>
        <w:rPr>
          <w:b w:val="0"/>
          <w:bCs w:val="0"/>
          <w:spacing w:val="13"/>
          <w:sz w:val="31"/>
          <w:szCs w:val="31"/>
        </w:rPr>
        <w:t>统计局2025年统计执法监督检查计划。</w:t>
      </w:r>
    </w:p>
    <w:p w14:paraId="46A5F24B">
      <w:pPr>
        <w:spacing w:before="20" w:line="222" w:lineRule="auto"/>
        <w:ind w:left="674"/>
        <w:outlineLvl w:val="2"/>
        <w:rPr>
          <w:rFonts w:ascii="黑体" w:hAnsi="黑体" w:eastAsia="黑体" w:cs="黑体"/>
          <w:b w:val="0"/>
          <w:bCs w:val="0"/>
          <w:sz w:val="31"/>
          <w:szCs w:val="31"/>
        </w:rPr>
      </w:pPr>
      <w:r>
        <w:rPr>
          <w:rFonts w:ascii="黑体" w:hAnsi="黑体" w:eastAsia="黑体" w:cs="黑体"/>
          <w:b w:val="0"/>
          <w:bCs w:val="0"/>
          <w:spacing w:val="5"/>
          <w:sz w:val="31"/>
          <w:szCs w:val="31"/>
        </w:rPr>
        <w:t>一、检查主体、事项及依据</w:t>
      </w:r>
    </w:p>
    <w:p w14:paraId="03DE31A4">
      <w:pPr>
        <w:pStyle w:val="2"/>
        <w:spacing w:before="189" w:line="345" w:lineRule="auto"/>
        <w:ind w:right="35" w:firstLine="670"/>
        <w:jc w:val="both"/>
        <w:rPr>
          <w:b w:val="0"/>
          <w:bCs w:val="0"/>
          <w:sz w:val="31"/>
          <w:szCs w:val="31"/>
        </w:rPr>
      </w:pPr>
      <w:r>
        <w:rPr>
          <w:b w:val="0"/>
          <w:bCs w:val="0"/>
          <w:spacing w:val="11"/>
          <w:sz w:val="31"/>
          <w:szCs w:val="31"/>
        </w:rPr>
        <w:t>准格尔旗统计局依据《中华人民共和国统计法》,根据准格</w:t>
      </w:r>
      <w:r>
        <w:rPr>
          <w:b w:val="0"/>
          <w:bCs w:val="0"/>
          <w:spacing w:val="17"/>
          <w:sz w:val="31"/>
          <w:szCs w:val="31"/>
        </w:rPr>
        <w:t xml:space="preserve"> </w:t>
      </w:r>
      <w:r>
        <w:rPr>
          <w:b w:val="0"/>
          <w:bCs w:val="0"/>
          <w:spacing w:val="6"/>
          <w:sz w:val="31"/>
          <w:szCs w:val="31"/>
        </w:rPr>
        <w:t>尔旗统计局权责清单，依法开展对迟报统计资料</w:t>
      </w:r>
      <w:r>
        <w:rPr>
          <w:b w:val="0"/>
          <w:bCs w:val="0"/>
          <w:spacing w:val="5"/>
          <w:sz w:val="31"/>
          <w:szCs w:val="31"/>
        </w:rPr>
        <w:t>或者未按照国家</w:t>
      </w:r>
      <w:r>
        <w:rPr>
          <w:b w:val="0"/>
          <w:bCs w:val="0"/>
          <w:sz w:val="31"/>
          <w:szCs w:val="31"/>
        </w:rPr>
        <w:t xml:space="preserve"> </w:t>
      </w:r>
      <w:r>
        <w:rPr>
          <w:b w:val="0"/>
          <w:bCs w:val="0"/>
          <w:spacing w:val="6"/>
          <w:sz w:val="31"/>
          <w:szCs w:val="31"/>
        </w:rPr>
        <w:t>有关规定设置原始记录、统计台账的监督检查和对提供不真实或</w:t>
      </w:r>
      <w:r>
        <w:rPr>
          <w:b w:val="0"/>
          <w:bCs w:val="0"/>
          <w:sz w:val="31"/>
          <w:szCs w:val="31"/>
        </w:rPr>
        <w:t xml:space="preserve"> </w:t>
      </w:r>
      <w:r>
        <w:rPr>
          <w:b w:val="0"/>
          <w:bCs w:val="0"/>
          <w:spacing w:val="6"/>
          <w:sz w:val="31"/>
          <w:szCs w:val="31"/>
        </w:rPr>
        <w:t>者不完整的统计资料的监督检查。</w:t>
      </w:r>
    </w:p>
    <w:p w14:paraId="6F44C9EE">
      <w:pPr>
        <w:spacing w:before="12" w:line="222" w:lineRule="auto"/>
        <w:ind w:left="674"/>
        <w:outlineLvl w:val="2"/>
        <w:rPr>
          <w:rFonts w:ascii="黑体" w:hAnsi="黑体" w:eastAsia="黑体" w:cs="黑体"/>
          <w:b w:val="0"/>
          <w:bCs w:val="0"/>
          <w:sz w:val="31"/>
          <w:szCs w:val="31"/>
        </w:rPr>
      </w:pPr>
      <w:r>
        <w:rPr>
          <w:rFonts w:ascii="黑体" w:hAnsi="黑体" w:eastAsia="黑体" w:cs="黑体"/>
          <w:b w:val="0"/>
          <w:bCs w:val="0"/>
          <w:spacing w:val="5"/>
          <w:sz w:val="31"/>
          <w:szCs w:val="31"/>
        </w:rPr>
        <w:t>二、检查对象范围</w:t>
      </w:r>
    </w:p>
    <w:p w14:paraId="58A16E6C">
      <w:pPr>
        <w:pStyle w:val="2"/>
        <w:spacing w:before="199" w:line="347" w:lineRule="auto"/>
        <w:ind w:firstLine="670"/>
        <w:jc w:val="both"/>
        <w:rPr>
          <w:b w:val="0"/>
          <w:bCs w:val="0"/>
          <w:sz w:val="31"/>
          <w:szCs w:val="31"/>
        </w:rPr>
      </w:pPr>
      <w:r>
        <w:rPr>
          <w:b w:val="0"/>
          <w:bCs w:val="0"/>
          <w:spacing w:val="5"/>
          <w:sz w:val="31"/>
          <w:szCs w:val="31"/>
        </w:rPr>
        <w:t>以全旗联网直报单位为主，包括规模以上工业企</w:t>
      </w:r>
      <w:r>
        <w:rPr>
          <w:b w:val="0"/>
          <w:bCs w:val="0"/>
          <w:spacing w:val="4"/>
          <w:sz w:val="31"/>
          <w:szCs w:val="31"/>
        </w:rPr>
        <w:t>业、限额以</w:t>
      </w:r>
      <w:r>
        <w:rPr>
          <w:b w:val="0"/>
          <w:bCs w:val="0"/>
          <w:sz w:val="31"/>
          <w:szCs w:val="31"/>
        </w:rPr>
        <w:t xml:space="preserve"> </w:t>
      </w:r>
      <w:r>
        <w:rPr>
          <w:b w:val="0"/>
          <w:bCs w:val="0"/>
          <w:spacing w:val="8"/>
          <w:sz w:val="31"/>
          <w:szCs w:val="31"/>
        </w:rPr>
        <w:t>上批零住餐企业、规模以上服务业企业、有资质的建筑业企业、</w:t>
      </w:r>
      <w:r>
        <w:rPr>
          <w:b w:val="0"/>
          <w:bCs w:val="0"/>
          <w:spacing w:val="10"/>
          <w:sz w:val="31"/>
          <w:szCs w:val="31"/>
        </w:rPr>
        <w:t xml:space="preserve"> </w:t>
      </w:r>
      <w:r>
        <w:rPr>
          <w:b w:val="0"/>
          <w:bCs w:val="0"/>
          <w:spacing w:val="6"/>
          <w:sz w:val="31"/>
          <w:szCs w:val="31"/>
        </w:rPr>
        <w:t>有开发经营活动的房地产企业等。</w:t>
      </w:r>
    </w:p>
    <w:p w14:paraId="7DE9F7BC">
      <w:pPr>
        <w:spacing w:before="1" w:line="222" w:lineRule="auto"/>
        <w:ind w:left="674"/>
        <w:outlineLvl w:val="2"/>
        <w:rPr>
          <w:rFonts w:ascii="黑体" w:hAnsi="黑体" w:eastAsia="黑体" w:cs="黑体"/>
          <w:b w:val="0"/>
          <w:bCs w:val="0"/>
          <w:sz w:val="31"/>
          <w:szCs w:val="31"/>
        </w:rPr>
      </w:pPr>
      <w:r>
        <w:rPr>
          <w:rFonts w:ascii="黑体" w:hAnsi="黑体" w:eastAsia="黑体" w:cs="黑体"/>
          <w:b w:val="0"/>
          <w:bCs w:val="0"/>
          <w:spacing w:val="7"/>
          <w:sz w:val="31"/>
          <w:szCs w:val="31"/>
        </w:rPr>
        <w:t>三、检查比例及频次</w:t>
      </w:r>
    </w:p>
    <w:p w14:paraId="5C5A690B">
      <w:pPr>
        <w:pStyle w:val="2"/>
        <w:spacing w:before="189" w:line="348" w:lineRule="auto"/>
        <w:ind w:right="4" w:firstLine="670"/>
        <w:jc w:val="both"/>
        <w:rPr>
          <w:b w:val="0"/>
          <w:bCs w:val="0"/>
          <w:sz w:val="31"/>
          <w:szCs w:val="31"/>
        </w:rPr>
      </w:pPr>
      <w:r>
        <w:rPr>
          <w:b w:val="0"/>
          <w:bCs w:val="0"/>
          <w:spacing w:val="-10"/>
          <w:sz w:val="31"/>
          <w:szCs w:val="31"/>
        </w:rPr>
        <w:t>按照为企业减负相关规定，积极推行“进一次门，</w:t>
      </w:r>
      <w:r>
        <w:rPr>
          <w:b w:val="0"/>
          <w:bCs w:val="0"/>
          <w:spacing w:val="-11"/>
          <w:sz w:val="31"/>
          <w:szCs w:val="31"/>
        </w:rPr>
        <w:t>查多事项”,</w:t>
      </w:r>
      <w:r>
        <w:rPr>
          <w:b w:val="0"/>
          <w:bCs w:val="0"/>
          <w:sz w:val="31"/>
          <w:szCs w:val="31"/>
        </w:rPr>
        <w:t xml:space="preserve"> </w:t>
      </w:r>
      <w:r>
        <w:rPr>
          <w:b w:val="0"/>
          <w:bCs w:val="0"/>
          <w:spacing w:val="18"/>
          <w:sz w:val="31"/>
          <w:szCs w:val="31"/>
        </w:rPr>
        <w:t>计划11月底前完成全部计划类统计执法检查，检查比例不高于</w:t>
      </w:r>
      <w:r>
        <w:rPr>
          <w:b w:val="0"/>
          <w:bCs w:val="0"/>
          <w:spacing w:val="10"/>
          <w:sz w:val="31"/>
          <w:szCs w:val="31"/>
        </w:rPr>
        <w:t xml:space="preserve"> </w:t>
      </w:r>
      <w:r>
        <w:rPr>
          <w:b w:val="0"/>
          <w:bCs w:val="0"/>
          <w:spacing w:val="34"/>
          <w:sz w:val="31"/>
          <w:szCs w:val="31"/>
        </w:rPr>
        <w:t>检查对象范围总数的5%,检查频次1次。</w:t>
      </w:r>
    </w:p>
    <w:p w14:paraId="60B3BEFE">
      <w:pPr>
        <w:spacing w:line="219" w:lineRule="auto"/>
        <w:ind w:left="674"/>
        <w:outlineLvl w:val="2"/>
        <w:rPr>
          <w:rFonts w:ascii="黑体" w:hAnsi="黑体" w:eastAsia="黑体" w:cs="黑体"/>
          <w:b w:val="0"/>
          <w:bCs w:val="0"/>
          <w:sz w:val="31"/>
          <w:szCs w:val="31"/>
        </w:rPr>
      </w:pPr>
      <w:r>
        <w:rPr>
          <w:rFonts w:ascii="黑体" w:hAnsi="黑体" w:eastAsia="黑体" w:cs="黑体"/>
          <w:b w:val="0"/>
          <w:bCs w:val="0"/>
          <w:spacing w:val="5"/>
          <w:sz w:val="31"/>
          <w:szCs w:val="31"/>
        </w:rPr>
        <w:t>四、执法检查方式</w:t>
      </w:r>
    </w:p>
    <w:p w14:paraId="4AE37E50">
      <w:pPr>
        <w:spacing w:line="219" w:lineRule="auto"/>
        <w:rPr>
          <w:rFonts w:ascii="黑体" w:hAnsi="黑体" w:eastAsia="黑体" w:cs="黑体"/>
          <w:b w:val="0"/>
          <w:bCs w:val="0"/>
          <w:sz w:val="31"/>
          <w:szCs w:val="31"/>
        </w:rPr>
        <w:sectPr>
          <w:footerReference r:id="rId5" w:type="default"/>
          <w:pgSz w:w="11900" w:h="16830"/>
          <w:pgMar w:top="1430" w:right="1414" w:bottom="1636" w:left="1569" w:header="0" w:footer="1231" w:gutter="0"/>
          <w:cols w:space="720" w:num="1"/>
        </w:sectPr>
      </w:pPr>
    </w:p>
    <w:p w14:paraId="7FC1595E">
      <w:pPr>
        <w:spacing w:line="258" w:lineRule="auto"/>
        <w:rPr>
          <w:rFonts w:ascii="Arial"/>
          <w:b w:val="0"/>
          <w:bCs w:val="0"/>
          <w:sz w:val="21"/>
        </w:rPr>
      </w:pPr>
    </w:p>
    <w:p w14:paraId="1D275BED">
      <w:pPr>
        <w:spacing w:line="259" w:lineRule="auto"/>
        <w:rPr>
          <w:rFonts w:ascii="Arial"/>
          <w:b w:val="0"/>
          <w:bCs w:val="0"/>
          <w:sz w:val="21"/>
        </w:rPr>
      </w:pPr>
    </w:p>
    <w:p w14:paraId="14E3BB10">
      <w:pPr>
        <w:spacing w:line="259" w:lineRule="auto"/>
        <w:rPr>
          <w:rFonts w:ascii="Arial"/>
          <w:b w:val="0"/>
          <w:bCs w:val="0"/>
          <w:sz w:val="21"/>
        </w:rPr>
      </w:pPr>
    </w:p>
    <w:p w14:paraId="747B1D28">
      <w:pPr>
        <w:spacing w:before="101" w:line="227" w:lineRule="auto"/>
        <w:ind w:left="800"/>
        <w:rPr>
          <w:rFonts w:ascii="楷体" w:hAnsi="楷体" w:eastAsia="楷体" w:cs="楷体"/>
          <w:b w:val="0"/>
          <w:bCs w:val="0"/>
          <w:sz w:val="31"/>
          <w:szCs w:val="31"/>
        </w:rPr>
      </w:pPr>
      <w:r>
        <w:rPr>
          <w:rFonts w:ascii="楷体" w:hAnsi="楷体" w:eastAsia="楷体" w:cs="楷体"/>
          <w:b w:val="0"/>
          <w:bCs w:val="0"/>
          <w:spacing w:val="22"/>
          <w:sz w:val="31"/>
          <w:szCs w:val="31"/>
        </w:rPr>
        <w:t>(一)重点执法监督检查</w:t>
      </w:r>
    </w:p>
    <w:p w14:paraId="6BB9CB01">
      <w:pPr>
        <w:pStyle w:val="2"/>
        <w:spacing w:before="194" w:line="346" w:lineRule="auto"/>
        <w:ind w:right="302" w:firstLine="670"/>
        <w:jc w:val="both"/>
        <w:rPr>
          <w:b w:val="0"/>
          <w:bCs w:val="0"/>
          <w:sz w:val="31"/>
          <w:szCs w:val="31"/>
        </w:rPr>
      </w:pPr>
      <w:r>
        <w:rPr>
          <w:b w:val="0"/>
          <w:bCs w:val="0"/>
          <w:spacing w:val="5"/>
          <w:sz w:val="31"/>
          <w:szCs w:val="31"/>
        </w:rPr>
        <w:t>对自治区统计局、市统计局移交、部门移送、群众举报、各</w:t>
      </w:r>
      <w:r>
        <w:rPr>
          <w:b w:val="0"/>
          <w:bCs w:val="0"/>
          <w:spacing w:val="10"/>
          <w:sz w:val="31"/>
          <w:szCs w:val="31"/>
        </w:rPr>
        <w:t xml:space="preserve"> </w:t>
      </w:r>
      <w:r>
        <w:rPr>
          <w:b w:val="0"/>
          <w:bCs w:val="0"/>
          <w:spacing w:val="17"/>
          <w:sz w:val="31"/>
          <w:szCs w:val="31"/>
        </w:rPr>
        <w:t>专业股室反馈等渠道获得的统计违法线索开展</w:t>
      </w:r>
      <w:r>
        <w:rPr>
          <w:b w:val="0"/>
          <w:bCs w:val="0"/>
          <w:spacing w:val="16"/>
          <w:sz w:val="31"/>
          <w:szCs w:val="31"/>
        </w:rPr>
        <w:t>重点统计执法检</w:t>
      </w:r>
      <w:r>
        <w:rPr>
          <w:b w:val="0"/>
          <w:bCs w:val="0"/>
          <w:sz w:val="31"/>
          <w:szCs w:val="31"/>
        </w:rPr>
        <w:t xml:space="preserve"> </w:t>
      </w:r>
      <w:r>
        <w:rPr>
          <w:b w:val="0"/>
          <w:bCs w:val="0"/>
          <w:spacing w:val="-7"/>
          <w:sz w:val="31"/>
          <w:szCs w:val="31"/>
        </w:rPr>
        <w:t>查。</w:t>
      </w:r>
    </w:p>
    <w:p w14:paraId="2AB32E1C">
      <w:pPr>
        <w:spacing w:before="1" w:line="227" w:lineRule="auto"/>
        <w:ind w:left="800"/>
        <w:rPr>
          <w:rFonts w:ascii="楷体" w:hAnsi="楷体" w:eastAsia="楷体" w:cs="楷体"/>
          <w:b w:val="0"/>
          <w:bCs w:val="0"/>
          <w:sz w:val="31"/>
          <w:szCs w:val="31"/>
        </w:rPr>
      </w:pPr>
      <w:r>
        <w:rPr>
          <w:rFonts w:ascii="楷体" w:hAnsi="楷体" w:eastAsia="楷体" w:cs="楷体"/>
          <w:b w:val="0"/>
          <w:bCs w:val="0"/>
          <w:spacing w:val="23"/>
          <w:sz w:val="31"/>
          <w:szCs w:val="31"/>
        </w:rPr>
        <w:t>(二)常规执法检查</w:t>
      </w:r>
    </w:p>
    <w:p w14:paraId="25BBC131">
      <w:pPr>
        <w:pStyle w:val="2"/>
        <w:spacing w:before="203" w:line="339" w:lineRule="auto"/>
        <w:ind w:right="302" w:firstLine="670"/>
        <w:rPr>
          <w:b w:val="0"/>
          <w:bCs w:val="0"/>
          <w:sz w:val="31"/>
          <w:szCs w:val="31"/>
        </w:rPr>
      </w:pPr>
      <w:r>
        <w:rPr>
          <w:b w:val="0"/>
          <w:bCs w:val="0"/>
          <w:spacing w:val="11"/>
          <w:sz w:val="31"/>
          <w:szCs w:val="31"/>
        </w:rPr>
        <w:t>按照《统计执法监督检查办法》,对检查对象开展实地统计</w:t>
      </w:r>
      <w:r>
        <w:rPr>
          <w:b w:val="0"/>
          <w:bCs w:val="0"/>
          <w:spacing w:val="9"/>
          <w:sz w:val="31"/>
          <w:szCs w:val="31"/>
        </w:rPr>
        <w:t xml:space="preserve"> </w:t>
      </w:r>
      <w:r>
        <w:rPr>
          <w:b w:val="0"/>
          <w:bCs w:val="0"/>
          <w:spacing w:val="-2"/>
          <w:sz w:val="31"/>
          <w:szCs w:val="31"/>
        </w:rPr>
        <w:t>执法监督检查。</w:t>
      </w:r>
    </w:p>
    <w:p w14:paraId="45CA2C3F">
      <w:pPr>
        <w:spacing w:before="12" w:line="224" w:lineRule="auto"/>
        <w:ind w:left="800"/>
        <w:rPr>
          <w:rFonts w:ascii="楷体" w:hAnsi="楷体" w:eastAsia="楷体" w:cs="楷体"/>
          <w:b w:val="0"/>
          <w:bCs w:val="0"/>
          <w:sz w:val="31"/>
          <w:szCs w:val="31"/>
        </w:rPr>
      </w:pPr>
      <w:r>
        <w:rPr>
          <w:rFonts w:ascii="楷体" w:hAnsi="楷体" w:eastAsia="楷体" w:cs="楷体"/>
          <w:b w:val="0"/>
          <w:bCs w:val="0"/>
          <w:spacing w:val="24"/>
          <w:sz w:val="31"/>
          <w:szCs w:val="31"/>
        </w:rPr>
        <w:t>(三)部门联合执法检查</w:t>
      </w:r>
    </w:p>
    <w:p w14:paraId="0A55A255">
      <w:pPr>
        <w:pStyle w:val="2"/>
        <w:spacing w:before="214" w:line="339" w:lineRule="auto"/>
        <w:ind w:firstLine="670"/>
        <w:rPr>
          <w:b w:val="0"/>
          <w:bCs w:val="0"/>
          <w:sz w:val="31"/>
          <w:szCs w:val="31"/>
        </w:rPr>
      </w:pPr>
      <w:r>
        <w:rPr>
          <w:b w:val="0"/>
          <w:bCs w:val="0"/>
          <w:spacing w:val="4"/>
          <w:sz w:val="31"/>
          <w:szCs w:val="31"/>
        </w:rPr>
        <w:t>按照《准格尔旗统计局2025年度部门联合“双随机、一公开”</w:t>
      </w:r>
      <w:r>
        <w:rPr>
          <w:b w:val="0"/>
          <w:bCs w:val="0"/>
          <w:spacing w:val="17"/>
          <w:sz w:val="31"/>
          <w:szCs w:val="31"/>
        </w:rPr>
        <w:t xml:space="preserve"> </w:t>
      </w:r>
      <w:r>
        <w:rPr>
          <w:b w:val="0"/>
          <w:bCs w:val="0"/>
          <w:spacing w:val="-5"/>
          <w:sz w:val="31"/>
          <w:szCs w:val="31"/>
        </w:rPr>
        <w:t>抽查工作计划》工作要求，全面落实统计执法检查“双随机”制度，</w:t>
      </w:r>
      <w:r>
        <w:rPr>
          <w:b w:val="0"/>
          <w:bCs w:val="0"/>
          <w:spacing w:val="3"/>
          <w:sz w:val="31"/>
          <w:szCs w:val="31"/>
        </w:rPr>
        <w:t xml:space="preserve"> </w:t>
      </w:r>
      <w:r>
        <w:rPr>
          <w:b w:val="0"/>
          <w:bCs w:val="0"/>
          <w:spacing w:val="17"/>
          <w:sz w:val="31"/>
          <w:szCs w:val="31"/>
        </w:rPr>
        <w:t>计划7—9月开始与旗市场监督管理局开展统计</w:t>
      </w:r>
      <w:r>
        <w:rPr>
          <w:b w:val="0"/>
          <w:bCs w:val="0"/>
          <w:spacing w:val="16"/>
          <w:sz w:val="31"/>
          <w:szCs w:val="31"/>
        </w:rPr>
        <w:t>和市场监管领域</w:t>
      </w:r>
      <w:r>
        <w:rPr>
          <w:b w:val="0"/>
          <w:bCs w:val="0"/>
          <w:sz w:val="31"/>
          <w:szCs w:val="31"/>
        </w:rPr>
        <w:t xml:space="preserve">   </w:t>
      </w:r>
      <w:r>
        <w:rPr>
          <w:b w:val="0"/>
          <w:bCs w:val="0"/>
          <w:spacing w:val="-2"/>
          <w:sz w:val="31"/>
          <w:szCs w:val="31"/>
        </w:rPr>
        <w:t>联合执法检查。</w:t>
      </w:r>
    </w:p>
    <w:p w14:paraId="5D252B40">
      <w:pPr>
        <w:spacing w:before="21" w:line="222" w:lineRule="auto"/>
        <w:ind w:left="674"/>
        <w:outlineLvl w:val="2"/>
        <w:rPr>
          <w:rFonts w:ascii="黑体" w:hAnsi="黑体" w:eastAsia="黑体" w:cs="黑体"/>
          <w:b w:val="0"/>
          <w:bCs w:val="0"/>
          <w:sz w:val="31"/>
          <w:szCs w:val="31"/>
        </w:rPr>
      </w:pPr>
      <w:r>
        <w:rPr>
          <w:rFonts w:ascii="黑体" w:hAnsi="黑体" w:eastAsia="黑体" w:cs="黑体"/>
          <w:b w:val="0"/>
          <w:bCs w:val="0"/>
          <w:spacing w:val="3"/>
          <w:sz w:val="31"/>
          <w:szCs w:val="31"/>
        </w:rPr>
        <w:t>三、工作要求</w:t>
      </w:r>
    </w:p>
    <w:p w14:paraId="05F77875">
      <w:pPr>
        <w:pStyle w:val="2"/>
        <w:spacing w:before="225" w:line="304" w:lineRule="auto"/>
        <w:ind w:right="300" w:firstLine="800"/>
        <w:rPr>
          <w:b w:val="0"/>
          <w:bCs w:val="0"/>
          <w:sz w:val="31"/>
          <w:szCs w:val="31"/>
        </w:rPr>
      </w:pPr>
      <w:r>
        <w:rPr>
          <w:rFonts w:ascii="楷体" w:hAnsi="楷体" w:eastAsia="楷体" w:cs="楷体"/>
          <w:b w:val="0"/>
          <w:bCs w:val="0"/>
          <w:spacing w:val="12"/>
          <w:sz w:val="31"/>
          <w:szCs w:val="31"/>
        </w:rPr>
        <w:t>(一)提高思想认识</w:t>
      </w:r>
      <w:r>
        <w:rPr>
          <w:b w:val="0"/>
          <w:bCs w:val="0"/>
          <w:spacing w:val="12"/>
          <w:sz w:val="31"/>
          <w:szCs w:val="31"/>
        </w:rPr>
        <w:t>。要高度重视统计法治工作，严格落实</w:t>
      </w:r>
      <w:r>
        <w:rPr>
          <w:b w:val="0"/>
          <w:bCs w:val="0"/>
          <w:spacing w:val="6"/>
          <w:sz w:val="31"/>
          <w:szCs w:val="31"/>
        </w:rPr>
        <w:t xml:space="preserve"> </w:t>
      </w:r>
      <w:r>
        <w:rPr>
          <w:b w:val="0"/>
          <w:bCs w:val="0"/>
          <w:spacing w:val="7"/>
          <w:sz w:val="31"/>
          <w:szCs w:val="31"/>
        </w:rPr>
        <w:t>人员、经费保障，有效推动我旗统计执检查顺利开展。同</w:t>
      </w:r>
      <w:r>
        <w:rPr>
          <w:b w:val="0"/>
          <w:bCs w:val="0"/>
          <w:spacing w:val="6"/>
          <w:sz w:val="31"/>
          <w:szCs w:val="31"/>
        </w:rPr>
        <w:t>时，要</w:t>
      </w:r>
      <w:r>
        <w:rPr>
          <w:b w:val="0"/>
          <w:bCs w:val="0"/>
          <w:sz w:val="31"/>
          <w:szCs w:val="31"/>
        </w:rPr>
        <w:t xml:space="preserve"> </w:t>
      </w:r>
      <w:r>
        <w:rPr>
          <w:b w:val="0"/>
          <w:bCs w:val="0"/>
          <w:spacing w:val="8"/>
          <w:sz w:val="31"/>
          <w:szCs w:val="31"/>
        </w:rPr>
        <w:t>积极配合主动参与鄂尔多斯市统计执法检查等工作。</w:t>
      </w:r>
    </w:p>
    <w:p w14:paraId="6BF2AAB7">
      <w:pPr>
        <w:pStyle w:val="2"/>
        <w:spacing w:before="199" w:line="304" w:lineRule="auto"/>
        <w:ind w:right="292" w:firstLine="800"/>
        <w:rPr>
          <w:b w:val="0"/>
          <w:bCs w:val="0"/>
          <w:sz w:val="31"/>
          <w:szCs w:val="31"/>
        </w:rPr>
      </w:pPr>
      <w:r>
        <w:rPr>
          <w:rFonts w:ascii="楷体" w:hAnsi="楷体" w:eastAsia="楷体" w:cs="楷体"/>
          <w:b w:val="0"/>
          <w:bCs w:val="0"/>
          <w:spacing w:val="11"/>
          <w:sz w:val="31"/>
          <w:szCs w:val="31"/>
        </w:rPr>
        <w:t>(二)压实工作责任</w:t>
      </w:r>
      <w:r>
        <w:rPr>
          <w:b w:val="0"/>
          <w:bCs w:val="0"/>
          <w:spacing w:val="11"/>
          <w:sz w:val="31"/>
          <w:szCs w:val="31"/>
        </w:rPr>
        <w:t>。主动接受上级统计机构的监督，有效</w:t>
      </w:r>
      <w:r>
        <w:rPr>
          <w:b w:val="0"/>
          <w:bCs w:val="0"/>
          <w:spacing w:val="13"/>
          <w:sz w:val="31"/>
          <w:szCs w:val="31"/>
        </w:rPr>
        <w:t xml:space="preserve"> </w:t>
      </w:r>
      <w:r>
        <w:rPr>
          <w:b w:val="0"/>
          <w:bCs w:val="0"/>
          <w:spacing w:val="7"/>
          <w:sz w:val="31"/>
          <w:szCs w:val="31"/>
        </w:rPr>
        <w:t>推动全旗年度执法检查任务有序开展，全面提升统计执法检查质</w:t>
      </w:r>
      <w:r>
        <w:rPr>
          <w:b w:val="0"/>
          <w:bCs w:val="0"/>
          <w:spacing w:val="4"/>
          <w:sz w:val="31"/>
          <w:szCs w:val="31"/>
        </w:rPr>
        <w:t xml:space="preserve"> </w:t>
      </w:r>
      <w:r>
        <w:rPr>
          <w:b w:val="0"/>
          <w:bCs w:val="0"/>
          <w:spacing w:val="7"/>
          <w:sz w:val="31"/>
          <w:szCs w:val="31"/>
        </w:rPr>
        <w:t>效，保持防治统计造假、弄虚作假高压态势。</w:t>
      </w:r>
    </w:p>
    <w:p w14:paraId="13CD8F3E">
      <w:pPr>
        <w:pStyle w:val="2"/>
        <w:spacing w:before="211" w:line="304" w:lineRule="auto"/>
        <w:ind w:right="169" w:firstLine="800"/>
        <w:rPr>
          <w:b w:val="0"/>
          <w:bCs w:val="0"/>
          <w:sz w:val="31"/>
          <w:szCs w:val="31"/>
        </w:rPr>
        <w:sectPr>
          <w:footerReference r:id="rId6" w:type="default"/>
          <w:pgSz w:w="11900" w:h="16830"/>
          <w:pgMar w:top="1430" w:right="1155" w:bottom="1686" w:left="1569" w:header="0" w:footer="1284" w:gutter="0"/>
          <w:cols w:space="720" w:num="1"/>
        </w:sectPr>
      </w:pPr>
      <w:r>
        <w:rPr>
          <w:rFonts w:ascii="楷体" w:hAnsi="楷体" w:eastAsia="楷体" w:cs="楷体"/>
          <w:b w:val="0"/>
          <w:bCs w:val="0"/>
          <w:spacing w:val="15"/>
          <w:sz w:val="31"/>
          <w:szCs w:val="31"/>
        </w:rPr>
        <w:t>(三)严格纪律要求</w:t>
      </w:r>
      <w:r>
        <w:rPr>
          <w:b w:val="0"/>
          <w:bCs w:val="0"/>
          <w:spacing w:val="15"/>
          <w:sz w:val="31"/>
          <w:szCs w:val="31"/>
        </w:rPr>
        <w:t>。要严格依法依规开展统</w:t>
      </w:r>
      <w:r>
        <w:rPr>
          <w:b w:val="0"/>
          <w:bCs w:val="0"/>
          <w:spacing w:val="14"/>
          <w:sz w:val="31"/>
          <w:szCs w:val="31"/>
        </w:rPr>
        <w:t>计执法检查，</w:t>
      </w:r>
      <w:r>
        <w:rPr>
          <w:b w:val="0"/>
          <w:bCs w:val="0"/>
          <w:sz w:val="31"/>
          <w:szCs w:val="31"/>
        </w:rPr>
        <w:t xml:space="preserve"> </w:t>
      </w:r>
      <w:r>
        <w:rPr>
          <w:b w:val="0"/>
          <w:bCs w:val="0"/>
          <w:spacing w:val="7"/>
          <w:sz w:val="31"/>
          <w:szCs w:val="31"/>
        </w:rPr>
        <w:t>执法过程要坚持实事求是、客观公正、统一规范、文明执法</w:t>
      </w:r>
      <w:r>
        <w:rPr>
          <w:b w:val="0"/>
          <w:bCs w:val="0"/>
          <w:spacing w:val="6"/>
          <w:sz w:val="31"/>
          <w:szCs w:val="31"/>
        </w:rPr>
        <w:t>、高</w:t>
      </w:r>
      <w:r>
        <w:rPr>
          <w:b w:val="0"/>
          <w:bCs w:val="0"/>
          <w:sz w:val="31"/>
          <w:szCs w:val="31"/>
        </w:rPr>
        <w:t xml:space="preserve"> 效廉洁原则，执法人员必须做到服从安排、认真负责、保守秘密、</w:t>
      </w:r>
    </w:p>
    <w:p w14:paraId="66C91AEE">
      <w:pPr>
        <w:pStyle w:val="2"/>
        <w:spacing w:before="101" w:line="220" w:lineRule="auto"/>
        <w:rPr>
          <w:b w:val="0"/>
          <w:bCs w:val="0"/>
          <w:sz w:val="31"/>
          <w:szCs w:val="31"/>
        </w:rPr>
      </w:pPr>
      <w:bookmarkStart w:id="0" w:name="_GoBack"/>
      <w:bookmarkEnd w:id="0"/>
      <w:r>
        <w:rPr>
          <w:b w:val="0"/>
          <w:bCs w:val="0"/>
          <w:spacing w:val="6"/>
          <w:sz w:val="31"/>
          <w:szCs w:val="31"/>
        </w:rPr>
        <w:t>吃苦耐劳，切实提高统计执法检查工作的规范性。</w:t>
      </w:r>
    </w:p>
    <w:p w14:paraId="02B7B115">
      <w:pPr>
        <w:pStyle w:val="2"/>
        <w:spacing w:before="228" w:line="340" w:lineRule="auto"/>
        <w:ind w:firstLine="780"/>
        <w:jc w:val="both"/>
        <w:rPr>
          <w:b w:val="0"/>
          <w:bCs w:val="0"/>
          <w:sz w:val="31"/>
          <w:szCs w:val="31"/>
        </w:rPr>
      </w:pPr>
      <w:r>
        <w:rPr>
          <w:rFonts w:ascii="楷体" w:hAnsi="楷体" w:eastAsia="楷体" w:cs="楷体"/>
          <w:b w:val="0"/>
          <w:bCs w:val="0"/>
          <w:spacing w:val="10"/>
          <w:sz w:val="31"/>
          <w:szCs w:val="31"/>
        </w:rPr>
        <w:t>(四)严肃追责问责</w:t>
      </w:r>
      <w:r>
        <w:rPr>
          <w:b w:val="0"/>
          <w:bCs w:val="0"/>
          <w:spacing w:val="10"/>
          <w:sz w:val="31"/>
          <w:szCs w:val="31"/>
        </w:rPr>
        <w:t>。依据内蒙古自治区统计局、国家统计</w:t>
      </w:r>
      <w:r>
        <w:rPr>
          <w:b w:val="0"/>
          <w:bCs w:val="0"/>
          <w:spacing w:val="18"/>
          <w:sz w:val="31"/>
          <w:szCs w:val="31"/>
        </w:rPr>
        <w:t xml:space="preserve"> </w:t>
      </w:r>
      <w:r>
        <w:rPr>
          <w:b w:val="0"/>
          <w:bCs w:val="0"/>
          <w:spacing w:val="5"/>
          <w:sz w:val="31"/>
          <w:szCs w:val="31"/>
        </w:rPr>
        <w:t>局内蒙古调查总队联合印发的《内蒙古自治区统计行政处罚裁量</w:t>
      </w:r>
      <w:r>
        <w:rPr>
          <w:b w:val="0"/>
          <w:bCs w:val="0"/>
          <w:spacing w:val="17"/>
          <w:sz w:val="31"/>
          <w:szCs w:val="31"/>
        </w:rPr>
        <w:t xml:space="preserve"> </w:t>
      </w:r>
      <w:r>
        <w:rPr>
          <w:b w:val="0"/>
          <w:bCs w:val="0"/>
          <w:spacing w:val="12"/>
          <w:sz w:val="31"/>
          <w:szCs w:val="31"/>
        </w:rPr>
        <w:t>基准》,对存在统计违法行为的调查对象，依法依规实施行政处</w:t>
      </w:r>
      <w:r>
        <w:rPr>
          <w:b w:val="0"/>
          <w:bCs w:val="0"/>
          <w:sz w:val="31"/>
          <w:szCs w:val="31"/>
        </w:rPr>
        <w:t xml:space="preserve"> </w:t>
      </w:r>
      <w:r>
        <w:rPr>
          <w:b w:val="0"/>
          <w:bCs w:val="0"/>
          <w:spacing w:val="5"/>
          <w:sz w:val="31"/>
          <w:szCs w:val="31"/>
        </w:rPr>
        <w:t>罚，按规定认定统计严重失信企业；对涉嫌统计违纪违法的责任</w:t>
      </w:r>
      <w:r>
        <w:rPr>
          <w:b w:val="0"/>
          <w:bCs w:val="0"/>
          <w:spacing w:val="13"/>
          <w:sz w:val="31"/>
          <w:szCs w:val="31"/>
        </w:rPr>
        <w:t xml:space="preserve"> </w:t>
      </w:r>
      <w:r>
        <w:rPr>
          <w:b w:val="0"/>
          <w:bCs w:val="0"/>
          <w:spacing w:val="6"/>
          <w:sz w:val="31"/>
          <w:szCs w:val="31"/>
        </w:rPr>
        <w:t>人员，要严格按照中央文件和相关法律法规，准确提出处分处理</w:t>
      </w:r>
      <w:r>
        <w:rPr>
          <w:b w:val="0"/>
          <w:bCs w:val="0"/>
          <w:spacing w:val="10"/>
          <w:sz w:val="31"/>
          <w:szCs w:val="31"/>
        </w:rPr>
        <w:t xml:space="preserve"> </w:t>
      </w:r>
      <w:r>
        <w:rPr>
          <w:b w:val="0"/>
          <w:bCs w:val="0"/>
          <w:spacing w:val="5"/>
          <w:sz w:val="31"/>
          <w:szCs w:val="31"/>
        </w:rPr>
        <w:t>建议，按程序向纪检监察机关移送处分处理建议和案件材料，积</w:t>
      </w:r>
      <w:r>
        <w:rPr>
          <w:b w:val="0"/>
          <w:bCs w:val="0"/>
          <w:spacing w:val="16"/>
          <w:sz w:val="31"/>
          <w:szCs w:val="31"/>
        </w:rPr>
        <w:t xml:space="preserve"> </w:t>
      </w:r>
      <w:r>
        <w:rPr>
          <w:b w:val="0"/>
          <w:bCs w:val="0"/>
          <w:spacing w:val="3"/>
          <w:sz w:val="31"/>
          <w:szCs w:val="31"/>
        </w:rPr>
        <w:t>极推动责任追究及时到位。</w:t>
      </w:r>
    </w:p>
    <w:p w14:paraId="264CD311">
      <w:pPr>
        <w:spacing w:line="266" w:lineRule="auto"/>
        <w:rPr>
          <w:rFonts w:ascii="Arial"/>
          <w:b w:val="0"/>
          <w:bCs w:val="0"/>
          <w:sz w:val="21"/>
        </w:rPr>
      </w:pPr>
    </w:p>
    <w:p w14:paraId="6ED6C1C2">
      <w:pPr>
        <w:spacing w:line="266" w:lineRule="auto"/>
        <w:rPr>
          <w:rFonts w:ascii="Arial"/>
          <w:b w:val="0"/>
          <w:bCs w:val="0"/>
          <w:sz w:val="21"/>
        </w:rPr>
      </w:pPr>
    </w:p>
    <w:p w14:paraId="0883F2F5">
      <w:pPr>
        <w:pStyle w:val="2"/>
        <w:spacing w:before="100" w:line="220" w:lineRule="auto"/>
        <w:ind w:left="659"/>
        <w:rPr>
          <w:b w:val="0"/>
          <w:bCs w:val="0"/>
          <w:sz w:val="31"/>
          <w:szCs w:val="31"/>
        </w:rPr>
      </w:pPr>
      <w:r>
        <w:rPr>
          <w:b w:val="0"/>
          <w:bCs w:val="0"/>
          <w:spacing w:val="16"/>
          <w:sz w:val="31"/>
          <w:szCs w:val="31"/>
        </w:rPr>
        <w:t>附件：准格尔旗统计局2025年行政执法检查计划表</w:t>
      </w:r>
    </w:p>
    <w:p w14:paraId="000D96BE">
      <w:pPr>
        <w:spacing w:line="220" w:lineRule="auto"/>
        <w:rPr>
          <w:b w:val="0"/>
          <w:bCs w:val="0"/>
          <w:sz w:val="31"/>
          <w:szCs w:val="31"/>
        </w:rPr>
        <w:sectPr>
          <w:footerReference r:id="rId7" w:type="default"/>
          <w:pgSz w:w="11900" w:h="16830"/>
          <w:pgMar w:top="1430" w:right="1478" w:bottom="1636" w:left="1559" w:header="0" w:footer="1231" w:gutter="0"/>
          <w:cols w:space="720" w:num="1"/>
        </w:sectPr>
      </w:pPr>
    </w:p>
    <w:p w14:paraId="53FD0047">
      <w:pPr>
        <w:spacing w:line="298" w:lineRule="auto"/>
        <w:rPr>
          <w:rFonts w:ascii="Arial"/>
          <w:sz w:val="21"/>
        </w:rPr>
      </w:pPr>
    </w:p>
    <w:p w14:paraId="6000741E">
      <w:pPr>
        <w:spacing w:line="299" w:lineRule="auto"/>
        <w:rPr>
          <w:rFonts w:ascii="Arial"/>
          <w:sz w:val="21"/>
        </w:rPr>
      </w:pPr>
    </w:p>
    <w:p w14:paraId="0542FAF0">
      <w:pPr>
        <w:spacing w:before="117" w:line="219" w:lineRule="auto"/>
        <w:ind w:left="426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4"/>
          <w:sz w:val="36"/>
          <w:szCs w:val="36"/>
        </w:rPr>
        <w:t>准格尔旗统计局2025年行政执法检查计划表</w:t>
      </w:r>
    </w:p>
    <w:p w14:paraId="26996F7A">
      <w:pPr>
        <w:spacing w:line="98" w:lineRule="exact"/>
      </w:pPr>
    </w:p>
    <w:tbl>
      <w:tblPr>
        <w:tblStyle w:val="5"/>
        <w:tblW w:w="154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770"/>
        <w:gridCol w:w="1289"/>
        <w:gridCol w:w="7555"/>
        <w:gridCol w:w="1579"/>
        <w:gridCol w:w="839"/>
        <w:gridCol w:w="929"/>
        <w:gridCol w:w="899"/>
        <w:gridCol w:w="1164"/>
      </w:tblGrid>
      <w:tr w14:paraId="0163F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465" w:type="dxa"/>
            <w:textDirection w:val="tbRlV"/>
            <w:vAlign w:val="top"/>
          </w:tcPr>
          <w:p w14:paraId="05BC7ED6">
            <w:pPr>
              <w:pStyle w:val="6"/>
              <w:spacing w:before="133" w:line="199" w:lineRule="auto"/>
              <w:ind w:left="150"/>
            </w:pPr>
            <w:r>
              <w:rPr>
                <w:b/>
                <w:bCs/>
                <w:spacing w:val="-3"/>
              </w:rPr>
              <w:t>序</w:t>
            </w:r>
            <w:r>
              <w:rPr>
                <w:spacing w:val="67"/>
              </w:rPr>
              <w:t xml:space="preserve"> </w:t>
            </w:r>
            <w:r>
              <w:rPr>
                <w:b/>
                <w:bCs/>
                <w:spacing w:val="-3"/>
              </w:rPr>
              <w:t>号</w:t>
            </w:r>
          </w:p>
        </w:tc>
        <w:tc>
          <w:tcPr>
            <w:tcW w:w="770" w:type="dxa"/>
            <w:vAlign w:val="top"/>
          </w:tcPr>
          <w:p w14:paraId="0A8D7B1D">
            <w:pPr>
              <w:pStyle w:val="6"/>
              <w:spacing w:before="171" w:line="219" w:lineRule="auto"/>
              <w:ind w:left="153"/>
            </w:pPr>
            <w:r>
              <w:rPr>
                <w:b/>
                <w:bCs/>
                <w:spacing w:val="-5"/>
              </w:rPr>
              <w:t>检查</w:t>
            </w:r>
          </w:p>
          <w:p w14:paraId="1FA6128C">
            <w:pPr>
              <w:pStyle w:val="6"/>
              <w:spacing w:before="60" w:line="221" w:lineRule="auto"/>
              <w:ind w:left="153"/>
            </w:pPr>
            <w:r>
              <w:rPr>
                <w:b/>
                <w:bCs/>
                <w:spacing w:val="-5"/>
              </w:rPr>
              <w:t>主体</w:t>
            </w:r>
          </w:p>
        </w:tc>
        <w:tc>
          <w:tcPr>
            <w:tcW w:w="1289" w:type="dxa"/>
            <w:vAlign w:val="top"/>
          </w:tcPr>
          <w:p w14:paraId="6B478F58">
            <w:pPr>
              <w:spacing w:line="287" w:lineRule="auto"/>
              <w:rPr>
                <w:rFonts w:ascii="Arial"/>
                <w:sz w:val="21"/>
              </w:rPr>
            </w:pPr>
          </w:p>
          <w:p w14:paraId="0633E9BB">
            <w:pPr>
              <w:pStyle w:val="6"/>
              <w:spacing w:before="72" w:line="219" w:lineRule="auto"/>
              <w:ind w:left="193"/>
            </w:pPr>
            <w:r>
              <w:rPr>
                <w:b/>
                <w:bCs/>
                <w:spacing w:val="-4"/>
              </w:rPr>
              <w:t>检查事项</w:t>
            </w:r>
          </w:p>
        </w:tc>
        <w:tc>
          <w:tcPr>
            <w:tcW w:w="7555" w:type="dxa"/>
            <w:vAlign w:val="top"/>
          </w:tcPr>
          <w:p w14:paraId="3C266540">
            <w:pPr>
              <w:spacing w:line="286" w:lineRule="auto"/>
              <w:rPr>
                <w:rFonts w:ascii="Arial"/>
                <w:sz w:val="21"/>
              </w:rPr>
            </w:pPr>
          </w:p>
          <w:p w14:paraId="5E83F3B1">
            <w:pPr>
              <w:pStyle w:val="6"/>
              <w:spacing w:before="71" w:line="219" w:lineRule="auto"/>
              <w:ind w:left="3344"/>
            </w:pPr>
            <w:r>
              <w:rPr>
                <w:b/>
                <w:bCs/>
                <w:spacing w:val="-4"/>
              </w:rPr>
              <w:t>检查依据</w:t>
            </w:r>
          </w:p>
        </w:tc>
        <w:tc>
          <w:tcPr>
            <w:tcW w:w="1579" w:type="dxa"/>
            <w:vAlign w:val="top"/>
          </w:tcPr>
          <w:p w14:paraId="4564F214">
            <w:pPr>
              <w:spacing w:line="287" w:lineRule="auto"/>
              <w:rPr>
                <w:rFonts w:ascii="Arial"/>
                <w:sz w:val="21"/>
              </w:rPr>
            </w:pPr>
          </w:p>
          <w:p w14:paraId="4BA7F68B">
            <w:pPr>
              <w:pStyle w:val="6"/>
              <w:spacing w:before="72" w:line="219" w:lineRule="auto"/>
              <w:ind w:left="129"/>
            </w:pPr>
            <w:r>
              <w:rPr>
                <w:b/>
                <w:bCs/>
              </w:rPr>
              <w:t>检查对象范围</w:t>
            </w:r>
          </w:p>
        </w:tc>
        <w:tc>
          <w:tcPr>
            <w:tcW w:w="839" w:type="dxa"/>
            <w:vAlign w:val="top"/>
          </w:tcPr>
          <w:p w14:paraId="2369F0E2">
            <w:pPr>
              <w:pStyle w:val="6"/>
              <w:spacing w:before="170" w:line="274" w:lineRule="auto"/>
              <w:ind w:left="200" w:right="173"/>
            </w:pPr>
            <w:r>
              <w:rPr>
                <w:b/>
                <w:bCs/>
                <w:spacing w:val="-7"/>
              </w:rPr>
              <w:t>检查</w:t>
            </w:r>
            <w:r>
              <w:t xml:space="preserve"> </w:t>
            </w:r>
            <w:r>
              <w:rPr>
                <w:b/>
                <w:bCs/>
                <w:spacing w:val="5"/>
              </w:rPr>
              <w:t>时间</w:t>
            </w:r>
          </w:p>
        </w:tc>
        <w:tc>
          <w:tcPr>
            <w:tcW w:w="929" w:type="dxa"/>
            <w:vAlign w:val="top"/>
          </w:tcPr>
          <w:p w14:paraId="7B7C0844">
            <w:pPr>
              <w:pStyle w:val="6"/>
              <w:spacing w:before="181" w:line="264" w:lineRule="auto"/>
              <w:ind w:left="111" w:right="65" w:firstLine="20"/>
            </w:pPr>
            <w:r>
              <w:rPr>
                <w:b/>
                <w:bCs/>
                <w:spacing w:val="-6"/>
              </w:rPr>
              <w:t>检查比</w:t>
            </w:r>
            <w:r>
              <w:rPr>
                <w:spacing w:val="1"/>
              </w:rPr>
              <w:t xml:space="preserve"> </w:t>
            </w:r>
            <w:r>
              <w:rPr>
                <w:b/>
                <w:bCs/>
                <w:spacing w:val="-14"/>
                <w:w w:val="96"/>
              </w:rPr>
              <w:t>例</w:t>
            </w:r>
            <w:r>
              <w:rPr>
                <w:spacing w:val="4"/>
              </w:rPr>
              <w:t xml:space="preserve"> </w:t>
            </w:r>
            <w:r>
              <w:rPr>
                <w:b/>
                <w:bCs/>
                <w:spacing w:val="-14"/>
                <w:w w:val="96"/>
              </w:rPr>
              <w:t>(</w:t>
            </w:r>
            <w:r>
              <w:rPr>
                <w:spacing w:val="-41"/>
              </w:rPr>
              <w:t xml:space="preserve"> </w:t>
            </w:r>
            <w:r>
              <w:rPr>
                <w:b/>
                <w:bCs/>
                <w:spacing w:val="-14"/>
                <w:w w:val="96"/>
              </w:rPr>
              <w:t>%</w:t>
            </w:r>
            <w:r>
              <w:rPr>
                <w:spacing w:val="-34"/>
              </w:rPr>
              <w:t xml:space="preserve"> </w:t>
            </w:r>
            <w:r>
              <w:rPr>
                <w:b/>
                <w:bCs/>
                <w:spacing w:val="-14"/>
                <w:w w:val="96"/>
              </w:rPr>
              <w:t>)</w:t>
            </w:r>
          </w:p>
        </w:tc>
        <w:tc>
          <w:tcPr>
            <w:tcW w:w="899" w:type="dxa"/>
            <w:vAlign w:val="top"/>
          </w:tcPr>
          <w:p w14:paraId="1CDC88D9">
            <w:pPr>
              <w:pStyle w:val="6"/>
              <w:spacing w:before="11" w:line="255" w:lineRule="auto"/>
              <w:ind w:left="92" w:right="64" w:firstLine="29"/>
              <w:jc w:val="both"/>
            </w:pPr>
            <w:r>
              <w:rPr>
                <w:b/>
                <w:bCs/>
                <w:spacing w:val="-6"/>
              </w:rPr>
              <w:t>检查频</w:t>
            </w:r>
            <w:r>
              <w:rPr>
                <w:spacing w:val="1"/>
              </w:rPr>
              <w:t xml:space="preserve"> </w:t>
            </w:r>
            <w:r>
              <w:rPr>
                <w:b/>
                <w:bCs/>
                <w:spacing w:val="-22"/>
              </w:rPr>
              <w:t>次</w:t>
            </w:r>
            <w:r>
              <w:rPr>
                <w:spacing w:val="32"/>
              </w:rPr>
              <w:t xml:space="preserve"> </w:t>
            </w:r>
            <w:r>
              <w:rPr>
                <w:b/>
                <w:bCs/>
                <w:spacing w:val="-22"/>
              </w:rPr>
              <w:t>(</w:t>
            </w:r>
            <w:r>
              <w:rPr>
                <w:spacing w:val="-22"/>
              </w:rPr>
              <w:t xml:space="preserve"> </w:t>
            </w:r>
            <w:r>
              <w:rPr>
                <w:b/>
                <w:bCs/>
                <w:spacing w:val="-22"/>
              </w:rPr>
              <w:t>批</w:t>
            </w:r>
            <w:r>
              <w:t xml:space="preserve"> </w:t>
            </w:r>
            <w:r>
              <w:rPr>
                <w:b/>
                <w:bCs/>
                <w:spacing w:val="15"/>
              </w:rPr>
              <w:t>次/年)</w:t>
            </w:r>
          </w:p>
        </w:tc>
        <w:tc>
          <w:tcPr>
            <w:tcW w:w="1164" w:type="dxa"/>
            <w:vAlign w:val="top"/>
          </w:tcPr>
          <w:p w14:paraId="65754DFD">
            <w:pPr>
              <w:spacing w:line="287" w:lineRule="auto"/>
              <w:rPr>
                <w:rFonts w:ascii="Arial"/>
                <w:sz w:val="21"/>
              </w:rPr>
            </w:pPr>
          </w:p>
          <w:p w14:paraId="2E53C1A0">
            <w:pPr>
              <w:pStyle w:val="6"/>
              <w:spacing w:before="72" w:line="219" w:lineRule="auto"/>
              <w:ind w:left="143"/>
            </w:pPr>
            <w:r>
              <w:rPr>
                <w:b/>
                <w:bCs/>
                <w:spacing w:val="-4"/>
              </w:rPr>
              <w:t>检查方式</w:t>
            </w:r>
          </w:p>
        </w:tc>
      </w:tr>
      <w:tr w14:paraId="706D48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7" w:hRule="atLeast"/>
        </w:trPr>
        <w:tc>
          <w:tcPr>
            <w:tcW w:w="465" w:type="dxa"/>
            <w:vAlign w:val="top"/>
          </w:tcPr>
          <w:p w14:paraId="720B2EC3">
            <w:pPr>
              <w:spacing w:line="318" w:lineRule="auto"/>
              <w:rPr>
                <w:rFonts w:ascii="Arial"/>
                <w:sz w:val="21"/>
              </w:rPr>
            </w:pPr>
          </w:p>
          <w:p w14:paraId="4F5B8E25">
            <w:pPr>
              <w:spacing w:line="318" w:lineRule="auto"/>
              <w:rPr>
                <w:rFonts w:ascii="Arial"/>
                <w:sz w:val="21"/>
              </w:rPr>
            </w:pPr>
          </w:p>
          <w:p w14:paraId="753D52CB">
            <w:pPr>
              <w:spacing w:line="319" w:lineRule="auto"/>
              <w:rPr>
                <w:rFonts w:ascii="Arial"/>
                <w:sz w:val="21"/>
              </w:rPr>
            </w:pPr>
          </w:p>
          <w:p w14:paraId="495F4452">
            <w:pPr>
              <w:pStyle w:val="6"/>
              <w:spacing w:before="72" w:line="241" w:lineRule="auto"/>
              <w:ind w:left="164"/>
            </w:pPr>
            <w:r>
              <w:t>1</w:t>
            </w:r>
          </w:p>
        </w:tc>
        <w:tc>
          <w:tcPr>
            <w:tcW w:w="770" w:type="dxa"/>
            <w:vAlign w:val="top"/>
          </w:tcPr>
          <w:p w14:paraId="2D652A92">
            <w:pPr>
              <w:spacing w:line="283" w:lineRule="auto"/>
              <w:rPr>
                <w:rFonts w:ascii="Arial"/>
                <w:sz w:val="21"/>
              </w:rPr>
            </w:pPr>
          </w:p>
          <w:p w14:paraId="797739E8">
            <w:pPr>
              <w:spacing w:line="283" w:lineRule="auto"/>
              <w:rPr>
                <w:rFonts w:ascii="Arial"/>
                <w:sz w:val="21"/>
              </w:rPr>
            </w:pPr>
          </w:p>
          <w:p w14:paraId="19981B2C">
            <w:pPr>
              <w:pStyle w:val="6"/>
              <w:spacing w:before="71" w:line="210" w:lineRule="auto"/>
              <w:ind w:left="150"/>
            </w:pPr>
            <w:r>
              <w:rPr>
                <w:spacing w:val="-3"/>
              </w:rPr>
              <w:t>准格</w:t>
            </w:r>
          </w:p>
          <w:p w14:paraId="35F67D5C">
            <w:pPr>
              <w:pStyle w:val="6"/>
              <w:spacing w:line="210" w:lineRule="auto"/>
              <w:ind w:left="150"/>
            </w:pPr>
            <w:r>
              <w:rPr>
                <w:spacing w:val="3"/>
              </w:rPr>
              <w:t>尔旗</w:t>
            </w:r>
          </w:p>
          <w:p w14:paraId="3882280F">
            <w:pPr>
              <w:pStyle w:val="6"/>
              <w:spacing w:line="211" w:lineRule="auto"/>
              <w:ind w:left="260" w:right="160" w:hanging="110"/>
            </w:pPr>
            <w:r>
              <w:rPr>
                <w:spacing w:val="4"/>
              </w:rPr>
              <w:t>统计</w:t>
            </w:r>
            <w:r>
              <w:t xml:space="preserve"> 局</w:t>
            </w:r>
          </w:p>
        </w:tc>
        <w:tc>
          <w:tcPr>
            <w:tcW w:w="1289" w:type="dxa"/>
            <w:vAlign w:val="top"/>
          </w:tcPr>
          <w:p w14:paraId="4E8DDE6E">
            <w:pPr>
              <w:pStyle w:val="6"/>
              <w:spacing w:before="50" w:line="202" w:lineRule="auto"/>
              <w:ind w:left="190"/>
            </w:pPr>
            <w:r>
              <w:rPr>
                <w:spacing w:val="-2"/>
              </w:rPr>
              <w:t>对迟报统</w:t>
            </w:r>
          </w:p>
          <w:p w14:paraId="54CBAB96">
            <w:pPr>
              <w:pStyle w:val="6"/>
              <w:spacing w:line="200" w:lineRule="auto"/>
              <w:ind w:left="190"/>
            </w:pPr>
            <w:r>
              <w:rPr>
                <w:spacing w:val="-2"/>
              </w:rPr>
              <w:t>计资料或</w:t>
            </w:r>
          </w:p>
          <w:p w14:paraId="46EDD634">
            <w:pPr>
              <w:pStyle w:val="6"/>
              <w:spacing w:line="202" w:lineRule="auto"/>
              <w:ind w:left="190"/>
            </w:pPr>
            <w:r>
              <w:rPr>
                <w:spacing w:val="4"/>
              </w:rPr>
              <w:t>者未按照</w:t>
            </w:r>
          </w:p>
          <w:p w14:paraId="65754C8C">
            <w:pPr>
              <w:pStyle w:val="6"/>
              <w:spacing w:line="201" w:lineRule="auto"/>
              <w:ind w:left="190"/>
            </w:pPr>
            <w:r>
              <w:rPr>
                <w:spacing w:val="2"/>
              </w:rPr>
              <w:t>国家有关</w:t>
            </w:r>
          </w:p>
          <w:p w14:paraId="6B7BF94A">
            <w:pPr>
              <w:pStyle w:val="6"/>
              <w:spacing w:line="202" w:lineRule="auto"/>
              <w:ind w:left="190"/>
            </w:pPr>
            <w:r>
              <w:rPr>
                <w:spacing w:val="-2"/>
              </w:rPr>
              <w:t>规定设置</w:t>
            </w:r>
          </w:p>
          <w:p w14:paraId="136256F1">
            <w:pPr>
              <w:pStyle w:val="6"/>
              <w:spacing w:before="1" w:line="201" w:lineRule="auto"/>
              <w:jc w:val="right"/>
            </w:pPr>
            <w:r>
              <w:rPr>
                <w:spacing w:val="19"/>
              </w:rPr>
              <w:t>原始记录、</w:t>
            </w:r>
          </w:p>
          <w:p w14:paraId="0281E20D">
            <w:pPr>
              <w:pStyle w:val="6"/>
              <w:spacing w:line="208" w:lineRule="auto"/>
              <w:ind w:left="190"/>
            </w:pPr>
            <w:r>
              <w:rPr>
                <w:spacing w:val="2"/>
              </w:rPr>
              <w:t>统计台账</w:t>
            </w:r>
          </w:p>
          <w:p w14:paraId="1E80FE51">
            <w:pPr>
              <w:pStyle w:val="6"/>
              <w:spacing w:before="1" w:line="208" w:lineRule="auto"/>
              <w:ind w:left="190"/>
            </w:pPr>
            <w:r>
              <w:rPr>
                <w:spacing w:val="2"/>
              </w:rPr>
              <w:t>的监督检</w:t>
            </w:r>
          </w:p>
          <w:p w14:paraId="346C08AD">
            <w:pPr>
              <w:pStyle w:val="6"/>
              <w:spacing w:line="191" w:lineRule="auto"/>
              <w:ind w:left="520"/>
            </w:pPr>
            <w:r>
              <w:t>查</w:t>
            </w:r>
          </w:p>
        </w:tc>
        <w:tc>
          <w:tcPr>
            <w:tcW w:w="7555" w:type="dxa"/>
            <w:vAlign w:val="top"/>
          </w:tcPr>
          <w:p w14:paraId="1AB4C97E">
            <w:pPr>
              <w:pStyle w:val="6"/>
              <w:spacing w:before="41" w:line="203" w:lineRule="auto"/>
              <w:ind w:left="109" w:hanging="19"/>
            </w:pPr>
            <w:r>
              <w:rPr>
                <w:spacing w:val="-4"/>
              </w:rPr>
              <w:t>《中华人民共和国统计法》第四十五条作为统计调查对象的国家机关、企业事</w:t>
            </w:r>
            <w:r>
              <w:rPr>
                <w:spacing w:val="5"/>
              </w:rPr>
              <w:t xml:space="preserve">  </w:t>
            </w:r>
            <w:r>
              <w:rPr>
                <w:spacing w:val="-10"/>
              </w:rPr>
              <w:t>业单位或者其他组织迟报统计资料，或者未</w:t>
            </w:r>
            <w:r>
              <w:rPr>
                <w:spacing w:val="-11"/>
              </w:rPr>
              <w:t>按照国家有关规定设置原始记录、统</w:t>
            </w:r>
            <w:r>
              <w:t xml:space="preserve">  </w:t>
            </w:r>
            <w:r>
              <w:rPr>
                <w:spacing w:val="-8"/>
              </w:rPr>
              <w:t>计台账的，由县级以上人民政府统计机构责令改正，给予警告，可以予以通报；</w:t>
            </w:r>
            <w:r>
              <w:rPr>
                <w:spacing w:val="13"/>
              </w:rPr>
              <w:t xml:space="preserve"> </w:t>
            </w:r>
            <w:r>
              <w:rPr>
                <w:spacing w:val="-10"/>
              </w:rPr>
              <w:t>其负有责任的领导人员和直接责任人员属于</w:t>
            </w:r>
            <w:r>
              <w:rPr>
                <w:spacing w:val="-11"/>
              </w:rPr>
              <w:t>公职人员的，由任免机关、单位或者</w:t>
            </w:r>
            <w:r>
              <w:t xml:space="preserve">  </w:t>
            </w:r>
            <w:r>
              <w:rPr>
                <w:spacing w:val="-3"/>
              </w:rPr>
              <w:t>监察机关依法给予处分。</w:t>
            </w:r>
          </w:p>
          <w:p w14:paraId="515AA773">
            <w:pPr>
              <w:pStyle w:val="6"/>
              <w:spacing w:line="192" w:lineRule="auto"/>
              <w:ind w:left="101" w:firstLine="9"/>
            </w:pPr>
            <w:r>
              <w:rPr>
                <w:spacing w:val="-1"/>
              </w:rPr>
              <w:t>企业事业单位或者其他组织有前款所列行为之一</w:t>
            </w:r>
            <w:r>
              <w:rPr>
                <w:spacing w:val="-2"/>
              </w:rPr>
              <w:t>的，可以并处五万元以下的罚</w:t>
            </w:r>
            <w:r>
              <w:t xml:space="preserve"> </w:t>
            </w:r>
            <w:r>
              <w:rPr>
                <w:spacing w:val="-1"/>
              </w:rPr>
              <w:t>款。</w:t>
            </w:r>
          </w:p>
          <w:p w14:paraId="0F0D7E4D">
            <w:pPr>
              <w:pStyle w:val="6"/>
              <w:spacing w:line="213" w:lineRule="auto"/>
              <w:ind w:left="120" w:hanging="29"/>
            </w:pPr>
            <w:r>
              <w:rPr>
                <w:spacing w:val="-13"/>
              </w:rPr>
              <w:t>个体工商户迟报统计资料的，由县级以上人民政府统计机构责令改正，给予警告，</w:t>
            </w:r>
            <w:r>
              <w:t xml:space="preserve"> </w:t>
            </w:r>
            <w:r>
              <w:rPr>
                <w:spacing w:val="-3"/>
              </w:rPr>
              <w:t>可以并处一千元以下的罚款。</w:t>
            </w:r>
          </w:p>
        </w:tc>
        <w:tc>
          <w:tcPr>
            <w:tcW w:w="1579" w:type="dxa"/>
            <w:vAlign w:val="top"/>
          </w:tcPr>
          <w:p w14:paraId="65AC7FE4">
            <w:pPr>
              <w:spacing w:line="312" w:lineRule="auto"/>
              <w:rPr>
                <w:rFonts w:ascii="Arial"/>
                <w:sz w:val="21"/>
              </w:rPr>
            </w:pPr>
          </w:p>
          <w:p w14:paraId="2AB4B86C">
            <w:pPr>
              <w:spacing w:line="312" w:lineRule="auto"/>
              <w:rPr>
                <w:rFonts w:ascii="Arial"/>
                <w:sz w:val="21"/>
              </w:rPr>
            </w:pPr>
          </w:p>
          <w:p w14:paraId="7A65B915">
            <w:pPr>
              <w:spacing w:line="313" w:lineRule="auto"/>
              <w:rPr>
                <w:rFonts w:ascii="Arial"/>
                <w:sz w:val="21"/>
              </w:rPr>
            </w:pPr>
          </w:p>
          <w:p w14:paraId="628E2037">
            <w:pPr>
              <w:pStyle w:val="6"/>
              <w:spacing w:before="71" w:line="222" w:lineRule="auto"/>
              <w:ind w:left="16"/>
            </w:pPr>
            <w:r>
              <w:rPr>
                <w:spacing w:val="19"/>
              </w:rPr>
              <w:t>“四上”企业</w:t>
            </w:r>
          </w:p>
        </w:tc>
        <w:tc>
          <w:tcPr>
            <w:tcW w:w="839" w:type="dxa"/>
            <w:vAlign w:val="top"/>
          </w:tcPr>
          <w:p w14:paraId="6334155B">
            <w:pPr>
              <w:spacing w:line="289" w:lineRule="auto"/>
              <w:rPr>
                <w:rFonts w:ascii="Arial"/>
                <w:sz w:val="21"/>
              </w:rPr>
            </w:pPr>
          </w:p>
          <w:p w14:paraId="6D4DE119">
            <w:pPr>
              <w:spacing w:line="289" w:lineRule="auto"/>
              <w:rPr>
                <w:rFonts w:ascii="Arial"/>
                <w:sz w:val="21"/>
              </w:rPr>
            </w:pPr>
          </w:p>
          <w:p w14:paraId="5E98DE0B">
            <w:pPr>
              <w:pStyle w:val="6"/>
              <w:spacing w:before="71" w:line="179" w:lineRule="auto"/>
              <w:ind w:left="197"/>
            </w:pPr>
            <w:r>
              <w:rPr>
                <w:spacing w:val="-3"/>
              </w:rPr>
              <w:t>2025</w:t>
            </w:r>
          </w:p>
          <w:p w14:paraId="1081FC3C">
            <w:pPr>
              <w:pStyle w:val="6"/>
              <w:spacing w:line="204" w:lineRule="auto"/>
              <w:ind w:left="197"/>
            </w:pPr>
            <w:r>
              <w:rPr>
                <w:spacing w:val="7"/>
              </w:rPr>
              <w:t>年11</w:t>
            </w:r>
          </w:p>
          <w:p w14:paraId="33C5F5A9">
            <w:pPr>
              <w:pStyle w:val="6"/>
              <w:spacing w:line="203" w:lineRule="auto"/>
              <w:ind w:left="197"/>
            </w:pPr>
            <w:r>
              <w:rPr>
                <w:spacing w:val="6"/>
              </w:rPr>
              <w:t>月底</w:t>
            </w:r>
          </w:p>
          <w:p w14:paraId="7DAE61F4">
            <w:pPr>
              <w:pStyle w:val="6"/>
              <w:spacing w:before="1" w:line="221" w:lineRule="auto"/>
              <w:ind w:left="306"/>
            </w:pPr>
            <w:r>
              <w:t>前</w:t>
            </w:r>
          </w:p>
        </w:tc>
        <w:tc>
          <w:tcPr>
            <w:tcW w:w="929" w:type="dxa"/>
            <w:vAlign w:val="top"/>
          </w:tcPr>
          <w:p w14:paraId="4D09206E">
            <w:pPr>
              <w:spacing w:line="436" w:lineRule="auto"/>
              <w:rPr>
                <w:rFonts w:ascii="Arial"/>
                <w:sz w:val="21"/>
              </w:rPr>
            </w:pPr>
          </w:p>
          <w:p w14:paraId="4D1FD48D">
            <w:pPr>
              <w:pStyle w:val="6"/>
              <w:spacing w:before="71" w:line="210" w:lineRule="auto"/>
              <w:ind w:left="128"/>
            </w:pPr>
            <w:r>
              <w:rPr>
                <w:spacing w:val="4"/>
              </w:rPr>
              <w:t>不高于</w:t>
            </w:r>
          </w:p>
          <w:p w14:paraId="5EB4DB75">
            <w:pPr>
              <w:pStyle w:val="6"/>
              <w:spacing w:line="193" w:lineRule="auto"/>
              <w:ind w:left="128"/>
            </w:pPr>
            <w:r>
              <w:rPr>
                <w:spacing w:val="-2"/>
              </w:rPr>
              <w:t>检查对</w:t>
            </w:r>
          </w:p>
          <w:p w14:paraId="73A7EA3A">
            <w:pPr>
              <w:pStyle w:val="6"/>
              <w:spacing w:line="201" w:lineRule="auto"/>
              <w:ind w:left="148"/>
            </w:pPr>
            <w:r>
              <w:rPr>
                <w:spacing w:val="6"/>
              </w:rPr>
              <w:t>象范围</w:t>
            </w:r>
          </w:p>
          <w:p w14:paraId="23684FCC">
            <w:pPr>
              <w:pStyle w:val="6"/>
              <w:spacing w:line="219" w:lineRule="auto"/>
              <w:ind w:left="128"/>
            </w:pPr>
            <w:r>
              <w:rPr>
                <w:spacing w:val="5"/>
              </w:rPr>
              <w:t>总数的</w:t>
            </w:r>
          </w:p>
          <w:p w14:paraId="5836116F">
            <w:pPr>
              <w:pStyle w:val="6"/>
              <w:spacing w:before="20"/>
              <w:ind w:left="348"/>
            </w:pPr>
            <w:r>
              <w:rPr>
                <w:spacing w:val="-4"/>
              </w:rPr>
              <w:t>5%</w:t>
            </w:r>
          </w:p>
        </w:tc>
        <w:tc>
          <w:tcPr>
            <w:tcW w:w="899" w:type="dxa"/>
            <w:vAlign w:val="top"/>
          </w:tcPr>
          <w:p w14:paraId="3CA205D5">
            <w:pPr>
              <w:spacing w:line="241" w:lineRule="auto"/>
              <w:rPr>
                <w:rFonts w:ascii="Arial"/>
                <w:sz w:val="21"/>
              </w:rPr>
            </w:pPr>
          </w:p>
          <w:p w14:paraId="701B665E">
            <w:pPr>
              <w:spacing w:line="242" w:lineRule="auto"/>
              <w:rPr>
                <w:rFonts w:ascii="Arial"/>
                <w:sz w:val="21"/>
              </w:rPr>
            </w:pPr>
          </w:p>
          <w:p w14:paraId="37225897">
            <w:pPr>
              <w:spacing w:line="242" w:lineRule="auto"/>
              <w:rPr>
                <w:rFonts w:ascii="Arial"/>
                <w:sz w:val="21"/>
              </w:rPr>
            </w:pPr>
          </w:p>
          <w:p w14:paraId="1A8A8B5D">
            <w:pPr>
              <w:spacing w:line="242" w:lineRule="auto"/>
              <w:rPr>
                <w:rFonts w:ascii="Arial"/>
                <w:sz w:val="21"/>
              </w:rPr>
            </w:pPr>
          </w:p>
          <w:p w14:paraId="4675DAF2">
            <w:pPr>
              <w:pStyle w:val="6"/>
              <w:spacing w:before="71" w:line="182" w:lineRule="auto"/>
              <w:ind w:left="388"/>
            </w:pPr>
            <w:r>
              <w:t>J</w:t>
            </w:r>
          </w:p>
        </w:tc>
        <w:tc>
          <w:tcPr>
            <w:tcW w:w="1164" w:type="dxa"/>
            <w:vAlign w:val="top"/>
          </w:tcPr>
          <w:p w14:paraId="60A03DB0">
            <w:pPr>
              <w:spacing w:line="327" w:lineRule="auto"/>
              <w:rPr>
                <w:rFonts w:ascii="Arial"/>
                <w:sz w:val="21"/>
              </w:rPr>
            </w:pPr>
          </w:p>
          <w:p w14:paraId="6A824BC0">
            <w:pPr>
              <w:pStyle w:val="6"/>
              <w:spacing w:before="72" w:line="201" w:lineRule="auto"/>
              <w:ind w:left="140"/>
            </w:pPr>
            <w:r>
              <w:rPr>
                <w:spacing w:val="-2"/>
              </w:rPr>
              <w:t>联合准格</w:t>
            </w:r>
          </w:p>
          <w:p w14:paraId="7DEBD04B">
            <w:pPr>
              <w:pStyle w:val="6"/>
              <w:spacing w:line="209" w:lineRule="auto"/>
              <w:ind w:left="140"/>
            </w:pPr>
            <w:r>
              <w:rPr>
                <w:spacing w:val="3"/>
              </w:rPr>
              <w:t>尔旗市场</w:t>
            </w:r>
          </w:p>
          <w:p w14:paraId="660187DD">
            <w:pPr>
              <w:pStyle w:val="6"/>
              <w:spacing w:before="1" w:line="202" w:lineRule="auto"/>
              <w:ind w:left="140"/>
            </w:pPr>
            <w:r>
              <w:rPr>
                <w:spacing w:val="-2"/>
              </w:rPr>
              <w:t>监督管理</w:t>
            </w:r>
          </w:p>
          <w:p w14:paraId="63A3C752">
            <w:pPr>
              <w:pStyle w:val="6"/>
              <w:spacing w:line="200" w:lineRule="auto"/>
              <w:ind w:left="249"/>
            </w:pPr>
            <w:r>
              <w:rPr>
                <w:spacing w:val="4"/>
              </w:rPr>
              <w:t>局开展</w:t>
            </w:r>
          </w:p>
          <w:p w14:paraId="7EE20112">
            <w:pPr>
              <w:pStyle w:val="6"/>
              <w:spacing w:line="194" w:lineRule="auto"/>
              <w:ind w:left="190"/>
            </w:pPr>
            <w:r>
              <w:rPr>
                <w:spacing w:val="2"/>
              </w:rPr>
              <w:t>(现场开</w:t>
            </w:r>
          </w:p>
          <w:p w14:paraId="699A72ED">
            <w:pPr>
              <w:pStyle w:val="6"/>
              <w:spacing w:before="1" w:line="221" w:lineRule="auto"/>
              <w:ind w:left="349"/>
            </w:pPr>
            <w:r>
              <w:rPr>
                <w:spacing w:val="-6"/>
              </w:rPr>
              <w:t>展</w:t>
            </w:r>
            <w:r>
              <w:rPr>
                <w:spacing w:val="-42"/>
              </w:rPr>
              <w:t xml:space="preserve"> </w:t>
            </w:r>
            <w:r>
              <w:rPr>
                <w:spacing w:val="-6"/>
              </w:rPr>
              <w:t>)</w:t>
            </w:r>
          </w:p>
        </w:tc>
      </w:tr>
      <w:tr w14:paraId="665407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9" w:hRule="atLeast"/>
        </w:trPr>
        <w:tc>
          <w:tcPr>
            <w:tcW w:w="465" w:type="dxa"/>
            <w:vAlign w:val="top"/>
          </w:tcPr>
          <w:p w14:paraId="33932AFC">
            <w:pPr>
              <w:spacing w:line="268" w:lineRule="auto"/>
              <w:rPr>
                <w:rFonts w:ascii="Arial"/>
                <w:sz w:val="21"/>
              </w:rPr>
            </w:pPr>
          </w:p>
          <w:p w14:paraId="1FB301AE">
            <w:pPr>
              <w:spacing w:line="269" w:lineRule="auto"/>
              <w:rPr>
                <w:rFonts w:ascii="Arial"/>
                <w:sz w:val="21"/>
              </w:rPr>
            </w:pPr>
          </w:p>
          <w:p w14:paraId="65824A67">
            <w:pPr>
              <w:spacing w:line="269" w:lineRule="auto"/>
              <w:rPr>
                <w:rFonts w:ascii="Arial"/>
                <w:sz w:val="21"/>
              </w:rPr>
            </w:pPr>
          </w:p>
          <w:p w14:paraId="772D6A82">
            <w:pPr>
              <w:spacing w:line="269" w:lineRule="auto"/>
              <w:rPr>
                <w:rFonts w:ascii="Arial"/>
                <w:sz w:val="21"/>
              </w:rPr>
            </w:pPr>
          </w:p>
          <w:p w14:paraId="00FBEFEB">
            <w:pPr>
              <w:spacing w:line="269" w:lineRule="auto"/>
              <w:rPr>
                <w:rFonts w:ascii="Arial"/>
                <w:sz w:val="21"/>
              </w:rPr>
            </w:pPr>
          </w:p>
          <w:p w14:paraId="59040B99">
            <w:pPr>
              <w:spacing w:line="269" w:lineRule="auto"/>
              <w:rPr>
                <w:rFonts w:ascii="Arial"/>
                <w:sz w:val="21"/>
              </w:rPr>
            </w:pPr>
          </w:p>
          <w:p w14:paraId="615364F6">
            <w:pPr>
              <w:spacing w:line="269" w:lineRule="auto"/>
              <w:rPr>
                <w:rFonts w:ascii="Arial"/>
                <w:sz w:val="21"/>
              </w:rPr>
            </w:pPr>
          </w:p>
          <w:p w14:paraId="2C4BCC2B">
            <w:pPr>
              <w:pStyle w:val="6"/>
              <w:spacing w:before="72" w:line="241" w:lineRule="auto"/>
              <w:ind w:left="164"/>
            </w:pPr>
            <w:r>
              <w:t>2</w:t>
            </w:r>
          </w:p>
        </w:tc>
        <w:tc>
          <w:tcPr>
            <w:tcW w:w="770" w:type="dxa"/>
            <w:vAlign w:val="top"/>
          </w:tcPr>
          <w:p w14:paraId="3FB93092">
            <w:pPr>
              <w:spacing w:line="252" w:lineRule="auto"/>
              <w:rPr>
                <w:rFonts w:ascii="Arial"/>
                <w:sz w:val="21"/>
              </w:rPr>
            </w:pPr>
          </w:p>
          <w:p w14:paraId="4D3C9DDA">
            <w:pPr>
              <w:spacing w:line="252" w:lineRule="auto"/>
              <w:rPr>
                <w:rFonts w:ascii="Arial"/>
                <w:sz w:val="21"/>
              </w:rPr>
            </w:pPr>
          </w:p>
          <w:p w14:paraId="63FBF6DD">
            <w:pPr>
              <w:spacing w:line="252" w:lineRule="auto"/>
              <w:rPr>
                <w:rFonts w:ascii="Arial"/>
                <w:sz w:val="21"/>
              </w:rPr>
            </w:pPr>
          </w:p>
          <w:p w14:paraId="07B4E3F9">
            <w:pPr>
              <w:spacing w:line="252" w:lineRule="auto"/>
              <w:rPr>
                <w:rFonts w:ascii="Arial"/>
                <w:sz w:val="21"/>
              </w:rPr>
            </w:pPr>
          </w:p>
          <w:p w14:paraId="3A864F24">
            <w:pPr>
              <w:spacing w:line="252" w:lineRule="auto"/>
              <w:rPr>
                <w:rFonts w:ascii="Arial"/>
                <w:sz w:val="21"/>
              </w:rPr>
            </w:pPr>
          </w:p>
          <w:p w14:paraId="44F5970D">
            <w:pPr>
              <w:spacing w:line="252" w:lineRule="auto"/>
              <w:rPr>
                <w:rFonts w:ascii="Arial"/>
                <w:sz w:val="21"/>
              </w:rPr>
            </w:pPr>
          </w:p>
          <w:p w14:paraId="7B724027">
            <w:pPr>
              <w:pStyle w:val="6"/>
              <w:spacing w:before="71" w:line="211" w:lineRule="auto"/>
              <w:ind w:left="150"/>
            </w:pPr>
            <w:r>
              <w:rPr>
                <w:spacing w:val="-3"/>
              </w:rPr>
              <w:t>准格</w:t>
            </w:r>
          </w:p>
          <w:p w14:paraId="391AEFFF">
            <w:pPr>
              <w:pStyle w:val="6"/>
              <w:spacing w:line="202" w:lineRule="auto"/>
              <w:ind w:left="150"/>
            </w:pPr>
            <w:r>
              <w:rPr>
                <w:spacing w:val="3"/>
              </w:rPr>
              <w:t>尔旗</w:t>
            </w:r>
          </w:p>
          <w:p w14:paraId="1D78E19B">
            <w:pPr>
              <w:pStyle w:val="6"/>
              <w:spacing w:line="215" w:lineRule="auto"/>
              <w:ind w:left="260" w:right="160" w:hanging="110"/>
            </w:pPr>
            <w:r>
              <w:rPr>
                <w:spacing w:val="4"/>
              </w:rPr>
              <w:t>统计</w:t>
            </w:r>
            <w:r>
              <w:t xml:space="preserve"> 局</w:t>
            </w:r>
          </w:p>
        </w:tc>
        <w:tc>
          <w:tcPr>
            <w:tcW w:w="1289" w:type="dxa"/>
            <w:vAlign w:val="top"/>
          </w:tcPr>
          <w:p w14:paraId="2C54D078">
            <w:pPr>
              <w:spacing w:line="256" w:lineRule="auto"/>
              <w:rPr>
                <w:rFonts w:ascii="Arial"/>
                <w:sz w:val="21"/>
              </w:rPr>
            </w:pPr>
          </w:p>
          <w:p w14:paraId="2FC62C33">
            <w:pPr>
              <w:spacing w:line="256" w:lineRule="auto"/>
              <w:rPr>
                <w:rFonts w:ascii="Arial"/>
                <w:sz w:val="21"/>
              </w:rPr>
            </w:pPr>
          </w:p>
          <w:p w14:paraId="71584F00">
            <w:pPr>
              <w:spacing w:line="256" w:lineRule="auto"/>
              <w:rPr>
                <w:rFonts w:ascii="Arial"/>
                <w:sz w:val="21"/>
              </w:rPr>
            </w:pPr>
          </w:p>
          <w:p w14:paraId="160A0DDC">
            <w:pPr>
              <w:spacing w:line="257" w:lineRule="auto"/>
              <w:rPr>
                <w:rFonts w:ascii="Arial"/>
                <w:sz w:val="21"/>
              </w:rPr>
            </w:pPr>
          </w:p>
          <w:p w14:paraId="17C705CA">
            <w:pPr>
              <w:spacing w:line="257" w:lineRule="auto"/>
              <w:rPr>
                <w:rFonts w:ascii="Arial"/>
                <w:sz w:val="21"/>
              </w:rPr>
            </w:pPr>
          </w:p>
          <w:p w14:paraId="44A9217E">
            <w:pPr>
              <w:pStyle w:val="6"/>
              <w:spacing w:before="72" w:line="202" w:lineRule="auto"/>
              <w:ind w:left="190" w:right="198"/>
            </w:pPr>
            <w:r>
              <w:rPr>
                <w:spacing w:val="-2"/>
              </w:rPr>
              <w:t>对提供不</w:t>
            </w:r>
            <w:r>
              <w:t xml:space="preserve"> </w:t>
            </w:r>
            <w:r>
              <w:rPr>
                <w:spacing w:val="2"/>
              </w:rPr>
              <w:t>真实或者</w:t>
            </w:r>
          </w:p>
          <w:p w14:paraId="7FE37D73">
            <w:pPr>
              <w:pStyle w:val="6"/>
              <w:spacing w:line="193" w:lineRule="auto"/>
              <w:ind w:left="190"/>
            </w:pPr>
            <w:r>
              <w:rPr>
                <w:spacing w:val="4"/>
              </w:rPr>
              <w:t>不完整的</w:t>
            </w:r>
          </w:p>
          <w:p w14:paraId="0BD4AA94">
            <w:pPr>
              <w:pStyle w:val="6"/>
              <w:spacing w:line="200" w:lineRule="auto"/>
              <w:ind w:left="190"/>
            </w:pPr>
            <w:r>
              <w:rPr>
                <w:spacing w:val="1"/>
              </w:rPr>
              <w:t>统计资料</w:t>
            </w:r>
          </w:p>
          <w:p w14:paraId="12A90C14">
            <w:pPr>
              <w:pStyle w:val="6"/>
              <w:spacing w:before="1" w:line="217" w:lineRule="auto"/>
              <w:ind w:left="520" w:right="199" w:hanging="330"/>
            </w:pPr>
            <w:r>
              <w:rPr>
                <w:spacing w:val="2"/>
              </w:rPr>
              <w:t>的监督检</w:t>
            </w:r>
            <w:r>
              <w:t xml:space="preserve"> 查</w:t>
            </w:r>
          </w:p>
        </w:tc>
        <w:tc>
          <w:tcPr>
            <w:tcW w:w="7555" w:type="dxa"/>
            <w:vAlign w:val="top"/>
          </w:tcPr>
          <w:p w14:paraId="640621CA">
            <w:pPr>
              <w:pStyle w:val="6"/>
              <w:spacing w:before="26" w:line="201" w:lineRule="auto"/>
              <w:ind w:left="99" w:hanging="9"/>
              <w:jc w:val="both"/>
            </w:pPr>
            <w:r>
              <w:rPr>
                <w:spacing w:val="-8"/>
              </w:rPr>
              <w:t>《中华人民共和国统计法》第八条</w:t>
            </w:r>
            <w:r>
              <w:rPr>
                <w:spacing w:val="35"/>
              </w:rPr>
              <w:t xml:space="preserve"> </w:t>
            </w:r>
            <w:r>
              <w:rPr>
                <w:spacing w:val="-8"/>
              </w:rPr>
              <w:t>国家机关、企业事业单位和其他组织以及个</w:t>
            </w:r>
            <w:r>
              <w:t xml:space="preserve">  </w:t>
            </w:r>
            <w:r>
              <w:rPr>
                <w:spacing w:val="-10"/>
              </w:rPr>
              <w:t>体工商户和个人统计调查对象，必须依照本法和国家有关规定，真实</w:t>
            </w:r>
            <w:r>
              <w:rPr>
                <w:spacing w:val="-11"/>
              </w:rPr>
              <w:t>、准确、完</w:t>
            </w:r>
            <w:r>
              <w:t xml:space="preserve">  </w:t>
            </w:r>
            <w:r>
              <w:rPr>
                <w:spacing w:val="-7"/>
              </w:rPr>
              <w:t>整、及时地提供统计调查所需的资料，不得提供不真</w:t>
            </w:r>
            <w:r>
              <w:rPr>
                <w:spacing w:val="-8"/>
              </w:rPr>
              <w:t>实或者不完整的统计资料，</w:t>
            </w:r>
            <w:r>
              <w:t xml:space="preserve"> </w:t>
            </w:r>
            <w:r>
              <w:rPr>
                <w:spacing w:val="-4"/>
              </w:rPr>
              <w:t>不得迟报、拒报统计资料。第四十四条作为统计调查对象的国家机关、企业事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业单位或者其他组织有下列行为之一的，由县级以上人民政府统计机构责令改</w:t>
            </w:r>
            <w:r>
              <w:t xml:space="preserve">  </w:t>
            </w:r>
            <w:r>
              <w:rPr>
                <w:spacing w:val="-10"/>
              </w:rPr>
              <w:t>正，给予警告，可以予以通报；其负有责任的领导人员和直接责任人员</w:t>
            </w:r>
            <w:r>
              <w:rPr>
                <w:spacing w:val="-11"/>
              </w:rPr>
              <w:t>属于公职</w:t>
            </w:r>
            <w:r>
              <w:t xml:space="preserve">  </w:t>
            </w:r>
            <w:r>
              <w:rPr>
                <w:spacing w:val="-3"/>
              </w:rPr>
              <w:t>人员的，由任免机关、单位或者监察机关依法给予处分：</w:t>
            </w:r>
          </w:p>
          <w:p w14:paraId="7CC99690">
            <w:pPr>
              <w:pStyle w:val="6"/>
              <w:spacing w:line="201" w:lineRule="auto"/>
              <w:ind w:left="200"/>
            </w:pPr>
            <w:r>
              <w:rPr>
                <w:spacing w:val="4"/>
              </w:rPr>
              <w:t>(一)拒绝提供统计资料或者经催报后仍未按时提</w:t>
            </w:r>
            <w:r>
              <w:rPr>
                <w:spacing w:val="3"/>
              </w:rPr>
              <w:t>供统计资料的；</w:t>
            </w:r>
          </w:p>
          <w:p w14:paraId="2163322E">
            <w:pPr>
              <w:pStyle w:val="6"/>
              <w:spacing w:line="209" w:lineRule="auto"/>
              <w:ind w:left="110"/>
            </w:pPr>
            <w:r>
              <w:rPr>
                <w:spacing w:val="5"/>
              </w:rPr>
              <w:t>(二)提供不真实或者不完整的统计资料的；</w:t>
            </w:r>
          </w:p>
          <w:p w14:paraId="6E2D7CB4">
            <w:pPr>
              <w:pStyle w:val="6"/>
              <w:spacing w:before="1" w:line="201" w:lineRule="auto"/>
              <w:ind w:left="110"/>
            </w:pPr>
            <w:r>
              <w:rPr>
                <w:spacing w:val="4"/>
              </w:rPr>
              <w:t>(三)拒绝答复或者不如实答复统计检查查询书的；</w:t>
            </w:r>
          </w:p>
          <w:p w14:paraId="42850E39">
            <w:pPr>
              <w:pStyle w:val="6"/>
              <w:spacing w:before="1" w:line="200" w:lineRule="auto"/>
              <w:ind w:left="110"/>
            </w:pPr>
            <w:r>
              <w:rPr>
                <w:spacing w:val="5"/>
              </w:rPr>
              <w:t>(四)拒绝、阻碍统计调查、统计检查的；</w:t>
            </w:r>
          </w:p>
          <w:p w14:paraId="24411EA0">
            <w:pPr>
              <w:pStyle w:val="6"/>
              <w:spacing w:before="2" w:line="205" w:lineRule="auto"/>
              <w:ind w:left="110" w:firstLine="89"/>
            </w:pPr>
            <w:r>
              <w:rPr>
                <w:spacing w:val="-4"/>
              </w:rPr>
              <w:t>(五)转移、隐匿、篡改、毁弃或者拒绝提供原始记录和凭证、统计台账、统计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调查表及其他相关证明和资料的。</w:t>
            </w:r>
          </w:p>
          <w:p w14:paraId="37DBC3AE">
            <w:pPr>
              <w:pStyle w:val="6"/>
              <w:spacing w:before="2" w:line="196" w:lineRule="auto"/>
              <w:ind w:left="101" w:firstLine="9"/>
            </w:pPr>
            <w:r>
              <w:rPr>
                <w:spacing w:val="-1"/>
              </w:rPr>
              <w:t>企业事业单位或者其他组织有前款所列行为之一</w:t>
            </w:r>
            <w:r>
              <w:rPr>
                <w:spacing w:val="-2"/>
              </w:rPr>
              <w:t>的，可以并处十万元以下的罚</w:t>
            </w:r>
            <w:r>
              <w:t xml:space="preserve"> </w:t>
            </w:r>
            <w:r>
              <w:rPr>
                <w:spacing w:val="-1"/>
              </w:rPr>
              <w:t>款；情节严重的，并处十万元以上五十万元以下的罚款。</w:t>
            </w:r>
          </w:p>
          <w:p w14:paraId="00A61D40">
            <w:pPr>
              <w:pStyle w:val="6"/>
              <w:spacing w:line="191" w:lineRule="auto"/>
              <w:ind w:left="120" w:hanging="40"/>
            </w:pPr>
            <w:r>
              <w:rPr>
                <w:spacing w:val="-7"/>
              </w:rPr>
              <w:t>个体工商户有本条第一款所列行为之一的，由县级以上人民政府统计机构责令改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正，给予警告，可以并处一万元以下的罚款。</w:t>
            </w:r>
          </w:p>
        </w:tc>
        <w:tc>
          <w:tcPr>
            <w:tcW w:w="1579" w:type="dxa"/>
            <w:vAlign w:val="top"/>
          </w:tcPr>
          <w:p w14:paraId="64565874">
            <w:pPr>
              <w:spacing w:line="266" w:lineRule="auto"/>
              <w:rPr>
                <w:rFonts w:ascii="Arial"/>
                <w:sz w:val="21"/>
              </w:rPr>
            </w:pPr>
          </w:p>
          <w:p w14:paraId="109BE9AF">
            <w:pPr>
              <w:spacing w:line="266" w:lineRule="auto"/>
              <w:rPr>
                <w:rFonts w:ascii="Arial"/>
                <w:sz w:val="21"/>
              </w:rPr>
            </w:pPr>
          </w:p>
          <w:p w14:paraId="1AA1B83E">
            <w:pPr>
              <w:spacing w:line="266" w:lineRule="auto"/>
              <w:rPr>
                <w:rFonts w:ascii="Arial"/>
                <w:sz w:val="21"/>
              </w:rPr>
            </w:pPr>
          </w:p>
          <w:p w14:paraId="216B4D97">
            <w:pPr>
              <w:spacing w:line="266" w:lineRule="auto"/>
              <w:rPr>
                <w:rFonts w:ascii="Arial"/>
                <w:sz w:val="21"/>
              </w:rPr>
            </w:pPr>
          </w:p>
          <w:p w14:paraId="5BA44EAC">
            <w:pPr>
              <w:spacing w:line="266" w:lineRule="auto"/>
              <w:rPr>
                <w:rFonts w:ascii="Arial"/>
                <w:sz w:val="21"/>
              </w:rPr>
            </w:pPr>
          </w:p>
          <w:p w14:paraId="41AF42AA">
            <w:pPr>
              <w:spacing w:line="267" w:lineRule="auto"/>
              <w:rPr>
                <w:rFonts w:ascii="Arial"/>
                <w:sz w:val="21"/>
              </w:rPr>
            </w:pPr>
          </w:p>
          <w:p w14:paraId="315B1C17">
            <w:pPr>
              <w:spacing w:line="267" w:lineRule="auto"/>
              <w:rPr>
                <w:rFonts w:ascii="Arial"/>
                <w:sz w:val="21"/>
              </w:rPr>
            </w:pPr>
          </w:p>
          <w:p w14:paraId="5B63D1EF">
            <w:pPr>
              <w:pStyle w:val="6"/>
              <w:spacing w:before="72" w:line="222" w:lineRule="auto"/>
              <w:ind w:left="16"/>
            </w:pPr>
            <w:r>
              <w:rPr>
                <w:spacing w:val="19"/>
              </w:rPr>
              <w:t>“四上”企业</w:t>
            </w:r>
          </w:p>
        </w:tc>
        <w:tc>
          <w:tcPr>
            <w:tcW w:w="839" w:type="dxa"/>
            <w:vAlign w:val="top"/>
          </w:tcPr>
          <w:p w14:paraId="0E1E339A">
            <w:pPr>
              <w:spacing w:line="255" w:lineRule="auto"/>
              <w:rPr>
                <w:rFonts w:ascii="Arial"/>
                <w:sz w:val="21"/>
              </w:rPr>
            </w:pPr>
          </w:p>
          <w:p w14:paraId="3386DBB9">
            <w:pPr>
              <w:spacing w:line="256" w:lineRule="auto"/>
              <w:rPr>
                <w:rFonts w:ascii="Arial"/>
                <w:sz w:val="21"/>
              </w:rPr>
            </w:pPr>
          </w:p>
          <w:p w14:paraId="2940DFE9">
            <w:pPr>
              <w:spacing w:line="256" w:lineRule="auto"/>
              <w:rPr>
                <w:rFonts w:ascii="Arial"/>
                <w:sz w:val="21"/>
              </w:rPr>
            </w:pPr>
          </w:p>
          <w:p w14:paraId="5971FEDD">
            <w:pPr>
              <w:spacing w:line="256" w:lineRule="auto"/>
              <w:rPr>
                <w:rFonts w:ascii="Arial"/>
                <w:sz w:val="21"/>
              </w:rPr>
            </w:pPr>
          </w:p>
          <w:p w14:paraId="7F63A18A">
            <w:pPr>
              <w:spacing w:line="256" w:lineRule="auto"/>
              <w:rPr>
                <w:rFonts w:ascii="Arial"/>
                <w:sz w:val="21"/>
              </w:rPr>
            </w:pPr>
          </w:p>
          <w:p w14:paraId="50B45712">
            <w:pPr>
              <w:spacing w:line="256" w:lineRule="auto"/>
              <w:rPr>
                <w:rFonts w:ascii="Arial"/>
                <w:sz w:val="21"/>
              </w:rPr>
            </w:pPr>
          </w:p>
          <w:p w14:paraId="4B7EBDCD">
            <w:pPr>
              <w:pStyle w:val="6"/>
              <w:spacing w:before="71" w:line="179" w:lineRule="auto"/>
              <w:ind w:left="197"/>
            </w:pPr>
            <w:r>
              <w:rPr>
                <w:spacing w:val="-3"/>
              </w:rPr>
              <w:t>2025</w:t>
            </w:r>
          </w:p>
          <w:p w14:paraId="742D90D6">
            <w:pPr>
              <w:pStyle w:val="6"/>
              <w:spacing w:line="196" w:lineRule="auto"/>
              <w:ind w:left="197"/>
            </w:pPr>
            <w:r>
              <w:rPr>
                <w:spacing w:val="7"/>
              </w:rPr>
              <w:t>年11</w:t>
            </w:r>
          </w:p>
          <w:p w14:paraId="4838DE9C">
            <w:pPr>
              <w:pStyle w:val="6"/>
              <w:spacing w:line="219" w:lineRule="auto"/>
              <w:ind w:left="197"/>
            </w:pPr>
            <w:r>
              <w:rPr>
                <w:spacing w:val="6"/>
              </w:rPr>
              <w:t>月底</w:t>
            </w:r>
          </w:p>
          <w:p w14:paraId="22B96A2A">
            <w:pPr>
              <w:pStyle w:val="6"/>
              <w:spacing w:before="1" w:line="221" w:lineRule="auto"/>
              <w:ind w:left="306"/>
            </w:pPr>
            <w:r>
              <w:t>前</w:t>
            </w:r>
          </w:p>
        </w:tc>
        <w:tc>
          <w:tcPr>
            <w:tcW w:w="929" w:type="dxa"/>
            <w:vAlign w:val="top"/>
          </w:tcPr>
          <w:p w14:paraId="24281A35">
            <w:pPr>
              <w:spacing w:line="274" w:lineRule="auto"/>
              <w:rPr>
                <w:rFonts w:ascii="Arial"/>
                <w:sz w:val="21"/>
              </w:rPr>
            </w:pPr>
          </w:p>
          <w:p w14:paraId="5D84921F">
            <w:pPr>
              <w:spacing w:line="274" w:lineRule="auto"/>
              <w:rPr>
                <w:rFonts w:ascii="Arial"/>
                <w:sz w:val="21"/>
              </w:rPr>
            </w:pPr>
          </w:p>
          <w:p w14:paraId="350270E3">
            <w:pPr>
              <w:spacing w:line="275" w:lineRule="auto"/>
              <w:rPr>
                <w:rFonts w:ascii="Arial"/>
                <w:sz w:val="21"/>
              </w:rPr>
            </w:pPr>
          </w:p>
          <w:p w14:paraId="0406C3A4">
            <w:pPr>
              <w:spacing w:line="275" w:lineRule="auto"/>
              <w:rPr>
                <w:rFonts w:ascii="Arial"/>
                <w:sz w:val="21"/>
              </w:rPr>
            </w:pPr>
          </w:p>
          <w:p w14:paraId="6A43E077">
            <w:pPr>
              <w:spacing w:line="275" w:lineRule="auto"/>
              <w:rPr>
                <w:rFonts w:ascii="Arial"/>
                <w:sz w:val="21"/>
              </w:rPr>
            </w:pPr>
          </w:p>
          <w:p w14:paraId="6A1A7540">
            <w:pPr>
              <w:pStyle w:val="6"/>
              <w:spacing w:before="72" w:line="207" w:lineRule="auto"/>
              <w:ind w:left="128" w:right="110"/>
              <w:jc w:val="both"/>
            </w:pPr>
            <w:r>
              <w:rPr>
                <w:spacing w:val="4"/>
              </w:rPr>
              <w:t>不高于</w:t>
            </w:r>
            <w:r>
              <w:t xml:space="preserve"> </w:t>
            </w:r>
            <w:r>
              <w:rPr>
                <w:spacing w:val="-3"/>
              </w:rPr>
              <w:t>检查对</w:t>
            </w:r>
            <w:r>
              <w:t xml:space="preserve"> </w:t>
            </w:r>
            <w:r>
              <w:rPr>
                <w:spacing w:val="6"/>
              </w:rPr>
              <w:t>象范围</w:t>
            </w:r>
          </w:p>
          <w:p w14:paraId="687816CD">
            <w:pPr>
              <w:pStyle w:val="6"/>
              <w:spacing w:line="232" w:lineRule="auto"/>
              <w:ind w:left="347" w:right="113" w:hanging="219"/>
            </w:pPr>
            <w:r>
              <w:rPr>
                <w:spacing w:val="5"/>
              </w:rPr>
              <w:t>总数的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5%</w:t>
            </w:r>
          </w:p>
        </w:tc>
        <w:tc>
          <w:tcPr>
            <w:tcW w:w="899" w:type="dxa"/>
            <w:vAlign w:val="top"/>
          </w:tcPr>
          <w:p w14:paraId="2423DEFA">
            <w:pPr>
              <w:spacing w:line="243" w:lineRule="auto"/>
              <w:rPr>
                <w:rFonts w:ascii="Arial"/>
                <w:sz w:val="21"/>
              </w:rPr>
            </w:pPr>
          </w:p>
          <w:p w14:paraId="6359A7C8">
            <w:pPr>
              <w:spacing w:line="243" w:lineRule="auto"/>
              <w:rPr>
                <w:rFonts w:ascii="Arial"/>
                <w:sz w:val="21"/>
              </w:rPr>
            </w:pPr>
          </w:p>
          <w:p w14:paraId="7BEC58DF">
            <w:pPr>
              <w:spacing w:line="243" w:lineRule="auto"/>
              <w:rPr>
                <w:rFonts w:ascii="Arial"/>
                <w:sz w:val="21"/>
              </w:rPr>
            </w:pPr>
          </w:p>
          <w:p w14:paraId="280C0CFD">
            <w:pPr>
              <w:spacing w:line="243" w:lineRule="auto"/>
              <w:rPr>
                <w:rFonts w:ascii="Arial"/>
                <w:sz w:val="21"/>
              </w:rPr>
            </w:pPr>
          </w:p>
          <w:p w14:paraId="2B755005">
            <w:pPr>
              <w:spacing w:line="243" w:lineRule="auto"/>
              <w:rPr>
                <w:rFonts w:ascii="Arial"/>
                <w:sz w:val="21"/>
              </w:rPr>
            </w:pPr>
          </w:p>
          <w:p w14:paraId="747EFC01">
            <w:pPr>
              <w:spacing w:line="244" w:lineRule="auto"/>
              <w:rPr>
                <w:rFonts w:ascii="Arial"/>
                <w:sz w:val="21"/>
              </w:rPr>
            </w:pPr>
          </w:p>
          <w:p w14:paraId="06E7251D">
            <w:pPr>
              <w:spacing w:line="244" w:lineRule="auto"/>
              <w:rPr>
                <w:rFonts w:ascii="Arial"/>
                <w:sz w:val="21"/>
              </w:rPr>
            </w:pPr>
          </w:p>
          <w:p w14:paraId="1562E765">
            <w:pPr>
              <w:spacing w:line="244" w:lineRule="auto"/>
              <w:rPr>
                <w:rFonts w:ascii="Arial"/>
                <w:sz w:val="21"/>
              </w:rPr>
            </w:pPr>
          </w:p>
          <w:p w14:paraId="4B5224FA">
            <w:pPr>
              <w:pStyle w:val="6"/>
              <w:spacing w:before="42" w:line="235" w:lineRule="auto"/>
              <w:ind w:left="379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工</w:t>
            </w:r>
          </w:p>
        </w:tc>
        <w:tc>
          <w:tcPr>
            <w:tcW w:w="1164" w:type="dxa"/>
            <w:vAlign w:val="top"/>
          </w:tcPr>
          <w:p w14:paraId="5033D087">
            <w:pPr>
              <w:spacing w:line="271" w:lineRule="auto"/>
              <w:rPr>
                <w:rFonts w:ascii="Arial"/>
                <w:sz w:val="21"/>
              </w:rPr>
            </w:pPr>
          </w:p>
          <w:p w14:paraId="70A516EB">
            <w:pPr>
              <w:spacing w:line="272" w:lineRule="auto"/>
              <w:rPr>
                <w:rFonts w:ascii="Arial"/>
                <w:sz w:val="21"/>
              </w:rPr>
            </w:pPr>
          </w:p>
          <w:p w14:paraId="7D0A82B5">
            <w:pPr>
              <w:spacing w:line="272" w:lineRule="auto"/>
              <w:rPr>
                <w:rFonts w:ascii="Arial"/>
                <w:sz w:val="21"/>
              </w:rPr>
            </w:pPr>
          </w:p>
          <w:p w14:paraId="6BDFE634">
            <w:pPr>
              <w:spacing w:line="272" w:lineRule="auto"/>
              <w:rPr>
                <w:rFonts w:ascii="Arial"/>
                <w:sz w:val="21"/>
              </w:rPr>
            </w:pPr>
          </w:p>
          <w:p w14:paraId="31945FDF">
            <w:pPr>
              <w:spacing w:line="272" w:lineRule="auto"/>
              <w:rPr>
                <w:rFonts w:ascii="Arial"/>
                <w:sz w:val="21"/>
              </w:rPr>
            </w:pPr>
          </w:p>
          <w:p w14:paraId="5DDD08EE">
            <w:pPr>
              <w:spacing w:line="272" w:lineRule="auto"/>
              <w:rPr>
                <w:rFonts w:ascii="Arial"/>
                <w:sz w:val="21"/>
              </w:rPr>
            </w:pPr>
          </w:p>
          <w:p w14:paraId="318A062A">
            <w:pPr>
              <w:pStyle w:val="6"/>
              <w:spacing w:before="71" w:line="203" w:lineRule="auto"/>
              <w:ind w:left="140"/>
            </w:pPr>
            <w:r>
              <w:rPr>
                <w:spacing w:val="-2"/>
              </w:rPr>
              <w:t>本部门开</w:t>
            </w:r>
          </w:p>
          <w:p w14:paraId="0FA36A8D">
            <w:pPr>
              <w:pStyle w:val="6"/>
              <w:spacing w:before="2" w:line="209" w:lineRule="auto"/>
              <w:ind w:left="299" w:right="180" w:hanging="109"/>
            </w:pPr>
            <w:r>
              <w:rPr>
                <w:spacing w:val="3"/>
              </w:rPr>
              <w:t>展(现场</w:t>
            </w:r>
            <w:r>
              <w:t xml:space="preserve"> </w:t>
            </w:r>
            <w:r>
              <w:rPr>
                <w:spacing w:val="16"/>
              </w:rPr>
              <w:t>检查)</w:t>
            </w:r>
          </w:p>
        </w:tc>
      </w:tr>
    </w:tbl>
    <w:p w14:paraId="62374B84">
      <w:pPr>
        <w:rPr>
          <w:rFonts w:ascii="Arial"/>
          <w:sz w:val="21"/>
        </w:rPr>
      </w:pPr>
    </w:p>
    <w:sectPr>
      <w:footerReference r:id="rId8" w:type="default"/>
      <w:pgSz w:w="16830" w:h="11900"/>
      <w:pgMar w:top="1011" w:right="685" w:bottom="1707" w:left="644" w:header="0" w:footer="131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8DDB21">
    <w:pPr>
      <w:spacing w:line="235" w:lineRule="auto"/>
      <w:ind w:left="240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4"/>
        <w:sz w:val="31"/>
        <w:szCs w:val="31"/>
      </w:rPr>
      <w:t>—2—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7EFA7">
    <w:pPr>
      <w:spacing w:line="233" w:lineRule="auto"/>
      <w:ind w:left="7690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4"/>
        <w:sz w:val="31"/>
        <w:szCs w:val="31"/>
      </w:rPr>
      <w:t>—3—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ACB46">
    <w:pPr>
      <w:spacing w:line="235" w:lineRule="auto"/>
      <w:ind w:left="260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4"/>
        <w:sz w:val="31"/>
        <w:szCs w:val="31"/>
      </w:rPr>
      <w:t>—4—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7E1C2F">
    <w:pPr>
      <w:spacing w:line="233" w:lineRule="auto"/>
      <w:ind w:left="12855"/>
      <w:rPr>
        <w:rFonts w:ascii="宋体" w:hAnsi="宋体" w:eastAsia="宋体" w:cs="宋体"/>
        <w:sz w:val="30"/>
        <w:szCs w:val="30"/>
      </w:rPr>
    </w:pPr>
    <w:r>
      <w:rPr>
        <w:rFonts w:ascii="宋体" w:hAnsi="宋体" w:eastAsia="宋体" w:cs="宋体"/>
        <w:spacing w:val="-4"/>
        <w:sz w:val="30"/>
        <w:szCs w:val="30"/>
      </w:rPr>
      <w:t>—5—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D8C1D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9"/>
      <w:szCs w:val="2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2253</Words>
  <Characters>2296</Characters>
  <TotalTime>4</TotalTime>
  <ScaleCrop>false</ScaleCrop>
  <LinksUpToDate>false</LinksUpToDate>
  <CharactersWithSpaces>2387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2025-12-01T15:44:00Z</dcterms:created>
  <dc:creator>Administrator</dc:creator>
  <cp:lastModifiedBy>白云</cp:lastModifiedBy>
  <dcterms:modified xsi:type="dcterms:W3CDTF">2025-12-01T07:48:32Z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2025-12-01T15:44:04Z</vt:filetime>
  </property>
  <property fmtid="{D5CDD505-2E9C-101B-9397-08002B2CF9AE}" pid="4" name="UsrData">
    <vt:lpwstr>692d473f93e4d8001fb95416wl</vt:lpwstr>
  </property>
  <property fmtid="{D5CDD505-2E9C-101B-9397-08002B2CF9AE}" pid="5" name="KSOTemplateDocerSaveRecord">
    <vt:lpwstr>eyJoZGlkIjoiMTJjNGI4ZTQxYzNiNjM4OTQ0ZTE2N2U1NzY4NDM4OTgiLCJ1c2VySWQiOiI1MDYzNzQ5NjMifQ==</vt:lpwstr>
  </property>
  <property fmtid="{D5CDD505-2E9C-101B-9397-08002B2CF9AE}" pid="6" name="KSOProductBuildVer">
    <vt:lpwstr>2052-12.1.0.23542</vt:lpwstr>
  </property>
  <property fmtid="{D5CDD505-2E9C-101B-9397-08002B2CF9AE}" pid="7" name="ICV">
    <vt:lpwstr>49D5F416F96C4B9BA5A42F30646EDB48_12</vt:lpwstr>
  </property>
</Properties>
</file>