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6D7B4">
      <w:pPr>
        <w:spacing w:line="265" w:lineRule="auto"/>
        <w:rPr>
          <w:rFonts w:ascii="Arial"/>
          <w:sz w:val="21"/>
        </w:rPr>
      </w:pPr>
    </w:p>
    <w:p w14:paraId="0E854F98">
      <w:pPr>
        <w:spacing w:line="265" w:lineRule="auto"/>
        <w:rPr>
          <w:rFonts w:ascii="Arial"/>
          <w:sz w:val="21"/>
        </w:rPr>
      </w:pPr>
    </w:p>
    <w:p w14:paraId="29868C2C">
      <w:pPr>
        <w:spacing w:line="443" w:lineRule="auto"/>
        <w:rPr>
          <w:rFonts w:ascii="Arial"/>
          <w:sz w:val="21"/>
        </w:rPr>
      </w:pPr>
    </w:p>
    <w:p w14:paraId="4CDF1673">
      <w:pPr>
        <w:spacing w:before="146" w:line="219" w:lineRule="auto"/>
        <w:ind w:left="204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11"/>
          <w:sz w:val="45"/>
          <w:szCs w:val="45"/>
        </w:rPr>
        <w:t>准格尔旗文化和旅游局关于</w:t>
      </w:r>
    </w:p>
    <w:p w14:paraId="7BFD16F4">
      <w:pPr>
        <w:spacing w:before="26" w:line="219" w:lineRule="auto"/>
        <w:ind w:left="130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4"/>
          <w:sz w:val="45"/>
          <w:szCs w:val="45"/>
        </w:rPr>
        <w:t>2025年行政执法检查计划备案的函</w:t>
      </w:r>
    </w:p>
    <w:p w14:paraId="69EDFE47">
      <w:pPr>
        <w:spacing w:line="308" w:lineRule="auto"/>
        <w:rPr>
          <w:rFonts w:ascii="Arial"/>
          <w:sz w:val="21"/>
        </w:rPr>
      </w:pPr>
    </w:p>
    <w:p w14:paraId="41A72ED8">
      <w:pPr>
        <w:spacing w:line="309" w:lineRule="auto"/>
        <w:rPr>
          <w:rFonts w:ascii="Arial"/>
          <w:sz w:val="21"/>
        </w:rPr>
      </w:pPr>
    </w:p>
    <w:p w14:paraId="78AFFFBA">
      <w:pPr>
        <w:pStyle w:val="2"/>
        <w:spacing w:before="104" w:line="222" w:lineRule="auto"/>
        <w:ind w:left="249"/>
        <w:rPr>
          <w:sz w:val="32"/>
          <w:szCs w:val="32"/>
        </w:rPr>
      </w:pPr>
      <w:r>
        <w:rPr>
          <w:spacing w:val="-8"/>
          <w:sz w:val="32"/>
          <w:szCs w:val="32"/>
        </w:rPr>
        <w:t>准格尔旗司法局：</w:t>
      </w:r>
    </w:p>
    <w:p w14:paraId="52CA6CD2">
      <w:pPr>
        <w:pStyle w:val="2"/>
        <w:spacing w:before="164" w:line="333" w:lineRule="auto"/>
        <w:ind w:left="249" w:firstLine="660"/>
        <w:jc w:val="both"/>
      </w:pPr>
      <w:r>
        <w:rPr>
          <w:spacing w:val="6"/>
        </w:rPr>
        <w:t>根据《鄂尔多斯市人民政府关于印发鄂尔多</w:t>
      </w:r>
      <w:r>
        <w:rPr>
          <w:spacing w:val="5"/>
        </w:rPr>
        <w:t>斯市严格规范涉</w:t>
      </w:r>
      <w:r>
        <w:t xml:space="preserve">  </w:t>
      </w:r>
      <w:r>
        <w:rPr>
          <w:spacing w:val="7"/>
        </w:rPr>
        <w:t>企行政检查为企业减负六条措施(试行)的通知》(鄂府发〔</w:t>
      </w:r>
      <w:r>
        <w:rPr>
          <w:spacing w:val="6"/>
        </w:rPr>
        <w:t>2025〕</w:t>
      </w:r>
      <w:r>
        <w:t xml:space="preserve"> </w:t>
      </w:r>
      <w:r>
        <w:rPr>
          <w:spacing w:val="18"/>
        </w:rPr>
        <w:t>3号)文件精神，为进一步优化营商环境，切实为基层减负，结</w:t>
      </w:r>
      <w:r>
        <w:rPr>
          <w:spacing w:val="2"/>
        </w:rPr>
        <w:t xml:space="preserve">  </w:t>
      </w:r>
      <w:r>
        <w:rPr>
          <w:spacing w:val="18"/>
        </w:rPr>
        <w:t>合准格尔旗文化和旅游局权责清单和执法实际，制定了20</w:t>
      </w:r>
      <w:r>
        <w:rPr>
          <w:spacing w:val="17"/>
        </w:rPr>
        <w:t>25年</w:t>
      </w:r>
      <w:r>
        <w:t xml:space="preserve">  </w:t>
      </w:r>
      <w:r>
        <w:rPr>
          <w:spacing w:val="6"/>
        </w:rPr>
        <w:t>度行政执法检查计划，具体如下。</w:t>
      </w:r>
    </w:p>
    <w:p w14:paraId="1E203004">
      <w:pPr>
        <w:spacing w:before="21" w:line="222" w:lineRule="auto"/>
        <w:ind w:left="92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3"/>
          <w:sz w:val="32"/>
          <w:szCs w:val="32"/>
        </w:rPr>
        <w:t>一、工作内容</w:t>
      </w:r>
    </w:p>
    <w:p w14:paraId="196C80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5" w:line="221" w:lineRule="auto"/>
        <w:ind w:firstLine="805" w:firstLineChars="250"/>
        <w:textAlignment w:val="baseline"/>
        <w:rPr>
          <w:sz w:val="32"/>
          <w:szCs w:val="32"/>
        </w:rPr>
      </w:pPr>
      <w:r>
        <w:rPr>
          <w:spacing w:val="1"/>
          <w:sz w:val="32"/>
          <w:szCs w:val="32"/>
        </w:rPr>
        <w:t>(一)检查主体：准格尔旗文化和旅游局</w:t>
      </w:r>
    </w:p>
    <w:p w14:paraId="6621C16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221" w:lineRule="auto"/>
        <w:ind w:firstLine="795" w:firstLineChars="250"/>
        <w:textAlignment w:val="baseline"/>
        <w:rPr>
          <w:rFonts w:ascii="Arial"/>
          <w:sz w:val="21"/>
        </w:rPr>
      </w:pPr>
      <w:r>
        <w:rPr>
          <w:spacing w:val="-1"/>
          <w:sz w:val="32"/>
          <w:szCs w:val="32"/>
        </w:rPr>
        <w:t>(二)检查对象范围：准格尔旗文化市场经营主体</w:t>
      </w:r>
    </w:p>
    <w:p w14:paraId="21A7024A">
      <w:pPr>
        <w:pStyle w:val="2"/>
        <w:spacing w:before="94" w:line="292" w:lineRule="auto"/>
        <w:ind w:right="41" w:firstLine="810"/>
        <w:rPr>
          <w:sz w:val="29"/>
          <w:szCs w:val="29"/>
        </w:rPr>
      </w:pPr>
      <w:r>
        <w:rPr>
          <w:spacing w:val="31"/>
          <w:sz w:val="29"/>
          <w:szCs w:val="29"/>
        </w:rPr>
        <w:t>(三)检查项目：对文化、文物、旅游等领域开展行政执法</w:t>
      </w:r>
      <w:r>
        <w:rPr>
          <w:spacing w:val="2"/>
          <w:sz w:val="29"/>
          <w:szCs w:val="29"/>
        </w:rPr>
        <w:t xml:space="preserve"> </w:t>
      </w:r>
      <w:r>
        <w:rPr>
          <w:spacing w:val="9"/>
          <w:sz w:val="29"/>
          <w:szCs w:val="29"/>
        </w:rPr>
        <w:t>检查工作。</w:t>
      </w:r>
    </w:p>
    <w:p w14:paraId="5B7747F6">
      <w:pPr>
        <w:pStyle w:val="2"/>
        <w:spacing w:before="224" w:line="220" w:lineRule="auto"/>
        <w:ind w:left="810"/>
        <w:rPr>
          <w:sz w:val="29"/>
          <w:szCs w:val="29"/>
        </w:rPr>
      </w:pPr>
      <w:r>
        <w:rPr>
          <w:spacing w:val="30"/>
          <w:sz w:val="29"/>
          <w:szCs w:val="29"/>
        </w:rPr>
        <w:t>(四)检查方式：</w:t>
      </w:r>
    </w:p>
    <w:p w14:paraId="2607716C">
      <w:pPr>
        <w:pStyle w:val="2"/>
        <w:spacing w:before="244" w:line="220" w:lineRule="auto"/>
        <w:ind w:left="680"/>
        <w:rPr>
          <w:sz w:val="29"/>
          <w:szCs w:val="29"/>
        </w:rPr>
      </w:pPr>
      <w:r>
        <w:rPr>
          <w:rFonts w:ascii="宋体" w:hAnsi="宋体" w:eastAsia="宋体" w:cs="宋体"/>
          <w:spacing w:val="13"/>
          <w:sz w:val="29"/>
          <w:szCs w:val="29"/>
        </w:rPr>
        <w:t>1.</w:t>
      </w:r>
      <w:r>
        <w:rPr>
          <w:rFonts w:ascii="宋体" w:hAnsi="宋体" w:eastAsia="宋体" w:cs="宋体"/>
          <w:spacing w:val="-69"/>
          <w:sz w:val="29"/>
          <w:szCs w:val="29"/>
        </w:rPr>
        <w:t xml:space="preserve"> </w:t>
      </w:r>
      <w:r>
        <w:rPr>
          <w:spacing w:val="13"/>
          <w:sz w:val="29"/>
          <w:szCs w:val="29"/>
        </w:rPr>
        <w:t>日常检查：执法人日常检查作为市场监管的基本方式。</w:t>
      </w:r>
    </w:p>
    <w:p w14:paraId="054E5B51">
      <w:pPr>
        <w:pStyle w:val="2"/>
        <w:spacing w:before="186" w:line="298" w:lineRule="auto"/>
        <w:ind w:right="21" w:firstLine="680"/>
        <w:rPr>
          <w:sz w:val="29"/>
          <w:szCs w:val="29"/>
        </w:rPr>
      </w:pPr>
      <w:r>
        <w:rPr>
          <w:spacing w:val="-7"/>
          <w:sz w:val="29"/>
          <w:szCs w:val="29"/>
        </w:rPr>
        <w:t>2.“双随机、一公开”监管：联合市场监督管理局等部门开展“双</w:t>
      </w:r>
      <w:r>
        <w:rPr>
          <w:spacing w:val="7"/>
          <w:sz w:val="29"/>
          <w:szCs w:val="29"/>
        </w:rPr>
        <w:t xml:space="preserve"> </w:t>
      </w:r>
      <w:r>
        <w:rPr>
          <w:spacing w:val="8"/>
          <w:sz w:val="29"/>
          <w:szCs w:val="29"/>
        </w:rPr>
        <w:t>随机、一公开”监管，不定期对场所进行监督。</w:t>
      </w:r>
    </w:p>
    <w:p w14:paraId="790737AA">
      <w:pPr>
        <w:pStyle w:val="2"/>
        <w:spacing w:before="183" w:line="291" w:lineRule="auto"/>
        <w:ind w:right="37" w:firstLine="680"/>
        <w:rPr>
          <w:sz w:val="29"/>
          <w:szCs w:val="29"/>
        </w:rPr>
      </w:pPr>
      <w:r>
        <w:rPr>
          <w:rFonts w:ascii="宋体" w:hAnsi="宋体" w:eastAsia="宋体" w:cs="宋体"/>
          <w:spacing w:val="24"/>
          <w:sz w:val="29"/>
          <w:szCs w:val="29"/>
        </w:rPr>
        <w:t>3.</w:t>
      </w:r>
      <w:r>
        <w:rPr>
          <w:spacing w:val="24"/>
          <w:sz w:val="29"/>
          <w:szCs w:val="29"/>
        </w:rPr>
        <w:t>专项检查：按照上级部门要求，结合文化市场特点开展专</w:t>
      </w:r>
      <w:r>
        <w:rPr>
          <w:spacing w:val="3"/>
          <w:sz w:val="29"/>
          <w:szCs w:val="29"/>
        </w:rPr>
        <w:t xml:space="preserve"> 项检查。</w:t>
      </w:r>
    </w:p>
    <w:p w14:paraId="67EB18BB">
      <w:pPr>
        <w:pStyle w:val="2"/>
        <w:spacing w:before="216" w:line="337" w:lineRule="auto"/>
        <w:ind w:firstLine="680"/>
        <w:rPr>
          <w:sz w:val="29"/>
          <w:szCs w:val="29"/>
        </w:rPr>
      </w:pPr>
      <w:r>
        <w:rPr>
          <w:rFonts w:ascii="宋体" w:hAnsi="宋体" w:eastAsia="宋体" w:cs="宋体"/>
          <w:spacing w:val="25"/>
          <w:sz w:val="29"/>
          <w:szCs w:val="29"/>
        </w:rPr>
        <w:t>4.</w:t>
      </w:r>
      <w:r>
        <w:rPr>
          <w:spacing w:val="25"/>
          <w:sz w:val="29"/>
          <w:szCs w:val="29"/>
        </w:rPr>
        <w:t>其他：对通过投诉举报、线索转办、上级交办等途径发现</w:t>
      </w:r>
      <w:r>
        <w:rPr>
          <w:spacing w:val="14"/>
          <w:sz w:val="29"/>
          <w:szCs w:val="29"/>
        </w:rPr>
        <w:t xml:space="preserve"> </w:t>
      </w:r>
      <w:r>
        <w:rPr>
          <w:spacing w:val="15"/>
          <w:sz w:val="29"/>
          <w:szCs w:val="29"/>
        </w:rPr>
        <w:t>的违法违规个案线索，要立即依法予以处置查办。建立健全联合抽</w:t>
      </w:r>
      <w:r>
        <w:rPr>
          <w:spacing w:val="6"/>
          <w:sz w:val="29"/>
          <w:szCs w:val="29"/>
        </w:rPr>
        <w:t xml:space="preserve"> </w:t>
      </w:r>
      <w:r>
        <w:rPr>
          <w:spacing w:val="16"/>
          <w:sz w:val="29"/>
          <w:szCs w:val="29"/>
        </w:rPr>
        <w:t>查检查机制，结合时间节点和业务需求，加强和其他执法部门的协</w:t>
      </w:r>
      <w:r>
        <w:rPr>
          <w:sz w:val="29"/>
          <w:szCs w:val="29"/>
        </w:rPr>
        <w:t xml:space="preserve"> </w:t>
      </w:r>
      <w:r>
        <w:rPr>
          <w:spacing w:val="15"/>
          <w:sz w:val="29"/>
          <w:szCs w:val="29"/>
        </w:rPr>
        <w:t>作，实施跨部门联合检查。除有投诉举报、上级交办、线索移送或</w:t>
      </w:r>
      <w:r>
        <w:rPr>
          <w:sz w:val="29"/>
          <w:szCs w:val="29"/>
        </w:rPr>
        <w:t xml:space="preserve"> </w:t>
      </w:r>
      <w:r>
        <w:rPr>
          <w:spacing w:val="24"/>
          <w:sz w:val="29"/>
          <w:szCs w:val="29"/>
        </w:rPr>
        <w:t>重点领域专项行动部署等情形外，2025年，我局要建立文化市场</w:t>
      </w:r>
      <w:r>
        <w:rPr>
          <w:spacing w:val="1"/>
          <w:sz w:val="29"/>
          <w:szCs w:val="29"/>
        </w:rPr>
        <w:t xml:space="preserve"> </w:t>
      </w:r>
      <w:r>
        <w:rPr>
          <w:spacing w:val="15"/>
          <w:sz w:val="29"/>
          <w:szCs w:val="29"/>
        </w:rPr>
        <w:t>分级分类监管制度，按照制度将列为高风险的场所适当加大</w:t>
      </w:r>
      <w:r>
        <w:rPr>
          <w:spacing w:val="14"/>
          <w:sz w:val="29"/>
          <w:szCs w:val="29"/>
        </w:rPr>
        <w:t>检查频</w:t>
      </w:r>
      <w:r>
        <w:rPr>
          <w:sz w:val="29"/>
          <w:szCs w:val="29"/>
        </w:rPr>
        <w:t xml:space="preserve"> </w:t>
      </w:r>
      <w:r>
        <w:rPr>
          <w:spacing w:val="15"/>
          <w:sz w:val="29"/>
          <w:szCs w:val="29"/>
        </w:rPr>
        <w:t>次。重点打击无证经营的违法行为。</w:t>
      </w:r>
    </w:p>
    <w:p w14:paraId="65D93245">
      <w:pPr>
        <w:pStyle w:val="2"/>
        <w:spacing w:before="244" w:line="350" w:lineRule="auto"/>
        <w:ind w:right="36" w:firstLine="770"/>
        <w:rPr>
          <w:sz w:val="29"/>
          <w:szCs w:val="29"/>
        </w:rPr>
      </w:pPr>
      <w:r>
        <w:rPr>
          <w:spacing w:val="11"/>
          <w:sz w:val="29"/>
          <w:szCs w:val="29"/>
        </w:rPr>
        <w:t>(五)检查比例：日常检查按照100%进行检查，“双随机、</w:t>
      </w:r>
      <w:r>
        <w:rPr>
          <w:spacing w:val="98"/>
          <w:sz w:val="29"/>
          <w:szCs w:val="29"/>
        </w:rPr>
        <w:t xml:space="preserve"> </w:t>
      </w:r>
      <w:r>
        <w:rPr>
          <w:spacing w:val="11"/>
          <w:sz w:val="29"/>
          <w:szCs w:val="29"/>
        </w:rPr>
        <w:t>一</w:t>
      </w:r>
      <w:r>
        <w:rPr>
          <w:sz w:val="29"/>
          <w:szCs w:val="29"/>
        </w:rPr>
        <w:t xml:space="preserve"> </w:t>
      </w:r>
      <w:r>
        <w:rPr>
          <w:spacing w:val="13"/>
          <w:sz w:val="29"/>
          <w:szCs w:val="29"/>
        </w:rPr>
        <w:t>公开”按照《准格尔旗2025年度市场监管领域部门联合“双随机、</w:t>
      </w:r>
      <w:r>
        <w:rPr>
          <w:spacing w:val="1"/>
          <w:sz w:val="29"/>
          <w:szCs w:val="29"/>
        </w:rPr>
        <w:t xml:space="preserve"> 一公开”抽查工作计划》执行。</w:t>
      </w:r>
    </w:p>
    <w:p w14:paraId="71B12C05">
      <w:pPr>
        <w:spacing w:before="1" w:line="221" w:lineRule="auto"/>
        <w:ind w:left="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二、工作要求</w:t>
      </w:r>
    </w:p>
    <w:p w14:paraId="0E33A829">
      <w:pPr>
        <w:pStyle w:val="2"/>
        <w:spacing w:before="215" w:line="362" w:lineRule="auto"/>
        <w:ind w:right="34" w:firstLine="810"/>
        <w:jc w:val="both"/>
        <w:rPr>
          <w:sz w:val="29"/>
          <w:szCs w:val="29"/>
        </w:rPr>
      </w:pPr>
      <w:r>
        <w:rPr>
          <w:rFonts w:ascii="楷体" w:hAnsi="楷体" w:eastAsia="楷体" w:cs="楷体"/>
          <w:spacing w:val="24"/>
          <w:sz w:val="29"/>
          <w:szCs w:val="29"/>
        </w:rPr>
        <w:t>(</w:t>
      </w:r>
      <w:r>
        <w:rPr>
          <w:rFonts w:ascii="楷体" w:hAnsi="楷体" w:eastAsia="楷体" w:cs="楷体"/>
          <w:spacing w:val="-70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24"/>
          <w:sz w:val="29"/>
          <w:szCs w:val="29"/>
        </w:rPr>
        <w:t>一</w:t>
      </w:r>
      <w:r>
        <w:rPr>
          <w:rFonts w:ascii="楷体" w:hAnsi="楷体" w:eastAsia="楷体" w:cs="楷体"/>
          <w:spacing w:val="-80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24"/>
          <w:sz w:val="29"/>
          <w:szCs w:val="29"/>
        </w:rPr>
        <w:t>)强化组织领导</w:t>
      </w:r>
      <w:r>
        <w:rPr>
          <w:spacing w:val="24"/>
          <w:sz w:val="29"/>
          <w:szCs w:val="29"/>
        </w:rPr>
        <w:t>。高度重视年度行政执法检</w:t>
      </w:r>
      <w:r>
        <w:rPr>
          <w:spacing w:val="23"/>
          <w:sz w:val="29"/>
          <w:szCs w:val="29"/>
        </w:rPr>
        <w:t>查计划的贯</w:t>
      </w:r>
      <w:r>
        <w:rPr>
          <w:sz w:val="29"/>
          <w:szCs w:val="29"/>
        </w:rPr>
        <w:t xml:space="preserve"> </w:t>
      </w:r>
      <w:r>
        <w:rPr>
          <w:spacing w:val="15"/>
          <w:sz w:val="29"/>
          <w:szCs w:val="29"/>
        </w:rPr>
        <w:t>彻执行工作，切实将本计划作为优化营商环境、减少随</w:t>
      </w:r>
      <w:r>
        <w:rPr>
          <w:spacing w:val="14"/>
          <w:sz w:val="29"/>
          <w:szCs w:val="29"/>
        </w:rPr>
        <w:t>意检查重复</w:t>
      </w:r>
      <w:r>
        <w:rPr>
          <w:sz w:val="29"/>
          <w:szCs w:val="29"/>
        </w:rPr>
        <w:t xml:space="preserve"> </w:t>
      </w:r>
      <w:r>
        <w:rPr>
          <w:spacing w:val="16"/>
          <w:sz w:val="29"/>
          <w:szCs w:val="29"/>
        </w:rPr>
        <w:t>检查的重要举措予以落实。要对照工作计划，根据辖区或领域的实</w:t>
      </w:r>
    </w:p>
    <w:p w14:paraId="19703C98">
      <w:pPr>
        <w:pStyle w:val="2"/>
        <w:spacing w:before="91" w:line="369" w:lineRule="auto"/>
        <w:ind w:right="276"/>
        <w:rPr>
          <w:sz w:val="28"/>
          <w:szCs w:val="28"/>
        </w:rPr>
      </w:pPr>
      <w:r>
        <w:rPr>
          <w:spacing w:val="25"/>
          <w:sz w:val="28"/>
          <w:szCs w:val="28"/>
        </w:rPr>
        <w:t>际情况，强化行政执法检查工作的规范性和</w:t>
      </w:r>
      <w:r>
        <w:rPr>
          <w:spacing w:val="24"/>
          <w:sz w:val="28"/>
          <w:szCs w:val="28"/>
        </w:rPr>
        <w:t>计划性，统筹开展日常</w:t>
      </w:r>
      <w:r>
        <w:rPr>
          <w:sz w:val="28"/>
          <w:szCs w:val="28"/>
        </w:rPr>
        <w:t xml:space="preserve"> </w:t>
      </w:r>
      <w:r>
        <w:rPr>
          <w:spacing w:val="24"/>
          <w:sz w:val="28"/>
          <w:szCs w:val="28"/>
        </w:rPr>
        <w:t>行政执法检查工作。</w:t>
      </w:r>
    </w:p>
    <w:p w14:paraId="01F3D999">
      <w:pPr>
        <w:pStyle w:val="2"/>
        <w:spacing w:before="1" w:line="298" w:lineRule="auto"/>
        <w:ind w:right="183" w:firstLine="829"/>
        <w:rPr>
          <w:sz w:val="28"/>
          <w:szCs w:val="28"/>
        </w:rPr>
      </w:pPr>
      <w:r>
        <w:rPr>
          <w:rFonts w:ascii="楷体" w:hAnsi="楷体" w:eastAsia="楷体" w:cs="楷体"/>
          <w:spacing w:val="24"/>
          <w:sz w:val="28"/>
          <w:szCs w:val="28"/>
        </w:rPr>
        <w:t xml:space="preserve">(二)强化综合监管。 </w:t>
      </w:r>
      <w:r>
        <w:rPr>
          <w:spacing w:val="24"/>
          <w:sz w:val="28"/>
          <w:szCs w:val="28"/>
        </w:rPr>
        <w:t>协同联动公安、市场监管、交通运输、</w:t>
      </w:r>
      <w:r>
        <w:rPr>
          <w:spacing w:val="7"/>
          <w:sz w:val="28"/>
          <w:szCs w:val="28"/>
        </w:rPr>
        <w:t xml:space="preserve"> </w:t>
      </w:r>
      <w:r>
        <w:rPr>
          <w:spacing w:val="27"/>
          <w:sz w:val="28"/>
          <w:szCs w:val="28"/>
        </w:rPr>
        <w:t>交警等部门开展联合检查，实现线索共享、案源共享、</w:t>
      </w:r>
      <w:r>
        <w:rPr>
          <w:spacing w:val="26"/>
          <w:sz w:val="28"/>
          <w:szCs w:val="28"/>
        </w:rPr>
        <w:t>结果共享。</w:t>
      </w:r>
    </w:p>
    <w:p w14:paraId="74E928CA">
      <w:pPr>
        <w:pStyle w:val="2"/>
        <w:spacing w:before="235" w:line="337" w:lineRule="auto"/>
        <w:ind w:firstLine="829"/>
        <w:rPr>
          <w:sz w:val="28"/>
          <w:szCs w:val="28"/>
        </w:rPr>
      </w:pPr>
      <w:r>
        <w:rPr>
          <w:rFonts w:ascii="楷体" w:hAnsi="楷体" w:eastAsia="楷体" w:cs="楷体"/>
          <w:spacing w:val="-22"/>
          <w:sz w:val="28"/>
          <w:szCs w:val="28"/>
        </w:rPr>
        <w:t>(</w:t>
      </w:r>
      <w:r>
        <w:rPr>
          <w:rFonts w:ascii="楷体" w:hAnsi="楷体" w:eastAsia="楷体" w:cs="楷体"/>
          <w:spacing w:val="-53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2"/>
          <w:sz w:val="28"/>
          <w:szCs w:val="28"/>
        </w:rPr>
        <w:t>三</w:t>
      </w:r>
      <w:r>
        <w:rPr>
          <w:rFonts w:ascii="楷体" w:hAnsi="楷体" w:eastAsia="楷体" w:cs="楷体"/>
          <w:spacing w:val="-6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2"/>
          <w:sz w:val="28"/>
          <w:szCs w:val="28"/>
        </w:rPr>
        <w:t>)</w:t>
      </w:r>
      <w:r>
        <w:rPr>
          <w:rFonts w:ascii="楷体" w:hAnsi="楷体" w:eastAsia="楷体" w:cs="楷体"/>
          <w:spacing w:val="-50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2"/>
          <w:sz w:val="28"/>
          <w:szCs w:val="28"/>
        </w:rPr>
        <w:t>强</w:t>
      </w:r>
      <w:r>
        <w:rPr>
          <w:rFonts w:ascii="楷体" w:hAnsi="楷体" w:eastAsia="楷体" w:cs="楷体"/>
          <w:spacing w:val="-66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2"/>
          <w:sz w:val="28"/>
          <w:szCs w:val="28"/>
        </w:rPr>
        <w:t>化</w:t>
      </w:r>
      <w:r>
        <w:rPr>
          <w:rFonts w:ascii="楷体" w:hAnsi="楷体" w:eastAsia="楷体" w:cs="楷体"/>
          <w:spacing w:val="-6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2"/>
          <w:sz w:val="28"/>
          <w:szCs w:val="28"/>
        </w:rPr>
        <w:t>数</w:t>
      </w:r>
      <w:r>
        <w:rPr>
          <w:rFonts w:ascii="楷体" w:hAnsi="楷体" w:eastAsia="楷体" w:cs="楷体"/>
          <w:spacing w:val="-53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2"/>
          <w:sz w:val="28"/>
          <w:szCs w:val="28"/>
        </w:rPr>
        <w:t>字</w:t>
      </w:r>
      <w:r>
        <w:rPr>
          <w:rFonts w:ascii="楷体" w:hAnsi="楷体" w:eastAsia="楷体" w:cs="楷体"/>
          <w:spacing w:val="-62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2"/>
          <w:sz w:val="28"/>
          <w:szCs w:val="28"/>
        </w:rPr>
        <w:t>赋</w:t>
      </w:r>
      <w:r>
        <w:rPr>
          <w:rFonts w:ascii="楷体" w:hAnsi="楷体" w:eastAsia="楷体" w:cs="楷体"/>
          <w:spacing w:val="-40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2"/>
          <w:sz w:val="28"/>
          <w:szCs w:val="28"/>
        </w:rPr>
        <w:t>能</w:t>
      </w:r>
      <w:r>
        <w:rPr>
          <w:rFonts w:ascii="楷体" w:hAnsi="楷体" w:eastAsia="楷体" w:cs="楷体"/>
          <w:spacing w:val="-72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2"/>
          <w:sz w:val="28"/>
          <w:szCs w:val="28"/>
        </w:rPr>
        <w:t>。</w:t>
      </w:r>
      <w:r>
        <w:rPr>
          <w:spacing w:val="33"/>
          <w:sz w:val="28"/>
          <w:szCs w:val="28"/>
        </w:rPr>
        <w:t>计划2025年建设提升“互联网+监管”</w:t>
      </w:r>
      <w:r>
        <w:rPr>
          <w:sz w:val="28"/>
          <w:szCs w:val="28"/>
        </w:rPr>
        <w:t xml:space="preserve"> </w:t>
      </w:r>
      <w:r>
        <w:rPr>
          <w:spacing w:val="25"/>
          <w:sz w:val="28"/>
          <w:szCs w:val="28"/>
        </w:rPr>
        <w:t>平台，推进在线监管、远程监管、移动监管、</w:t>
      </w:r>
      <w:r>
        <w:rPr>
          <w:spacing w:val="24"/>
          <w:sz w:val="28"/>
          <w:szCs w:val="28"/>
        </w:rPr>
        <w:t>预控预警等为特征的</w:t>
      </w:r>
      <w:r>
        <w:rPr>
          <w:sz w:val="28"/>
          <w:szCs w:val="28"/>
        </w:rPr>
        <w:t xml:space="preserve">   </w:t>
      </w:r>
      <w:r>
        <w:rPr>
          <w:spacing w:val="24"/>
          <w:sz w:val="28"/>
          <w:szCs w:val="28"/>
        </w:rPr>
        <w:t>非现场监管，提升问题发现能力，提高行政执法</w:t>
      </w:r>
      <w:r>
        <w:rPr>
          <w:spacing w:val="23"/>
          <w:sz w:val="28"/>
          <w:szCs w:val="28"/>
        </w:rPr>
        <w:t>检查工作的靶向性</w:t>
      </w:r>
      <w:r>
        <w:rPr>
          <w:sz w:val="28"/>
          <w:szCs w:val="28"/>
        </w:rPr>
        <w:t xml:space="preserve">   </w:t>
      </w:r>
      <w:r>
        <w:rPr>
          <w:spacing w:val="15"/>
          <w:sz w:val="28"/>
          <w:szCs w:val="28"/>
        </w:rPr>
        <w:t>和针对性。</w:t>
      </w:r>
    </w:p>
    <w:p w14:paraId="7793B428">
      <w:pPr>
        <w:spacing w:line="247" w:lineRule="auto"/>
        <w:rPr>
          <w:rFonts w:ascii="Arial"/>
          <w:sz w:val="21"/>
        </w:rPr>
      </w:pPr>
    </w:p>
    <w:p w14:paraId="505E6530">
      <w:pPr>
        <w:spacing w:line="247" w:lineRule="auto"/>
        <w:rPr>
          <w:rFonts w:ascii="Arial"/>
          <w:sz w:val="21"/>
        </w:rPr>
      </w:pPr>
    </w:p>
    <w:p w14:paraId="25700D54">
      <w:pPr>
        <w:spacing w:line="247" w:lineRule="auto"/>
        <w:rPr>
          <w:rFonts w:ascii="Arial"/>
          <w:sz w:val="21"/>
        </w:rPr>
      </w:pPr>
    </w:p>
    <w:p w14:paraId="71C425A0">
      <w:pPr>
        <w:spacing w:line="248" w:lineRule="auto"/>
        <w:rPr>
          <w:rFonts w:ascii="Arial"/>
          <w:sz w:val="21"/>
        </w:rPr>
      </w:pPr>
    </w:p>
    <w:p w14:paraId="26FF71D2">
      <w:pPr>
        <w:spacing w:line="248" w:lineRule="auto"/>
        <w:rPr>
          <w:rFonts w:ascii="Arial"/>
          <w:sz w:val="21"/>
        </w:rPr>
      </w:pPr>
    </w:p>
    <w:p w14:paraId="725FA397">
      <w:pPr>
        <w:pStyle w:val="2"/>
        <w:spacing w:before="91" w:line="220" w:lineRule="auto"/>
        <w:ind w:left="680"/>
        <w:rPr>
          <w:sz w:val="28"/>
          <w:szCs w:val="28"/>
        </w:rPr>
      </w:pPr>
      <w:r>
        <w:rPr>
          <w:spacing w:val="29"/>
          <w:sz w:val="28"/>
          <w:szCs w:val="28"/>
        </w:rPr>
        <w:t>附件：涉企行政检查计划表</w:t>
      </w:r>
    </w:p>
    <w:p w14:paraId="4CDF11B5">
      <w:pPr>
        <w:spacing w:line="292" w:lineRule="auto"/>
        <w:rPr>
          <w:rFonts w:ascii="Arial"/>
          <w:sz w:val="21"/>
        </w:rPr>
      </w:pPr>
    </w:p>
    <w:p w14:paraId="51857E88">
      <w:pPr>
        <w:spacing w:line="293" w:lineRule="auto"/>
        <w:rPr>
          <w:rFonts w:ascii="Arial"/>
          <w:sz w:val="21"/>
        </w:rPr>
      </w:pPr>
    </w:p>
    <w:p w14:paraId="7506F9BE">
      <w:pPr>
        <w:spacing w:line="293" w:lineRule="auto"/>
        <w:rPr>
          <w:rFonts w:ascii="Arial"/>
          <w:sz w:val="21"/>
        </w:rPr>
      </w:pPr>
    </w:p>
    <w:p w14:paraId="55E52C85">
      <w:pPr>
        <w:spacing w:line="293" w:lineRule="auto"/>
        <w:rPr>
          <w:rFonts w:ascii="Arial"/>
          <w:sz w:val="21"/>
        </w:rPr>
      </w:pPr>
    </w:p>
    <w:p w14:paraId="122274D4">
      <w:pPr>
        <w:pStyle w:val="2"/>
        <w:spacing w:before="91" w:line="222" w:lineRule="auto"/>
        <w:ind w:left="4739"/>
        <w:rPr>
          <w:sz w:val="28"/>
          <w:szCs w:val="28"/>
        </w:rPr>
      </w:pPr>
      <w:r>
        <w:rPr>
          <w:spacing w:val="23"/>
          <w:sz w:val="28"/>
          <w:szCs w:val="28"/>
        </w:rPr>
        <w:t>准格尔旗文化和旅游局</w:t>
      </w:r>
    </w:p>
    <w:p w14:paraId="02B4BC81">
      <w:pPr>
        <w:pStyle w:val="2"/>
        <w:spacing w:before="223" w:line="222" w:lineRule="auto"/>
        <w:ind w:left="5049"/>
        <w:rPr>
          <w:sz w:val="28"/>
          <w:szCs w:val="28"/>
        </w:rPr>
      </w:pPr>
      <w:r>
        <w:rPr>
          <w:spacing w:val="41"/>
          <w:w w:val="106"/>
          <w:sz w:val="28"/>
          <w:szCs w:val="28"/>
        </w:rPr>
        <w:t>2025年7月9日</w:t>
      </w:r>
    </w:p>
    <w:p w14:paraId="011D6E51">
      <w:pPr>
        <w:spacing w:line="246" w:lineRule="auto"/>
        <w:rPr>
          <w:rFonts w:ascii="Arial"/>
          <w:sz w:val="21"/>
        </w:rPr>
      </w:pPr>
    </w:p>
    <w:p w14:paraId="7864FCDF">
      <w:pPr>
        <w:spacing w:line="246" w:lineRule="auto"/>
        <w:rPr>
          <w:rFonts w:ascii="Arial"/>
          <w:sz w:val="21"/>
        </w:rPr>
      </w:pPr>
    </w:p>
    <w:p w14:paraId="2759E4C3">
      <w:pPr>
        <w:spacing w:line="246" w:lineRule="auto"/>
        <w:rPr>
          <w:rFonts w:ascii="Arial"/>
          <w:sz w:val="21"/>
        </w:rPr>
      </w:pPr>
    </w:p>
    <w:p w14:paraId="4FAD7519">
      <w:pPr>
        <w:spacing w:line="247" w:lineRule="auto"/>
        <w:rPr>
          <w:rFonts w:ascii="Arial"/>
          <w:sz w:val="21"/>
        </w:rPr>
      </w:pPr>
    </w:p>
    <w:p w14:paraId="669F6A1B">
      <w:pPr>
        <w:spacing w:line="247" w:lineRule="auto"/>
        <w:rPr>
          <w:rFonts w:ascii="Arial"/>
          <w:sz w:val="21"/>
        </w:rPr>
      </w:pPr>
    </w:p>
    <w:p w14:paraId="78391520">
      <w:pPr>
        <w:spacing w:line="247" w:lineRule="auto"/>
        <w:rPr>
          <w:rFonts w:ascii="Arial"/>
          <w:sz w:val="21"/>
        </w:rPr>
      </w:pPr>
    </w:p>
    <w:p w14:paraId="02DA0FE3">
      <w:pPr>
        <w:spacing w:line="247" w:lineRule="auto"/>
        <w:rPr>
          <w:rFonts w:ascii="Arial"/>
          <w:sz w:val="21"/>
        </w:rPr>
      </w:pPr>
    </w:p>
    <w:p w14:paraId="787E87A3">
      <w:pPr>
        <w:spacing w:line="247" w:lineRule="auto"/>
        <w:rPr>
          <w:rFonts w:ascii="Arial"/>
          <w:sz w:val="21"/>
        </w:rPr>
      </w:pPr>
    </w:p>
    <w:p w14:paraId="75D3E2C5">
      <w:pPr>
        <w:spacing w:line="229" w:lineRule="auto"/>
        <w:rPr>
          <w:sz w:val="29"/>
          <w:szCs w:val="29"/>
        </w:rPr>
        <w:sectPr>
          <w:pgSz w:w="12100" w:h="17140"/>
          <w:pgMar w:top="1456" w:right="1376" w:bottom="0" w:left="1610" w:header="0" w:footer="0" w:gutter="0"/>
          <w:cols w:space="720" w:num="1"/>
        </w:sectPr>
      </w:pPr>
    </w:p>
    <w:p w14:paraId="61AD76E1">
      <w:pPr>
        <w:spacing w:line="264" w:lineRule="auto"/>
        <w:rPr>
          <w:rFonts w:ascii="Arial"/>
          <w:sz w:val="21"/>
        </w:rPr>
      </w:pPr>
    </w:p>
    <w:p w14:paraId="78F0E3A5">
      <w:pPr>
        <w:spacing w:line="264" w:lineRule="auto"/>
        <w:rPr>
          <w:rFonts w:ascii="Arial"/>
          <w:sz w:val="21"/>
        </w:rPr>
      </w:pPr>
    </w:p>
    <w:p w14:paraId="1804EECB">
      <w:pPr>
        <w:spacing w:line="265" w:lineRule="auto"/>
        <w:rPr>
          <w:rFonts w:ascii="Arial"/>
          <w:sz w:val="21"/>
        </w:rPr>
      </w:pPr>
    </w:p>
    <w:p w14:paraId="5FD05A1C">
      <w:pPr>
        <w:spacing w:before="108" w:line="221" w:lineRule="auto"/>
        <w:ind w:left="529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6"/>
          <w:sz w:val="33"/>
          <w:szCs w:val="33"/>
        </w:rPr>
        <w:t>涉企行政检查计划表(准格尔旗文旅局)</w:t>
      </w:r>
    </w:p>
    <w:p w14:paraId="1FE3369E">
      <w:pPr>
        <w:spacing w:line="124" w:lineRule="exact"/>
      </w:pPr>
    </w:p>
    <w:tbl>
      <w:tblPr>
        <w:tblStyle w:val="5"/>
        <w:tblW w:w="161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"/>
        <w:gridCol w:w="2109"/>
        <w:gridCol w:w="5726"/>
        <w:gridCol w:w="910"/>
        <w:gridCol w:w="1269"/>
        <w:gridCol w:w="989"/>
        <w:gridCol w:w="1189"/>
        <w:gridCol w:w="1829"/>
        <w:gridCol w:w="1774"/>
      </w:tblGrid>
      <w:tr w14:paraId="55145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385" w:type="dxa"/>
            <w:textDirection w:val="tbRlV"/>
            <w:vAlign w:val="top"/>
          </w:tcPr>
          <w:p w14:paraId="0467F316">
            <w:pPr>
              <w:pStyle w:val="6"/>
              <w:spacing w:before="102" w:line="199" w:lineRule="auto"/>
              <w:ind w:left="201"/>
            </w:pPr>
            <w:r>
              <w:rPr>
                <w:b/>
                <w:bCs/>
                <w:spacing w:val="-3"/>
              </w:rPr>
              <w:t>序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-3"/>
              </w:rPr>
              <w:t>号</w:t>
            </w:r>
          </w:p>
        </w:tc>
        <w:tc>
          <w:tcPr>
            <w:tcW w:w="2109" w:type="dxa"/>
            <w:vAlign w:val="top"/>
          </w:tcPr>
          <w:p w14:paraId="217F1198">
            <w:pPr>
              <w:spacing w:line="350" w:lineRule="auto"/>
              <w:rPr>
                <w:rFonts w:ascii="Arial"/>
                <w:sz w:val="21"/>
              </w:rPr>
            </w:pPr>
          </w:p>
          <w:p w14:paraId="070F197C">
            <w:pPr>
              <w:pStyle w:val="6"/>
              <w:spacing w:before="68" w:line="219" w:lineRule="auto"/>
              <w:ind w:left="623"/>
            </w:pPr>
            <w:r>
              <w:rPr>
                <w:b/>
                <w:bCs/>
                <w:spacing w:val="-4"/>
              </w:rPr>
              <w:t>检查事项</w:t>
            </w:r>
          </w:p>
        </w:tc>
        <w:tc>
          <w:tcPr>
            <w:tcW w:w="5726" w:type="dxa"/>
            <w:vAlign w:val="top"/>
          </w:tcPr>
          <w:p w14:paraId="751A9706">
            <w:pPr>
              <w:spacing w:line="348" w:lineRule="auto"/>
              <w:rPr>
                <w:rFonts w:ascii="Arial"/>
                <w:sz w:val="21"/>
              </w:rPr>
            </w:pPr>
          </w:p>
          <w:p w14:paraId="72F32BE0">
            <w:pPr>
              <w:pStyle w:val="6"/>
              <w:spacing w:before="69" w:line="219" w:lineRule="auto"/>
              <w:ind w:left="2014"/>
            </w:pPr>
            <w:r>
              <w:rPr>
                <w:b/>
                <w:bCs/>
                <w:spacing w:val="-4"/>
              </w:rPr>
              <w:t>检查依据</w:t>
            </w:r>
          </w:p>
        </w:tc>
        <w:tc>
          <w:tcPr>
            <w:tcW w:w="910" w:type="dxa"/>
            <w:vAlign w:val="top"/>
          </w:tcPr>
          <w:p w14:paraId="3B0BBCAF">
            <w:pPr>
              <w:spacing w:line="378" w:lineRule="auto"/>
              <w:rPr>
                <w:rFonts w:ascii="Arial"/>
                <w:sz w:val="21"/>
              </w:rPr>
            </w:pPr>
          </w:p>
          <w:p w14:paraId="1B4F46C6">
            <w:pPr>
              <w:pStyle w:val="6"/>
              <w:spacing w:before="68" w:line="257" w:lineRule="auto"/>
              <w:ind w:left="457" w:right="17" w:hanging="119"/>
            </w:pPr>
            <w:r>
              <w:rPr>
                <w:b/>
                <w:bCs/>
                <w:spacing w:val="-12"/>
              </w:rPr>
              <w:t>检</w:t>
            </w:r>
            <w:r>
              <w:rPr>
                <w:spacing w:val="38"/>
              </w:rPr>
              <w:t xml:space="preserve"> </w:t>
            </w:r>
            <w:r>
              <w:rPr>
                <w:b/>
                <w:bCs/>
                <w:spacing w:val="-12"/>
              </w:rPr>
              <w:t>查</w:t>
            </w:r>
            <w:r>
              <w:t xml:space="preserve"> </w:t>
            </w:r>
            <w:r>
              <w:rPr>
                <w:b/>
                <w:bCs/>
                <w:spacing w:val="-5"/>
              </w:rPr>
              <w:t>主体</w:t>
            </w:r>
          </w:p>
        </w:tc>
        <w:tc>
          <w:tcPr>
            <w:tcW w:w="1269" w:type="dxa"/>
            <w:vAlign w:val="top"/>
          </w:tcPr>
          <w:p w14:paraId="5E025E63">
            <w:pPr>
              <w:pStyle w:val="6"/>
              <w:spacing w:before="260" w:line="293" w:lineRule="auto"/>
              <w:ind w:left="427" w:right="219" w:hanging="219"/>
            </w:pPr>
            <w:r>
              <w:rPr>
                <w:b/>
                <w:bCs/>
                <w:spacing w:val="-5"/>
              </w:rPr>
              <w:t>检查对象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4"/>
              </w:rPr>
              <w:t>范围</w:t>
            </w:r>
          </w:p>
        </w:tc>
        <w:tc>
          <w:tcPr>
            <w:tcW w:w="989" w:type="dxa"/>
            <w:vAlign w:val="top"/>
          </w:tcPr>
          <w:p w14:paraId="2D07566F">
            <w:pPr>
              <w:pStyle w:val="6"/>
              <w:spacing w:before="260" w:line="219" w:lineRule="auto"/>
              <w:ind w:right="16"/>
              <w:jc w:val="right"/>
            </w:pPr>
            <w:r>
              <w:rPr>
                <w:b/>
                <w:bCs/>
                <w:spacing w:val="-4"/>
              </w:rPr>
              <w:t>检查比例</w:t>
            </w:r>
          </w:p>
          <w:p w14:paraId="59DA91A7">
            <w:pPr>
              <w:pStyle w:val="6"/>
              <w:spacing w:before="84" w:line="222" w:lineRule="auto"/>
              <w:ind w:left="349"/>
            </w:pPr>
            <w:r>
              <w:rPr>
                <w:b/>
                <w:bCs/>
                <w:spacing w:val="-13"/>
              </w:rPr>
              <w:t>(%)</w:t>
            </w:r>
          </w:p>
        </w:tc>
        <w:tc>
          <w:tcPr>
            <w:tcW w:w="1189" w:type="dxa"/>
            <w:vAlign w:val="top"/>
          </w:tcPr>
          <w:p w14:paraId="6C0A7206">
            <w:pPr>
              <w:spacing w:line="390" w:lineRule="auto"/>
              <w:rPr>
                <w:rFonts w:ascii="Arial"/>
                <w:sz w:val="21"/>
              </w:rPr>
            </w:pPr>
          </w:p>
          <w:p w14:paraId="6FB496FD">
            <w:pPr>
              <w:pStyle w:val="6"/>
              <w:spacing w:before="68" w:line="219" w:lineRule="auto"/>
              <w:ind w:right="15"/>
              <w:jc w:val="right"/>
            </w:pPr>
            <w:r>
              <w:rPr>
                <w:b/>
                <w:bCs/>
                <w:spacing w:val="-4"/>
              </w:rPr>
              <w:t>检查频次</w:t>
            </w:r>
          </w:p>
          <w:p w14:paraId="66AAC84E">
            <w:pPr>
              <w:pStyle w:val="6"/>
              <w:spacing w:before="70" w:line="219" w:lineRule="auto"/>
              <w:ind w:left="320"/>
            </w:pPr>
            <w:r>
              <w:rPr>
                <w:b/>
                <w:bCs/>
                <w:spacing w:val="4"/>
              </w:rPr>
              <w:t>(次/年)</w:t>
            </w:r>
          </w:p>
        </w:tc>
        <w:tc>
          <w:tcPr>
            <w:tcW w:w="1829" w:type="dxa"/>
            <w:vAlign w:val="top"/>
          </w:tcPr>
          <w:p w14:paraId="345BB6DB">
            <w:pPr>
              <w:spacing w:line="309" w:lineRule="auto"/>
              <w:rPr>
                <w:rFonts w:ascii="Arial"/>
                <w:sz w:val="21"/>
              </w:rPr>
            </w:pPr>
          </w:p>
          <w:p w14:paraId="252A86DA">
            <w:pPr>
              <w:pStyle w:val="6"/>
              <w:spacing w:before="68" w:line="276" w:lineRule="auto"/>
              <w:ind w:left="221" w:right="18" w:hanging="100"/>
            </w:pPr>
            <w:r>
              <w:rPr>
                <w:b/>
                <w:bCs/>
                <w:spacing w:val="10"/>
              </w:rPr>
              <w:t>检查方式(现场、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6"/>
              </w:rPr>
              <w:t>非现场)</w:t>
            </w:r>
          </w:p>
        </w:tc>
        <w:tc>
          <w:tcPr>
            <w:tcW w:w="1774" w:type="dxa"/>
            <w:vAlign w:val="top"/>
          </w:tcPr>
          <w:p w14:paraId="2D482DFA">
            <w:pPr>
              <w:pStyle w:val="6"/>
              <w:spacing w:before="50" w:line="219" w:lineRule="auto"/>
              <w:ind w:left="122"/>
            </w:pPr>
            <w:r>
              <w:rPr>
                <w:b/>
                <w:bCs/>
                <w:spacing w:val="-4"/>
              </w:rPr>
              <w:t>可以开展跨部</w:t>
            </w:r>
          </w:p>
          <w:p w14:paraId="1B55D693">
            <w:pPr>
              <w:pStyle w:val="6"/>
              <w:spacing w:before="80" w:line="219" w:lineRule="auto"/>
              <w:ind w:left="122"/>
            </w:pPr>
            <w:r>
              <w:rPr>
                <w:b/>
                <w:bCs/>
                <w:spacing w:val="-2"/>
              </w:rPr>
              <w:t>门或市、旗联</w:t>
            </w:r>
          </w:p>
          <w:p w14:paraId="18B2878F">
            <w:pPr>
              <w:pStyle w:val="6"/>
              <w:spacing w:before="70" w:line="219" w:lineRule="auto"/>
              <w:ind w:left="122"/>
            </w:pPr>
            <w:r>
              <w:rPr>
                <w:b/>
                <w:bCs/>
                <w:spacing w:val="2"/>
              </w:rPr>
              <w:t>合检查(是、否)</w:t>
            </w:r>
          </w:p>
        </w:tc>
      </w:tr>
      <w:tr w14:paraId="37C40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385" w:type="dxa"/>
            <w:vAlign w:val="center"/>
          </w:tcPr>
          <w:p w14:paraId="25A6F755">
            <w:pPr>
              <w:spacing w:line="285" w:lineRule="auto"/>
              <w:jc w:val="center"/>
              <w:rPr>
                <w:rFonts w:ascii="Arial"/>
                <w:sz w:val="21"/>
              </w:rPr>
            </w:pPr>
          </w:p>
          <w:p w14:paraId="1E024F6D">
            <w:pPr>
              <w:spacing w:line="286" w:lineRule="auto"/>
              <w:jc w:val="center"/>
              <w:rPr>
                <w:rFonts w:ascii="Arial"/>
                <w:sz w:val="21"/>
              </w:rPr>
            </w:pPr>
          </w:p>
          <w:p w14:paraId="04D68938">
            <w:pPr>
              <w:spacing w:line="286" w:lineRule="auto"/>
              <w:jc w:val="center"/>
              <w:rPr>
                <w:rFonts w:ascii="Arial"/>
                <w:sz w:val="21"/>
              </w:rPr>
            </w:pPr>
          </w:p>
          <w:p w14:paraId="0F41EBA5">
            <w:pPr>
              <w:pStyle w:val="6"/>
              <w:spacing w:before="68" w:line="241" w:lineRule="auto"/>
              <w:ind w:left="125"/>
              <w:jc w:val="center"/>
            </w:pPr>
            <w:r>
              <w:t>1</w:t>
            </w:r>
          </w:p>
        </w:tc>
        <w:tc>
          <w:tcPr>
            <w:tcW w:w="2109" w:type="dxa"/>
            <w:vAlign w:val="center"/>
          </w:tcPr>
          <w:p w14:paraId="3BDF4EC4">
            <w:pPr>
              <w:pStyle w:val="6"/>
              <w:spacing w:before="110" w:line="261" w:lineRule="auto"/>
              <w:ind w:left="100" w:right="116"/>
              <w:jc w:val="center"/>
            </w:pPr>
            <w:r>
              <w:rPr>
                <w:spacing w:val="-1"/>
              </w:rPr>
              <w:t>对本行政区域内互联</w:t>
            </w:r>
            <w:r>
              <w:t xml:space="preserve"> </w:t>
            </w:r>
            <w:r>
              <w:rPr>
                <w:spacing w:val="14"/>
              </w:rPr>
              <w:t>网上网服务营业场</w:t>
            </w:r>
            <w:r>
              <w:t xml:space="preserve">  </w:t>
            </w:r>
            <w:r>
              <w:rPr>
                <w:spacing w:val="-1"/>
              </w:rPr>
              <w:t>所经营活动的监督管</w:t>
            </w:r>
            <w:r>
              <w:t xml:space="preserve"> </w:t>
            </w:r>
            <w:r>
              <w:rPr>
                <w:spacing w:val="19"/>
              </w:rPr>
              <w:t>理</w:t>
            </w:r>
          </w:p>
        </w:tc>
        <w:tc>
          <w:tcPr>
            <w:tcW w:w="5726" w:type="dxa"/>
            <w:vAlign w:val="center"/>
          </w:tcPr>
          <w:p w14:paraId="7FA95B51">
            <w:pPr>
              <w:pStyle w:val="6"/>
              <w:spacing w:before="109" w:line="272" w:lineRule="auto"/>
              <w:ind w:left="130" w:right="157" w:hanging="14"/>
              <w:jc w:val="center"/>
            </w:pPr>
            <w:r>
              <w:rPr>
                <w:spacing w:val="-1"/>
              </w:rPr>
              <w:t>《互联网上网服务营业场所管理条例》第四条县级以上地方</w:t>
            </w:r>
            <w:r>
              <w:rPr>
                <w:spacing w:val="7"/>
              </w:rPr>
              <w:t xml:space="preserve"> </w:t>
            </w:r>
            <w:r>
              <w:t>人民政府文化行政部门负责互联网上网服务营业场所经营</w:t>
            </w:r>
          </w:p>
          <w:p w14:paraId="0F3F4D30">
            <w:pPr>
              <w:pStyle w:val="6"/>
              <w:spacing w:line="250" w:lineRule="auto"/>
              <w:ind w:left="130" w:right="124" w:firstLine="10"/>
              <w:jc w:val="center"/>
            </w:pPr>
            <w:r>
              <w:rPr>
                <w:spacing w:val="-1"/>
              </w:rPr>
              <w:t>单位的设立审批，并负责对依法设立的互联网上网服务营业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场所经营单位经营活动的监督管理</w:t>
            </w:r>
          </w:p>
        </w:tc>
        <w:tc>
          <w:tcPr>
            <w:tcW w:w="910" w:type="dxa"/>
            <w:vAlign w:val="center"/>
          </w:tcPr>
          <w:p w14:paraId="3A0D2828">
            <w:pPr>
              <w:spacing w:line="370" w:lineRule="auto"/>
              <w:jc w:val="center"/>
              <w:rPr>
                <w:rFonts w:ascii="Arial"/>
                <w:sz w:val="21"/>
              </w:rPr>
            </w:pPr>
          </w:p>
          <w:p w14:paraId="58C3520E">
            <w:pPr>
              <w:pStyle w:val="6"/>
              <w:spacing w:before="68" w:line="249" w:lineRule="auto"/>
              <w:ind w:left="455" w:right="6"/>
              <w:jc w:val="center"/>
            </w:pPr>
            <w:r>
              <w:rPr>
                <w:spacing w:val="-4"/>
              </w:rPr>
              <w:t>旗文</w:t>
            </w:r>
            <w:r>
              <w:t xml:space="preserve"> </w:t>
            </w:r>
            <w:r>
              <w:rPr>
                <w:spacing w:val="9"/>
              </w:rPr>
              <w:t>旅局</w:t>
            </w:r>
          </w:p>
        </w:tc>
        <w:tc>
          <w:tcPr>
            <w:tcW w:w="1269" w:type="dxa"/>
            <w:vAlign w:val="center"/>
          </w:tcPr>
          <w:p w14:paraId="21DD85DE">
            <w:pPr>
              <w:pStyle w:val="6"/>
              <w:spacing w:before="202" w:line="321" w:lineRule="auto"/>
              <w:ind w:left="275" w:right="74" w:firstLine="59"/>
              <w:jc w:val="center"/>
            </w:pPr>
            <w:r>
              <w:rPr>
                <w:spacing w:val="2"/>
              </w:rPr>
              <w:t>互联网上</w:t>
            </w:r>
            <w:r>
              <w:t xml:space="preserve"> </w:t>
            </w:r>
            <w:r>
              <w:rPr>
                <w:spacing w:val="3"/>
              </w:rPr>
              <w:t>网服务营</w:t>
            </w:r>
            <w:r>
              <w:t xml:space="preserve"> </w:t>
            </w:r>
            <w:r>
              <w:rPr>
                <w:spacing w:val="-2"/>
              </w:rPr>
              <w:t>业场所</w:t>
            </w:r>
          </w:p>
        </w:tc>
        <w:tc>
          <w:tcPr>
            <w:tcW w:w="989" w:type="dxa"/>
            <w:vAlign w:val="center"/>
          </w:tcPr>
          <w:p w14:paraId="5A34306E">
            <w:pPr>
              <w:spacing w:line="249" w:lineRule="auto"/>
              <w:jc w:val="center"/>
              <w:rPr>
                <w:rFonts w:ascii="Arial"/>
                <w:sz w:val="21"/>
              </w:rPr>
            </w:pPr>
          </w:p>
          <w:p w14:paraId="73D312A2">
            <w:pPr>
              <w:spacing w:line="249" w:lineRule="auto"/>
              <w:jc w:val="center"/>
              <w:rPr>
                <w:rFonts w:ascii="Arial"/>
                <w:sz w:val="21"/>
              </w:rPr>
            </w:pPr>
          </w:p>
          <w:p w14:paraId="620023B9">
            <w:pPr>
              <w:pStyle w:val="6"/>
              <w:spacing w:before="68"/>
              <w:ind w:left="446"/>
              <w:jc w:val="center"/>
            </w:pPr>
            <w:r>
              <w:rPr>
                <w:spacing w:val="-6"/>
              </w:rPr>
              <w:t>100</w:t>
            </w:r>
          </w:p>
        </w:tc>
        <w:tc>
          <w:tcPr>
            <w:tcW w:w="1189" w:type="dxa"/>
            <w:vAlign w:val="center"/>
          </w:tcPr>
          <w:p w14:paraId="5D2311DE">
            <w:pPr>
              <w:spacing w:line="478" w:lineRule="auto"/>
              <w:jc w:val="center"/>
              <w:rPr>
                <w:rFonts w:ascii="Arial"/>
                <w:sz w:val="21"/>
              </w:rPr>
            </w:pPr>
          </w:p>
          <w:p w14:paraId="2D36F5A1">
            <w:pPr>
              <w:pStyle w:val="6"/>
              <w:spacing w:before="68" w:line="219" w:lineRule="auto"/>
              <w:ind w:left="427"/>
              <w:jc w:val="center"/>
            </w:pPr>
            <w:r>
              <w:rPr>
                <w:spacing w:val="6"/>
              </w:rPr>
              <w:t>2次</w:t>
            </w:r>
          </w:p>
        </w:tc>
        <w:tc>
          <w:tcPr>
            <w:tcW w:w="1829" w:type="dxa"/>
            <w:vAlign w:val="center"/>
          </w:tcPr>
          <w:p w14:paraId="13DDEC69">
            <w:pPr>
              <w:spacing w:line="479" w:lineRule="auto"/>
              <w:jc w:val="center"/>
              <w:rPr>
                <w:rFonts w:ascii="Arial"/>
                <w:sz w:val="21"/>
              </w:rPr>
            </w:pPr>
          </w:p>
          <w:p w14:paraId="1A995ADE">
            <w:pPr>
              <w:pStyle w:val="6"/>
              <w:spacing w:before="68" w:line="220" w:lineRule="auto"/>
              <w:ind w:left="698"/>
              <w:jc w:val="both"/>
            </w:pPr>
            <w:r>
              <w:rPr>
                <w:spacing w:val="6"/>
              </w:rPr>
              <w:t>现场</w:t>
            </w:r>
          </w:p>
        </w:tc>
        <w:tc>
          <w:tcPr>
            <w:tcW w:w="1774" w:type="dxa"/>
            <w:vAlign w:val="center"/>
          </w:tcPr>
          <w:p w14:paraId="2C74B705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38C831E8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3AD457AA">
            <w:pPr>
              <w:pStyle w:val="6"/>
              <w:spacing w:before="68" w:line="223" w:lineRule="auto"/>
              <w:jc w:val="center"/>
            </w:pPr>
            <w:r>
              <w:t>是</w:t>
            </w:r>
          </w:p>
        </w:tc>
      </w:tr>
      <w:tr w14:paraId="46B58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6" w:hRule="atLeast"/>
        </w:trPr>
        <w:tc>
          <w:tcPr>
            <w:tcW w:w="385" w:type="dxa"/>
            <w:vAlign w:val="center"/>
          </w:tcPr>
          <w:p w14:paraId="4140CAF5">
            <w:pPr>
              <w:spacing w:line="461" w:lineRule="auto"/>
              <w:jc w:val="center"/>
              <w:rPr>
                <w:rFonts w:ascii="Arial"/>
                <w:sz w:val="21"/>
              </w:rPr>
            </w:pPr>
          </w:p>
          <w:p w14:paraId="18F0ECCE">
            <w:pPr>
              <w:pStyle w:val="6"/>
              <w:spacing w:before="68" w:line="241" w:lineRule="auto"/>
              <w:ind w:left="125"/>
              <w:jc w:val="center"/>
            </w:pPr>
            <w:r>
              <w:t>2</w:t>
            </w:r>
          </w:p>
        </w:tc>
        <w:tc>
          <w:tcPr>
            <w:tcW w:w="2109" w:type="dxa"/>
            <w:vAlign w:val="center"/>
          </w:tcPr>
          <w:p w14:paraId="2A8AACB7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5359B85E">
            <w:pPr>
              <w:pStyle w:val="6"/>
              <w:spacing w:before="69" w:line="310" w:lineRule="auto"/>
              <w:ind w:left="409" w:right="226" w:hanging="210"/>
              <w:jc w:val="center"/>
            </w:pPr>
            <w:r>
              <w:rPr>
                <w:spacing w:val="-1"/>
              </w:rPr>
              <w:t>对旅行社及分支机</w:t>
            </w:r>
            <w:r>
              <w:t xml:space="preserve"> </w:t>
            </w:r>
            <w:r>
              <w:rPr>
                <w:spacing w:val="1"/>
              </w:rPr>
              <w:t>构的监督检查</w:t>
            </w:r>
          </w:p>
        </w:tc>
        <w:tc>
          <w:tcPr>
            <w:tcW w:w="5726" w:type="dxa"/>
            <w:vAlign w:val="center"/>
          </w:tcPr>
          <w:p w14:paraId="1848E79D">
            <w:pPr>
              <w:pStyle w:val="6"/>
              <w:spacing w:before="120" w:line="309" w:lineRule="auto"/>
              <w:ind w:left="120" w:right="600" w:hanging="24"/>
              <w:jc w:val="center"/>
            </w:pPr>
            <w:r>
              <w:rPr>
                <w:spacing w:val="-1"/>
              </w:rPr>
              <w:t>《中华人民共和国旅游法》第八十五条：县级以上人民</w:t>
            </w:r>
            <w:r>
              <w:rPr>
                <w:spacing w:val="2"/>
              </w:rPr>
              <w:t xml:space="preserve"> </w:t>
            </w:r>
            <w:r>
              <w:t>政府旅游主管部门有权对下列事项实施监督 检查：</w:t>
            </w:r>
          </w:p>
          <w:p w14:paraId="29738ED6">
            <w:pPr>
              <w:pStyle w:val="6"/>
              <w:spacing w:before="27" w:line="259" w:lineRule="auto"/>
              <w:ind w:left="121" w:right="654" w:firstLine="100"/>
              <w:jc w:val="center"/>
            </w:pPr>
            <w:r>
              <w:t>(一)经营旅行社业务以及从事导游、领队服务是否取</w:t>
            </w:r>
            <w:r>
              <w:rPr>
                <w:spacing w:val="9"/>
              </w:rPr>
              <w:t xml:space="preserve"> </w:t>
            </w:r>
            <w:r>
              <w:rPr>
                <w:spacing w:val="11"/>
              </w:rPr>
              <w:t>得经营、执业许可；</w:t>
            </w:r>
          </w:p>
          <w:p w14:paraId="0E4C5FD7">
            <w:pPr>
              <w:pStyle w:val="6"/>
              <w:spacing w:before="120" w:line="219" w:lineRule="auto"/>
              <w:ind w:left="211"/>
              <w:jc w:val="center"/>
            </w:pPr>
            <w:r>
              <w:rPr>
                <w:spacing w:val="8"/>
              </w:rPr>
              <w:t>(二)旅行社的经营行为；</w:t>
            </w:r>
          </w:p>
          <w:p w14:paraId="6FC1C62B">
            <w:pPr>
              <w:pStyle w:val="6"/>
              <w:spacing w:before="101" w:line="219" w:lineRule="auto"/>
              <w:ind w:left="211"/>
              <w:jc w:val="center"/>
            </w:pPr>
            <w:r>
              <w:rPr>
                <w:spacing w:val="5"/>
              </w:rPr>
              <w:t>(三)导游和领队等旅游从业人员的服务行</w:t>
            </w:r>
            <w:r>
              <w:rPr>
                <w:spacing w:val="4"/>
              </w:rPr>
              <w:t>为；</w:t>
            </w:r>
          </w:p>
          <w:p w14:paraId="74D20D94">
            <w:pPr>
              <w:pStyle w:val="6"/>
              <w:spacing w:before="111" w:line="219" w:lineRule="auto"/>
              <w:ind w:left="221"/>
              <w:jc w:val="center"/>
            </w:pPr>
            <w:r>
              <w:rPr>
                <w:spacing w:val="-1"/>
              </w:rPr>
              <w:t>(四)法律、法规规定的其他事项。</w:t>
            </w:r>
          </w:p>
          <w:p w14:paraId="0F1B5C6F">
            <w:pPr>
              <w:pStyle w:val="6"/>
              <w:spacing w:before="161" w:line="248" w:lineRule="auto"/>
              <w:ind w:left="121" w:right="350" w:firstLine="9"/>
              <w:jc w:val="center"/>
            </w:pPr>
            <w:r>
              <w:rPr>
                <w:spacing w:val="-1"/>
              </w:rPr>
              <w:t>旅游主管部门依照前款规定实施监督检查，可以对涉嫌</w:t>
            </w:r>
            <w:r>
              <w:rPr>
                <w:spacing w:val="5"/>
              </w:rPr>
              <w:t xml:space="preserve">   </w:t>
            </w:r>
            <w:r>
              <w:rPr>
                <w:spacing w:val="-1"/>
              </w:rPr>
              <w:t>违法的合同、票据、账簿以及其他资料进行查阅、复制。</w:t>
            </w:r>
          </w:p>
        </w:tc>
        <w:tc>
          <w:tcPr>
            <w:tcW w:w="910" w:type="dxa"/>
            <w:vAlign w:val="center"/>
          </w:tcPr>
          <w:p w14:paraId="5FD31E7E"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 w14:paraId="6199094F"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 w14:paraId="3B8B8D66"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 w14:paraId="3DDF2E8E"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 w14:paraId="53380B17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2F2EA2F0">
            <w:pPr>
              <w:pStyle w:val="6"/>
              <w:spacing w:before="68" w:line="293" w:lineRule="auto"/>
              <w:ind w:left="444" w:right="132" w:hanging="299"/>
              <w:jc w:val="center"/>
            </w:pPr>
            <w:r>
              <w:rPr>
                <w:spacing w:val="-3"/>
              </w:rPr>
              <w:t>旗文旅</w:t>
            </w:r>
            <w:r>
              <w:t xml:space="preserve"> 局</w:t>
            </w:r>
          </w:p>
        </w:tc>
        <w:tc>
          <w:tcPr>
            <w:tcW w:w="1269" w:type="dxa"/>
            <w:vAlign w:val="center"/>
          </w:tcPr>
          <w:p w14:paraId="7D72A74A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2FDE86FA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6D371846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C972E7D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405CC150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696BE672">
            <w:pPr>
              <w:pStyle w:val="6"/>
              <w:spacing w:before="69" w:line="282" w:lineRule="auto"/>
              <w:ind w:left="335" w:right="70" w:hanging="210"/>
              <w:jc w:val="center"/>
            </w:pPr>
            <w:r>
              <w:rPr>
                <w:spacing w:val="-2"/>
              </w:rPr>
              <w:t>旅行社及其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分支机构</w:t>
            </w:r>
          </w:p>
        </w:tc>
        <w:tc>
          <w:tcPr>
            <w:tcW w:w="989" w:type="dxa"/>
            <w:vAlign w:val="center"/>
          </w:tcPr>
          <w:p w14:paraId="23F5E725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3C64C53B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42D4F81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0210CF4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4D5BE550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EC61DE2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491009F3">
            <w:pPr>
              <w:pStyle w:val="6"/>
              <w:spacing w:before="68"/>
              <w:ind w:left="456"/>
              <w:jc w:val="center"/>
            </w:pPr>
            <w:r>
              <w:rPr>
                <w:spacing w:val="-6"/>
              </w:rPr>
              <w:t>100</w:t>
            </w:r>
          </w:p>
        </w:tc>
        <w:tc>
          <w:tcPr>
            <w:tcW w:w="1189" w:type="dxa"/>
            <w:vAlign w:val="center"/>
          </w:tcPr>
          <w:p w14:paraId="02A187DD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4A4DF342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070A66EB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71C65112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5EC1144F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82308FA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8E025D0">
            <w:pPr>
              <w:pStyle w:val="6"/>
              <w:spacing w:before="68" w:line="219" w:lineRule="auto"/>
              <w:ind w:left="427"/>
              <w:jc w:val="center"/>
            </w:pPr>
            <w:r>
              <w:rPr>
                <w:spacing w:val="6"/>
              </w:rPr>
              <w:t>2次</w:t>
            </w:r>
          </w:p>
        </w:tc>
        <w:tc>
          <w:tcPr>
            <w:tcW w:w="1829" w:type="dxa"/>
            <w:vAlign w:val="center"/>
          </w:tcPr>
          <w:p w14:paraId="6274F6DE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19EE9C60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30321F05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69E28949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516C2E41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0B2744B7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3DC7DA52">
            <w:pPr>
              <w:pStyle w:val="6"/>
              <w:spacing w:before="68" w:line="220" w:lineRule="auto"/>
              <w:ind w:left="698"/>
              <w:jc w:val="both"/>
            </w:pPr>
            <w:r>
              <w:rPr>
                <w:spacing w:val="6"/>
              </w:rPr>
              <w:t>现场</w:t>
            </w:r>
          </w:p>
        </w:tc>
        <w:tc>
          <w:tcPr>
            <w:tcW w:w="1774" w:type="dxa"/>
            <w:vAlign w:val="center"/>
          </w:tcPr>
          <w:p w14:paraId="30DB7C4F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15B76CAA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C8FDDE7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4A10D2C4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79E8B8FE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980CD7B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7C3A7C46">
            <w:pPr>
              <w:pStyle w:val="6"/>
              <w:spacing w:before="68" w:line="223" w:lineRule="auto"/>
              <w:jc w:val="center"/>
            </w:pPr>
            <w:r>
              <w:t>是</w:t>
            </w:r>
          </w:p>
        </w:tc>
      </w:tr>
      <w:tr w14:paraId="4D2AE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2" w:hRule="atLeast"/>
        </w:trPr>
        <w:tc>
          <w:tcPr>
            <w:tcW w:w="385" w:type="dxa"/>
            <w:vAlign w:val="center"/>
          </w:tcPr>
          <w:p w14:paraId="4F0D31B8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0E2C6D82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522173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7196F72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4AE520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4F08AED">
            <w:pPr>
              <w:pStyle w:val="6"/>
              <w:spacing w:before="68"/>
              <w:ind w:left="125"/>
              <w:jc w:val="center"/>
            </w:pPr>
            <w:r>
              <w:t>3</w:t>
            </w:r>
          </w:p>
        </w:tc>
        <w:tc>
          <w:tcPr>
            <w:tcW w:w="2109" w:type="dxa"/>
            <w:vAlign w:val="center"/>
          </w:tcPr>
          <w:p w14:paraId="6C21F99A">
            <w:pPr>
              <w:spacing w:line="280" w:lineRule="auto"/>
              <w:jc w:val="both"/>
              <w:rPr>
                <w:rFonts w:ascii="Arial"/>
                <w:sz w:val="21"/>
              </w:rPr>
            </w:pPr>
          </w:p>
          <w:p w14:paraId="69E2C6C9">
            <w:pPr>
              <w:pStyle w:val="6"/>
              <w:spacing w:before="69" w:line="219" w:lineRule="auto"/>
              <w:ind w:left="199"/>
              <w:jc w:val="center"/>
            </w:pPr>
            <w:r>
              <w:rPr>
                <w:spacing w:val="1"/>
              </w:rPr>
              <w:t>对本行政区域内艺</w:t>
            </w:r>
          </w:p>
          <w:p w14:paraId="15902DC6">
            <w:pPr>
              <w:pStyle w:val="6"/>
              <w:spacing w:before="122" w:line="219" w:lineRule="auto"/>
              <w:ind w:left="199"/>
              <w:jc w:val="center"/>
            </w:pPr>
            <w:r>
              <w:rPr>
                <w:spacing w:val="4"/>
              </w:rPr>
              <w:t>术品经营活动的日</w:t>
            </w:r>
          </w:p>
          <w:p w14:paraId="6EB6AF0D">
            <w:pPr>
              <w:pStyle w:val="6"/>
              <w:spacing w:before="100" w:line="219" w:lineRule="auto"/>
              <w:ind w:left="520"/>
              <w:jc w:val="center"/>
            </w:pPr>
            <w:r>
              <w:rPr>
                <w:spacing w:val="2"/>
              </w:rPr>
              <w:t>常监督检查</w:t>
            </w:r>
          </w:p>
        </w:tc>
        <w:tc>
          <w:tcPr>
            <w:tcW w:w="5726" w:type="dxa"/>
            <w:vAlign w:val="center"/>
          </w:tcPr>
          <w:p w14:paraId="498E2117">
            <w:pPr>
              <w:pStyle w:val="6"/>
              <w:spacing w:before="136" w:line="276" w:lineRule="auto"/>
              <w:ind w:left="110" w:right="4" w:hanging="25"/>
              <w:jc w:val="center"/>
            </w:pPr>
            <w:r>
              <w:rPr>
                <w:spacing w:val="-11"/>
              </w:rPr>
              <w:t>《艺术品经营管理办法》(中华人民共和国文化部令</w:t>
            </w:r>
            <w:r>
              <w:rPr>
                <w:spacing w:val="-12"/>
              </w:rPr>
              <w:t>第56号，2016</w:t>
            </w:r>
            <w:r>
              <w:t xml:space="preserve"> 年1月18日发布，自2016年3月15日施</w:t>
            </w:r>
            <w:r>
              <w:rPr>
                <w:spacing w:val="-1"/>
              </w:rPr>
              <w:t>行。)第三条第三款县级</w:t>
            </w:r>
            <w:r>
              <w:t xml:space="preserve"> </w:t>
            </w:r>
            <w:r>
              <w:rPr>
                <w:spacing w:val="1"/>
              </w:rPr>
              <w:t>以上人民政府文化行政部门负责本行政区域内艺术品经营活</w:t>
            </w:r>
            <w:r>
              <w:t xml:space="preserve">  动的日常监督管理工作，县级以上人民政府文化行政部门或</w:t>
            </w:r>
            <w:r>
              <w:rPr>
                <w:spacing w:val="4"/>
              </w:rPr>
              <w:t xml:space="preserve">  </w:t>
            </w:r>
            <w:r>
              <w:t>者依法授权的文化市场综合执法机构对从事艺术品经营活</w:t>
            </w:r>
          </w:p>
          <w:p w14:paraId="03AD26C1">
            <w:pPr>
              <w:pStyle w:val="6"/>
              <w:spacing w:line="198" w:lineRule="auto"/>
              <w:ind w:left="121"/>
              <w:jc w:val="center"/>
            </w:pPr>
            <w:r>
              <w:rPr>
                <w:spacing w:val="-1"/>
              </w:rPr>
              <w:t>动违反国家有关规定的行为实施处罚。</w:t>
            </w:r>
          </w:p>
        </w:tc>
        <w:tc>
          <w:tcPr>
            <w:tcW w:w="910" w:type="dxa"/>
            <w:vAlign w:val="center"/>
          </w:tcPr>
          <w:p w14:paraId="23B24B41">
            <w:pPr>
              <w:spacing w:line="293" w:lineRule="auto"/>
              <w:jc w:val="both"/>
              <w:rPr>
                <w:rFonts w:ascii="Arial"/>
                <w:sz w:val="21"/>
              </w:rPr>
            </w:pPr>
          </w:p>
          <w:p w14:paraId="31A0FA9F">
            <w:pPr>
              <w:pStyle w:val="6"/>
              <w:spacing w:before="69" w:line="301" w:lineRule="auto"/>
              <w:ind w:left="394" w:right="142" w:hanging="259"/>
              <w:jc w:val="both"/>
            </w:pPr>
            <w:r>
              <w:rPr>
                <w:spacing w:val="-3"/>
              </w:rPr>
              <w:t>旗文旅</w:t>
            </w:r>
            <w:r>
              <w:t xml:space="preserve"> 局</w:t>
            </w:r>
          </w:p>
        </w:tc>
        <w:tc>
          <w:tcPr>
            <w:tcW w:w="1269" w:type="dxa"/>
            <w:vAlign w:val="center"/>
          </w:tcPr>
          <w:p w14:paraId="00337F5E">
            <w:pPr>
              <w:spacing w:line="293" w:lineRule="auto"/>
              <w:jc w:val="both"/>
              <w:rPr>
                <w:rFonts w:ascii="Arial"/>
                <w:sz w:val="21"/>
              </w:rPr>
            </w:pPr>
          </w:p>
          <w:p w14:paraId="42F1638A">
            <w:pPr>
              <w:pStyle w:val="6"/>
              <w:spacing w:before="68" w:line="302" w:lineRule="auto"/>
              <w:ind w:left="544" w:right="75" w:hanging="309"/>
              <w:jc w:val="center"/>
            </w:pPr>
            <w:r>
              <w:rPr>
                <w:spacing w:val="2"/>
              </w:rPr>
              <w:t>艺术品经</w:t>
            </w:r>
            <w:r>
              <w:t xml:space="preserve">  </w:t>
            </w:r>
            <w:r>
              <w:rPr>
                <w:spacing w:val="2"/>
              </w:rPr>
              <w:t>营单位</w:t>
            </w:r>
          </w:p>
        </w:tc>
        <w:tc>
          <w:tcPr>
            <w:tcW w:w="989" w:type="dxa"/>
            <w:vAlign w:val="center"/>
          </w:tcPr>
          <w:p w14:paraId="1677C753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5699C50B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728999C1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71EF7D3D">
            <w:pPr>
              <w:pStyle w:val="6"/>
              <w:spacing w:before="69"/>
              <w:ind w:left="466"/>
              <w:jc w:val="center"/>
            </w:pPr>
            <w:r>
              <w:rPr>
                <w:spacing w:val="-6"/>
              </w:rPr>
              <w:t>100</w:t>
            </w:r>
          </w:p>
        </w:tc>
        <w:tc>
          <w:tcPr>
            <w:tcW w:w="1189" w:type="dxa"/>
            <w:vAlign w:val="center"/>
          </w:tcPr>
          <w:p w14:paraId="729A8925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14A3729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683A47E3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44B78E05">
            <w:pPr>
              <w:pStyle w:val="6"/>
              <w:spacing w:before="68" w:line="219" w:lineRule="auto"/>
              <w:ind w:left="427"/>
              <w:jc w:val="center"/>
            </w:pPr>
            <w:r>
              <w:rPr>
                <w:spacing w:val="6"/>
              </w:rPr>
              <w:t>2次</w:t>
            </w:r>
          </w:p>
        </w:tc>
        <w:tc>
          <w:tcPr>
            <w:tcW w:w="1829" w:type="dxa"/>
            <w:vAlign w:val="center"/>
          </w:tcPr>
          <w:p w14:paraId="3498BD53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17EB7EE0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429A2BCE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703E980E">
            <w:pPr>
              <w:pStyle w:val="6"/>
              <w:spacing w:before="68" w:line="220" w:lineRule="auto"/>
              <w:ind w:left="698"/>
              <w:jc w:val="both"/>
            </w:pPr>
            <w:bookmarkStart w:id="0" w:name="_GoBack"/>
            <w:bookmarkEnd w:id="0"/>
            <w:r>
              <w:rPr>
                <w:spacing w:val="6"/>
              </w:rPr>
              <w:t>现场</w:t>
            </w:r>
          </w:p>
        </w:tc>
        <w:tc>
          <w:tcPr>
            <w:tcW w:w="1774" w:type="dxa"/>
            <w:vAlign w:val="center"/>
          </w:tcPr>
          <w:p w14:paraId="4788E461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222D0C57">
            <w:pPr>
              <w:spacing w:line="269" w:lineRule="auto"/>
              <w:jc w:val="center"/>
              <w:rPr>
                <w:rFonts w:ascii="Arial"/>
                <w:sz w:val="21"/>
              </w:rPr>
            </w:pPr>
          </w:p>
          <w:p w14:paraId="796CEF94">
            <w:pPr>
              <w:spacing w:line="269" w:lineRule="auto"/>
              <w:jc w:val="center"/>
              <w:rPr>
                <w:rFonts w:ascii="Arial"/>
                <w:sz w:val="21"/>
              </w:rPr>
            </w:pPr>
          </w:p>
          <w:p w14:paraId="3EB8CC2E">
            <w:pPr>
              <w:pStyle w:val="6"/>
              <w:spacing w:before="68" w:line="223" w:lineRule="auto"/>
              <w:jc w:val="center"/>
            </w:pPr>
            <w:r>
              <w:t>是</w:t>
            </w:r>
          </w:p>
        </w:tc>
      </w:tr>
    </w:tbl>
    <w:p w14:paraId="1C202148">
      <w:pPr>
        <w:rPr>
          <w:rFonts w:ascii="Arial"/>
          <w:sz w:val="21"/>
        </w:rPr>
      </w:pPr>
    </w:p>
    <w:sectPr>
      <w:pgSz w:w="16900" w:h="12000"/>
      <w:pgMar w:top="1020" w:right="404" w:bottom="0" w:left="30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BEF27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1568</Words>
  <Characters>1617</Characters>
  <TotalTime>1</TotalTime>
  <ScaleCrop>false</ScaleCrop>
  <LinksUpToDate>false</LinksUpToDate>
  <CharactersWithSpaces>1713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2025-12-01T12:17:00Z</dcterms:created>
  <dc:creator>Administrator</dc:creator>
  <cp:lastModifiedBy>白云</cp:lastModifiedBy>
  <dcterms:modified xsi:type="dcterms:W3CDTF">2025-12-01T04:19:12Z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2025-12-01T12:17:18Z</vt:filetime>
  </property>
  <property fmtid="{D5CDD505-2E9C-101B-9397-08002B2CF9AE}" pid="4" name="UsrData">
    <vt:lpwstr>692d16cbf4e5d9001fd26bf1wl</vt:lpwstr>
  </property>
  <property fmtid="{D5CDD505-2E9C-101B-9397-08002B2CF9AE}" pid="5" name="KSOTemplateDocerSaveRecord">
    <vt:lpwstr>eyJoZGlkIjoiMTJjNGI4ZTQxYzNiNjM4OTQ0ZTE2N2U1NzY4NDM4OTgiLCJ1c2VySWQiOiI1MDYzNzQ5NjMifQ==</vt:lpwstr>
  </property>
  <property fmtid="{D5CDD505-2E9C-101B-9397-08002B2CF9AE}" pid="6" name="KSOProductBuildVer">
    <vt:lpwstr>2052-12.1.0.23542</vt:lpwstr>
  </property>
  <property fmtid="{D5CDD505-2E9C-101B-9397-08002B2CF9AE}" pid="7" name="ICV">
    <vt:lpwstr>17255F202C96438BAF11FFCBA5147FC1_13</vt:lpwstr>
  </property>
</Properties>
</file>