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3224F">
      <w:pPr>
        <w:pStyle w:val="2"/>
        <w:spacing w:line="243" w:lineRule="auto"/>
      </w:pPr>
    </w:p>
    <w:p w14:paraId="07303C26">
      <w:pPr>
        <w:pStyle w:val="2"/>
        <w:spacing w:line="243" w:lineRule="auto"/>
      </w:pPr>
    </w:p>
    <w:p w14:paraId="1E86049A">
      <w:pPr>
        <w:pStyle w:val="2"/>
        <w:spacing w:line="312" w:lineRule="auto"/>
      </w:pPr>
    </w:p>
    <w:p w14:paraId="2450A62D">
      <w:pPr>
        <w:pStyle w:val="2"/>
        <w:spacing w:line="312" w:lineRule="auto"/>
      </w:pPr>
    </w:p>
    <w:p w14:paraId="59AD1FD7">
      <w:pPr>
        <w:pStyle w:val="2"/>
        <w:spacing w:line="312" w:lineRule="auto"/>
      </w:pPr>
    </w:p>
    <w:p w14:paraId="27A84911">
      <w:pPr>
        <w:spacing w:before="140" w:line="219" w:lineRule="auto"/>
        <w:ind w:left="2066"/>
        <w:rPr>
          <w:rFonts w:ascii="宋体" w:hAnsi="宋体" w:eastAsia="宋体" w:cs="宋体"/>
          <w:sz w:val="43"/>
          <w:szCs w:val="43"/>
        </w:rPr>
      </w:pPr>
      <w:r>
        <w:rPr>
          <w:rFonts w:ascii="宋体" w:hAnsi="宋体" w:eastAsia="宋体" w:cs="宋体"/>
          <w:b/>
          <w:bCs/>
          <w:spacing w:val="-5"/>
          <w:sz w:val="43"/>
          <w:szCs w:val="43"/>
        </w:rPr>
        <w:t>准格尔旗应急管理局关于</w:t>
      </w:r>
    </w:p>
    <w:p w14:paraId="4DE73E7A">
      <w:pPr>
        <w:spacing w:before="67" w:line="219" w:lineRule="auto"/>
        <w:ind w:left="585"/>
        <w:rPr>
          <w:rFonts w:ascii="宋体" w:hAnsi="宋体" w:eastAsia="宋体" w:cs="宋体"/>
          <w:sz w:val="43"/>
          <w:szCs w:val="43"/>
        </w:rPr>
      </w:pPr>
      <w:r>
        <w:rPr>
          <w:rFonts w:ascii="宋体" w:hAnsi="宋体" w:eastAsia="宋体" w:cs="宋体"/>
          <w:b/>
          <w:bCs/>
          <w:spacing w:val="-27"/>
          <w:sz w:val="43"/>
          <w:szCs w:val="43"/>
        </w:rPr>
        <w:t>印发《2025年“双随机、一公开”监管工作</w:t>
      </w:r>
    </w:p>
    <w:p w14:paraId="32334063">
      <w:pPr>
        <w:spacing w:before="34" w:line="221" w:lineRule="auto"/>
        <w:ind w:left="2706"/>
        <w:rPr>
          <w:rFonts w:ascii="宋体" w:hAnsi="宋体" w:eastAsia="宋体" w:cs="宋体"/>
          <w:sz w:val="43"/>
          <w:szCs w:val="43"/>
        </w:rPr>
      </w:pPr>
      <w:r>
        <w:rPr>
          <w:rFonts w:ascii="宋体" w:hAnsi="宋体" w:eastAsia="宋体" w:cs="宋体"/>
          <w:b/>
          <w:bCs/>
          <w:spacing w:val="-4"/>
          <w:sz w:val="43"/>
          <w:szCs w:val="43"/>
        </w:rPr>
        <w:t>抽查计划》的通知</w:t>
      </w:r>
    </w:p>
    <w:p w14:paraId="1E218700">
      <w:pPr>
        <w:pStyle w:val="2"/>
        <w:spacing w:line="307" w:lineRule="auto"/>
      </w:pPr>
    </w:p>
    <w:p w14:paraId="0B35FB71">
      <w:pPr>
        <w:pStyle w:val="2"/>
        <w:spacing w:line="307" w:lineRule="auto"/>
      </w:pPr>
    </w:p>
    <w:p w14:paraId="5A63B0D9">
      <w:pPr>
        <w:spacing w:before="101" w:line="221" w:lineRule="auto"/>
        <w:ind w:left="80"/>
        <w:rPr>
          <w:rFonts w:ascii="仿宋" w:hAnsi="仿宋" w:eastAsia="仿宋" w:cs="仿宋"/>
          <w:sz w:val="31"/>
          <w:szCs w:val="31"/>
        </w:rPr>
      </w:pPr>
      <w:r>
        <w:rPr>
          <w:rFonts w:ascii="仿宋" w:hAnsi="仿宋" w:eastAsia="仿宋" w:cs="仿宋"/>
          <w:spacing w:val="-2"/>
          <w:sz w:val="31"/>
          <w:szCs w:val="31"/>
        </w:rPr>
        <w:t>旗应急管理综合行政执法大队、危化股、基础股：</w:t>
      </w:r>
    </w:p>
    <w:p w14:paraId="49707D69">
      <w:pPr>
        <w:spacing w:before="190" w:line="222" w:lineRule="auto"/>
        <w:jc w:val="right"/>
        <w:rPr>
          <w:rFonts w:ascii="仿宋" w:hAnsi="仿宋" w:eastAsia="仿宋" w:cs="仿宋"/>
          <w:sz w:val="31"/>
          <w:szCs w:val="31"/>
        </w:rPr>
      </w:pPr>
      <w:r>
        <w:rPr>
          <w:rFonts w:ascii="仿宋" w:hAnsi="仿宋" w:eastAsia="仿宋" w:cs="仿宋"/>
          <w:spacing w:val="-3"/>
          <w:sz w:val="31"/>
          <w:szCs w:val="31"/>
        </w:rPr>
        <w:t>现将《准格尔旗应急管理局2025年“双随机、一公开”监管</w:t>
      </w:r>
    </w:p>
    <w:p w14:paraId="478C674B">
      <w:pPr>
        <w:spacing w:before="186" w:line="220" w:lineRule="auto"/>
        <w:ind w:left="100"/>
        <w:rPr>
          <w:rFonts w:ascii="仿宋" w:hAnsi="仿宋" w:eastAsia="仿宋" w:cs="仿宋"/>
          <w:sz w:val="31"/>
          <w:szCs w:val="31"/>
        </w:rPr>
      </w:pPr>
      <w:r>
        <w:rPr>
          <w:rFonts w:ascii="仿宋" w:hAnsi="仿宋" w:eastAsia="仿宋" w:cs="仿宋"/>
          <w:spacing w:val="-14"/>
          <w:sz w:val="31"/>
          <w:szCs w:val="31"/>
        </w:rPr>
        <w:t>工作抽查计划》印发给你们，请遵照执行。</w:t>
      </w:r>
    </w:p>
    <w:p w14:paraId="252CB093">
      <w:pPr>
        <w:pStyle w:val="2"/>
        <w:spacing w:line="309" w:lineRule="auto"/>
      </w:pPr>
    </w:p>
    <w:p w14:paraId="02159964">
      <w:pPr>
        <w:pStyle w:val="2"/>
        <w:spacing w:line="310" w:lineRule="auto"/>
      </w:pPr>
    </w:p>
    <w:p w14:paraId="72D840BC">
      <w:pPr>
        <w:spacing w:before="101" w:line="222" w:lineRule="auto"/>
        <w:ind w:left="5340"/>
        <w:rPr>
          <w:rFonts w:ascii="仿宋" w:hAnsi="仿宋" w:eastAsia="仿宋" w:cs="仿宋"/>
          <w:sz w:val="31"/>
          <w:szCs w:val="31"/>
        </w:rPr>
      </w:pPr>
      <w:r>
        <w:rPr>
          <w:rFonts w:ascii="仿宋" w:hAnsi="仿宋" w:eastAsia="仿宋" w:cs="仿宋"/>
          <w:sz w:val="31"/>
          <w:szCs w:val="31"/>
        </w:rPr>
        <w:t>准格尔旗应急管理局</w:t>
      </w:r>
    </w:p>
    <w:p w14:paraId="377C21B5">
      <w:pPr>
        <w:spacing w:before="248" w:line="222" w:lineRule="auto"/>
        <w:ind w:left="5660"/>
        <w:rPr>
          <w:rFonts w:ascii="仿宋" w:hAnsi="仿宋" w:eastAsia="仿宋" w:cs="仿宋"/>
          <w:sz w:val="31"/>
          <w:szCs w:val="31"/>
        </w:rPr>
      </w:pPr>
      <w:r>
        <w:rPr>
          <w:rFonts w:ascii="仿宋" w:hAnsi="仿宋" w:eastAsia="仿宋" w:cs="仿宋"/>
          <w:spacing w:val="2"/>
          <w:sz w:val="31"/>
          <w:szCs w:val="31"/>
        </w:rPr>
        <w:t>2025年3月28日</w:t>
      </w:r>
    </w:p>
    <w:p w14:paraId="20E23D03">
      <w:pPr>
        <w:spacing w:line="222" w:lineRule="auto"/>
        <w:rPr>
          <w:rFonts w:ascii="仿宋" w:hAnsi="仿宋" w:eastAsia="仿宋" w:cs="仿宋"/>
          <w:sz w:val="31"/>
          <w:szCs w:val="31"/>
        </w:rPr>
        <w:sectPr>
          <w:footerReference r:id="rId5" w:type="default"/>
          <w:pgSz w:w="11900" w:h="16820"/>
          <w:pgMar w:top="1429" w:right="1546" w:bottom="1659" w:left="1629" w:header="0" w:footer="1280" w:gutter="0"/>
          <w:cols w:space="720" w:num="1"/>
        </w:sectPr>
      </w:pPr>
    </w:p>
    <w:p w14:paraId="534828A2">
      <w:pPr>
        <w:pStyle w:val="2"/>
        <w:spacing w:line="257" w:lineRule="auto"/>
      </w:pPr>
    </w:p>
    <w:p w14:paraId="097C4DC9">
      <w:pPr>
        <w:pStyle w:val="2"/>
        <w:spacing w:line="257" w:lineRule="auto"/>
      </w:pPr>
    </w:p>
    <w:p w14:paraId="0E7576DD">
      <w:pPr>
        <w:pStyle w:val="2"/>
        <w:spacing w:line="257" w:lineRule="auto"/>
      </w:pPr>
    </w:p>
    <w:p w14:paraId="626D3D56">
      <w:pPr>
        <w:pStyle w:val="2"/>
        <w:spacing w:line="258" w:lineRule="auto"/>
      </w:pPr>
    </w:p>
    <w:p w14:paraId="7B777F2D">
      <w:pPr>
        <w:pStyle w:val="2"/>
        <w:spacing w:line="258" w:lineRule="auto"/>
      </w:pPr>
    </w:p>
    <w:p w14:paraId="28B24CE0">
      <w:pPr>
        <w:pStyle w:val="2"/>
        <w:spacing w:line="258" w:lineRule="auto"/>
      </w:pPr>
    </w:p>
    <w:p w14:paraId="3DE5E035">
      <w:pPr>
        <w:pStyle w:val="2"/>
        <w:spacing w:line="258" w:lineRule="auto"/>
      </w:pPr>
    </w:p>
    <w:p w14:paraId="0BA46D0D">
      <w:pPr>
        <w:spacing w:before="137" w:line="219" w:lineRule="auto"/>
        <w:ind w:left="2516"/>
        <w:rPr>
          <w:rFonts w:ascii="宋体" w:hAnsi="宋体" w:eastAsia="宋体" w:cs="宋体"/>
          <w:sz w:val="42"/>
          <w:szCs w:val="42"/>
        </w:rPr>
      </w:pPr>
      <w:r>
        <w:rPr>
          <w:rFonts w:ascii="宋体" w:hAnsi="宋体" w:eastAsia="宋体" w:cs="宋体"/>
          <w:b/>
          <w:bCs/>
          <w:sz w:val="42"/>
          <w:szCs w:val="42"/>
        </w:rPr>
        <w:t>准格尔旗应急管理局</w:t>
      </w:r>
    </w:p>
    <w:p w14:paraId="37536536">
      <w:pPr>
        <w:spacing w:before="78" w:line="219" w:lineRule="auto"/>
        <w:ind w:left="605"/>
        <w:outlineLvl w:val="0"/>
        <w:rPr>
          <w:rFonts w:ascii="宋体" w:hAnsi="宋体" w:eastAsia="宋体" w:cs="宋体"/>
          <w:sz w:val="38"/>
          <w:szCs w:val="38"/>
        </w:rPr>
      </w:pPr>
      <w:r>
        <w:rPr>
          <w:rFonts w:ascii="宋体" w:hAnsi="宋体" w:eastAsia="宋体" w:cs="宋体"/>
          <w:b/>
          <w:bCs/>
          <w:spacing w:val="-3"/>
          <w:sz w:val="38"/>
          <w:szCs w:val="38"/>
        </w:rPr>
        <w:t>2025年“双随机、一公开”监管工作抽查计划</w:t>
      </w:r>
    </w:p>
    <w:p w14:paraId="1C2D3319">
      <w:pPr>
        <w:pStyle w:val="2"/>
        <w:spacing w:line="319" w:lineRule="auto"/>
      </w:pPr>
    </w:p>
    <w:p w14:paraId="22BACDF4">
      <w:pPr>
        <w:pStyle w:val="2"/>
        <w:spacing w:line="320" w:lineRule="auto"/>
      </w:pPr>
    </w:p>
    <w:p w14:paraId="1A119AFF">
      <w:pPr>
        <w:spacing w:before="94" w:line="355" w:lineRule="auto"/>
        <w:ind w:right="495" w:firstLine="650"/>
        <w:jc w:val="both"/>
        <w:rPr>
          <w:rFonts w:ascii="仿宋" w:hAnsi="仿宋" w:eastAsia="仿宋" w:cs="仿宋"/>
          <w:sz w:val="29"/>
          <w:szCs w:val="29"/>
        </w:rPr>
      </w:pPr>
      <w:r>
        <w:rPr>
          <w:rFonts w:ascii="仿宋" w:hAnsi="仿宋" w:eastAsia="仿宋" w:cs="仿宋"/>
          <w:spacing w:val="15"/>
          <w:sz w:val="29"/>
          <w:szCs w:val="29"/>
        </w:rPr>
        <w:t>为贯彻落实《国务院关于在市场监管领域全面推行部门联合</w:t>
      </w:r>
      <w:r>
        <w:rPr>
          <w:rFonts w:ascii="仿宋" w:hAnsi="仿宋" w:eastAsia="仿宋" w:cs="仿宋"/>
          <w:spacing w:val="4"/>
          <w:sz w:val="29"/>
          <w:szCs w:val="29"/>
        </w:rPr>
        <w:t xml:space="preserve"> </w:t>
      </w:r>
      <w:r>
        <w:rPr>
          <w:rFonts w:ascii="仿宋" w:hAnsi="仿宋" w:eastAsia="仿宋" w:cs="仿宋"/>
          <w:spacing w:val="8"/>
          <w:sz w:val="29"/>
          <w:szCs w:val="29"/>
        </w:rPr>
        <w:t>“双随机、 一公开”监管的意见》(国发〔20</w:t>
      </w:r>
      <w:r>
        <w:rPr>
          <w:rFonts w:ascii="仿宋" w:hAnsi="仿宋" w:eastAsia="仿宋" w:cs="仿宋"/>
          <w:spacing w:val="7"/>
          <w:sz w:val="29"/>
          <w:szCs w:val="29"/>
        </w:rPr>
        <w:t>19〕5号)文件精神，</w:t>
      </w:r>
      <w:r>
        <w:rPr>
          <w:rFonts w:ascii="仿宋" w:hAnsi="仿宋" w:eastAsia="仿宋" w:cs="仿宋"/>
          <w:sz w:val="29"/>
          <w:szCs w:val="29"/>
        </w:rPr>
        <w:t xml:space="preserve"> </w:t>
      </w:r>
      <w:r>
        <w:rPr>
          <w:rFonts w:ascii="仿宋" w:hAnsi="仿宋" w:eastAsia="仿宋" w:cs="仿宋"/>
          <w:spacing w:val="18"/>
          <w:sz w:val="29"/>
          <w:szCs w:val="29"/>
        </w:rPr>
        <w:t>切实提高安全生产监管效能，规范日常安全生产监督检查工作，</w:t>
      </w:r>
      <w:r>
        <w:rPr>
          <w:rFonts w:ascii="仿宋" w:hAnsi="仿宋" w:eastAsia="仿宋" w:cs="仿宋"/>
          <w:sz w:val="29"/>
          <w:szCs w:val="29"/>
        </w:rPr>
        <w:t xml:space="preserve"> </w:t>
      </w:r>
      <w:r>
        <w:rPr>
          <w:rFonts w:ascii="仿宋" w:hAnsi="仿宋" w:eastAsia="仿宋" w:cs="仿宋"/>
          <w:spacing w:val="5"/>
          <w:sz w:val="29"/>
          <w:szCs w:val="29"/>
        </w:rPr>
        <w:t>现结合我局工作实际，制定本计划。</w:t>
      </w:r>
    </w:p>
    <w:p w14:paraId="1DE99A94">
      <w:pPr>
        <w:spacing w:line="221" w:lineRule="auto"/>
        <w:ind w:left="604"/>
        <w:outlineLvl w:val="2"/>
        <w:rPr>
          <w:rFonts w:ascii="黑体" w:hAnsi="黑体" w:eastAsia="黑体" w:cs="黑体"/>
          <w:sz w:val="29"/>
          <w:szCs w:val="29"/>
        </w:rPr>
      </w:pPr>
      <w:r>
        <w:rPr>
          <w:rFonts w:ascii="黑体" w:hAnsi="黑体" w:eastAsia="黑体" w:cs="黑体"/>
          <w:b/>
          <w:bCs/>
          <w:spacing w:val="4"/>
          <w:sz w:val="29"/>
          <w:szCs w:val="29"/>
        </w:rPr>
        <w:t>一</w:t>
      </w:r>
      <w:r>
        <w:rPr>
          <w:rFonts w:ascii="黑体" w:hAnsi="黑体" w:eastAsia="黑体" w:cs="黑体"/>
          <w:spacing w:val="-59"/>
          <w:sz w:val="29"/>
          <w:szCs w:val="29"/>
        </w:rPr>
        <w:t xml:space="preserve"> </w:t>
      </w:r>
      <w:r>
        <w:rPr>
          <w:rFonts w:ascii="黑体" w:hAnsi="黑体" w:eastAsia="黑体" w:cs="黑体"/>
          <w:b/>
          <w:bCs/>
          <w:spacing w:val="4"/>
          <w:sz w:val="29"/>
          <w:szCs w:val="29"/>
        </w:rPr>
        <w:t>、工作原则</w:t>
      </w:r>
    </w:p>
    <w:p w14:paraId="7335312D">
      <w:pPr>
        <w:spacing w:before="227" w:line="356" w:lineRule="auto"/>
        <w:ind w:right="495" w:firstLine="599"/>
        <w:rPr>
          <w:rFonts w:ascii="仿宋" w:hAnsi="仿宋" w:eastAsia="仿宋" w:cs="仿宋"/>
          <w:sz w:val="29"/>
          <w:szCs w:val="29"/>
        </w:rPr>
      </w:pPr>
      <w:r>
        <w:rPr>
          <w:rFonts w:ascii="仿宋" w:hAnsi="仿宋" w:eastAsia="仿宋" w:cs="仿宋"/>
          <w:spacing w:val="8"/>
          <w:sz w:val="29"/>
          <w:szCs w:val="29"/>
        </w:rPr>
        <w:t>坚持“依法监管、公平高效、公开透明、协同推进”的原则，</w:t>
      </w:r>
      <w:r>
        <w:rPr>
          <w:rFonts w:ascii="仿宋" w:hAnsi="仿宋" w:eastAsia="仿宋" w:cs="仿宋"/>
          <w:spacing w:val="17"/>
          <w:sz w:val="29"/>
          <w:szCs w:val="29"/>
        </w:rPr>
        <w:t xml:space="preserve"> </w:t>
      </w:r>
      <w:r>
        <w:rPr>
          <w:rFonts w:ascii="仿宋" w:hAnsi="仿宋" w:eastAsia="仿宋" w:cs="仿宋"/>
          <w:spacing w:val="7"/>
          <w:sz w:val="29"/>
          <w:szCs w:val="29"/>
        </w:rPr>
        <w:t>落实安全生产工作监管责任，全面推进“双随机、</w:t>
      </w:r>
      <w:r>
        <w:rPr>
          <w:rFonts w:ascii="仿宋" w:hAnsi="仿宋" w:eastAsia="仿宋" w:cs="仿宋"/>
          <w:spacing w:val="89"/>
          <w:sz w:val="29"/>
          <w:szCs w:val="29"/>
        </w:rPr>
        <w:t xml:space="preserve"> </w:t>
      </w:r>
      <w:r>
        <w:rPr>
          <w:rFonts w:ascii="仿宋" w:hAnsi="仿宋" w:eastAsia="仿宋" w:cs="仿宋"/>
          <w:spacing w:val="7"/>
          <w:sz w:val="29"/>
          <w:szCs w:val="29"/>
        </w:rPr>
        <w:t>一公开”监管</w:t>
      </w:r>
      <w:r>
        <w:rPr>
          <w:rFonts w:ascii="仿宋" w:hAnsi="仿宋" w:eastAsia="仿宋" w:cs="仿宋"/>
          <w:sz w:val="29"/>
          <w:szCs w:val="29"/>
        </w:rPr>
        <w:t xml:space="preserve"> </w:t>
      </w:r>
      <w:r>
        <w:rPr>
          <w:rFonts w:ascii="仿宋" w:hAnsi="仿宋" w:eastAsia="仿宋" w:cs="仿宋"/>
          <w:spacing w:val="9"/>
          <w:sz w:val="29"/>
          <w:szCs w:val="29"/>
        </w:rPr>
        <w:t>工作制度化、规范化，坚持公正高效、严格规范</w:t>
      </w:r>
      <w:r>
        <w:rPr>
          <w:rFonts w:ascii="仿宋" w:hAnsi="仿宋" w:eastAsia="仿宋" w:cs="仿宋"/>
          <w:spacing w:val="8"/>
          <w:sz w:val="29"/>
          <w:szCs w:val="29"/>
        </w:rPr>
        <w:t>、公正文明执法；</w:t>
      </w:r>
      <w:r>
        <w:rPr>
          <w:rFonts w:ascii="仿宋" w:hAnsi="仿宋" w:eastAsia="仿宋" w:cs="仿宋"/>
          <w:sz w:val="29"/>
          <w:szCs w:val="29"/>
        </w:rPr>
        <w:t xml:space="preserve"> </w:t>
      </w:r>
      <w:r>
        <w:rPr>
          <w:rFonts w:ascii="仿宋" w:hAnsi="仿宋" w:eastAsia="仿宋" w:cs="仿宋"/>
          <w:spacing w:val="17"/>
          <w:sz w:val="29"/>
          <w:szCs w:val="29"/>
        </w:rPr>
        <w:t>全面提升监督检查工作的公平性、规范性和有效性</w:t>
      </w:r>
      <w:r>
        <w:rPr>
          <w:rFonts w:ascii="仿宋" w:hAnsi="仿宋" w:eastAsia="仿宋" w:cs="仿宋"/>
          <w:spacing w:val="16"/>
          <w:sz w:val="29"/>
          <w:szCs w:val="29"/>
        </w:rPr>
        <w:t>，坚持公开透</w:t>
      </w:r>
      <w:r>
        <w:rPr>
          <w:rFonts w:ascii="仿宋" w:hAnsi="仿宋" w:eastAsia="仿宋" w:cs="仿宋"/>
          <w:sz w:val="29"/>
          <w:szCs w:val="29"/>
        </w:rPr>
        <w:t xml:space="preserve"> </w:t>
      </w:r>
      <w:r>
        <w:rPr>
          <w:rFonts w:ascii="仿宋" w:hAnsi="仿宋" w:eastAsia="仿宋" w:cs="仿宋"/>
          <w:spacing w:val="9"/>
          <w:sz w:val="29"/>
          <w:szCs w:val="29"/>
        </w:rPr>
        <w:t>明，实行“阳光执法”,公开随机抽查事项、程序和结果，保障市</w:t>
      </w:r>
      <w:r>
        <w:rPr>
          <w:rFonts w:ascii="仿宋" w:hAnsi="仿宋" w:eastAsia="仿宋" w:cs="仿宋"/>
          <w:spacing w:val="5"/>
          <w:sz w:val="29"/>
          <w:szCs w:val="29"/>
        </w:rPr>
        <w:t xml:space="preserve">  </w:t>
      </w:r>
      <w:r>
        <w:rPr>
          <w:rFonts w:ascii="仿宋" w:hAnsi="仿宋" w:eastAsia="仿宋" w:cs="仿宋"/>
          <w:spacing w:val="16"/>
          <w:sz w:val="29"/>
          <w:szCs w:val="29"/>
        </w:rPr>
        <w:t>场主体权利平等、机会平等、规则平等，营造公平竞争的市场环</w:t>
      </w:r>
      <w:r>
        <w:rPr>
          <w:rFonts w:ascii="仿宋" w:hAnsi="仿宋" w:eastAsia="仿宋" w:cs="仿宋"/>
          <w:spacing w:val="8"/>
          <w:sz w:val="29"/>
          <w:szCs w:val="29"/>
        </w:rPr>
        <w:t xml:space="preserve"> </w:t>
      </w:r>
      <w:r>
        <w:rPr>
          <w:rFonts w:ascii="仿宋" w:hAnsi="仿宋" w:eastAsia="仿宋" w:cs="仿宋"/>
          <w:spacing w:val="15"/>
          <w:sz w:val="29"/>
          <w:szCs w:val="29"/>
        </w:rPr>
        <w:t>境和法治化便利化营商环境。</w:t>
      </w:r>
    </w:p>
    <w:p w14:paraId="6264E9D0">
      <w:pPr>
        <w:spacing w:before="1" w:line="221" w:lineRule="auto"/>
        <w:ind w:left="604"/>
        <w:outlineLvl w:val="2"/>
        <w:rPr>
          <w:rFonts w:ascii="黑体" w:hAnsi="黑体" w:eastAsia="黑体" w:cs="黑体"/>
          <w:sz w:val="29"/>
          <w:szCs w:val="29"/>
        </w:rPr>
      </w:pPr>
      <w:r>
        <w:rPr>
          <w:rFonts w:ascii="黑体" w:hAnsi="黑体" w:eastAsia="黑体" w:cs="黑体"/>
          <w:b/>
          <w:bCs/>
          <w:spacing w:val="16"/>
          <w:sz w:val="29"/>
          <w:szCs w:val="29"/>
        </w:rPr>
        <w:t>二、抽查工作计划</w:t>
      </w:r>
    </w:p>
    <w:p w14:paraId="0F003A04">
      <w:pPr>
        <w:spacing w:before="201" w:line="220" w:lineRule="auto"/>
        <w:ind w:left="599"/>
        <w:rPr>
          <w:rFonts w:ascii="仿宋" w:hAnsi="仿宋" w:eastAsia="仿宋" w:cs="仿宋"/>
          <w:sz w:val="29"/>
          <w:szCs w:val="29"/>
        </w:rPr>
      </w:pPr>
      <w:r>
        <w:rPr>
          <w:rFonts w:ascii="仿宋" w:hAnsi="仿宋" w:eastAsia="仿宋" w:cs="仿宋"/>
          <w:spacing w:val="17"/>
          <w:sz w:val="29"/>
          <w:szCs w:val="29"/>
        </w:rPr>
        <w:t>以国家法律法规明确的权责清单为基础，明确检查事项、检</w:t>
      </w:r>
    </w:p>
    <w:p w14:paraId="3B9DB026">
      <w:pPr>
        <w:spacing w:before="225" w:line="220" w:lineRule="auto"/>
        <w:rPr>
          <w:rFonts w:ascii="仿宋" w:hAnsi="仿宋" w:eastAsia="仿宋" w:cs="仿宋"/>
          <w:sz w:val="29"/>
          <w:szCs w:val="29"/>
        </w:rPr>
      </w:pPr>
      <w:r>
        <w:rPr>
          <w:rFonts w:ascii="仿宋" w:hAnsi="仿宋" w:eastAsia="仿宋" w:cs="仿宋"/>
          <w:spacing w:val="18"/>
          <w:sz w:val="29"/>
          <w:szCs w:val="29"/>
        </w:rPr>
        <w:t>查依据、检查主体、检查内容、检查方式，并及时向社会公布。</w:t>
      </w:r>
    </w:p>
    <w:p w14:paraId="66A286D1">
      <w:pPr>
        <w:spacing w:before="224" w:line="220" w:lineRule="auto"/>
        <w:jc w:val="both"/>
        <w:rPr>
          <w:sz w:val="29"/>
          <w:szCs w:val="29"/>
        </w:rPr>
      </w:pPr>
      <w:r>
        <w:rPr>
          <w:rFonts w:ascii="仿宋" w:hAnsi="仿宋" w:eastAsia="仿宋" w:cs="仿宋"/>
          <w:spacing w:val="-5"/>
          <w:sz w:val="29"/>
          <w:szCs w:val="29"/>
        </w:rPr>
        <w:t>执法检查的基本内容：</w:t>
      </w:r>
    </w:p>
    <w:p w14:paraId="01D666F1">
      <w:pPr>
        <w:spacing w:before="225" w:line="221" w:lineRule="auto"/>
        <w:ind w:left="720"/>
        <w:rPr>
          <w:rFonts w:ascii="仿宋" w:hAnsi="仿宋" w:eastAsia="仿宋" w:cs="仿宋"/>
          <w:sz w:val="29"/>
          <w:szCs w:val="29"/>
        </w:rPr>
      </w:pPr>
      <w:r>
        <w:rPr>
          <w:rFonts w:ascii="仿宋" w:hAnsi="仿宋" w:eastAsia="仿宋" w:cs="仿宋"/>
          <w:spacing w:val="23"/>
          <w:sz w:val="29"/>
          <w:szCs w:val="29"/>
        </w:rPr>
        <w:t>(一)尾矿库企业、危险化学品企业、工贸行业企业：1.企</w:t>
      </w:r>
    </w:p>
    <w:p w14:paraId="116D8DDE">
      <w:pPr>
        <w:spacing w:before="206" w:line="350" w:lineRule="auto"/>
        <w:ind w:right="577"/>
        <w:rPr>
          <w:rFonts w:ascii="仿宋" w:hAnsi="仿宋" w:eastAsia="仿宋" w:cs="仿宋"/>
          <w:sz w:val="29"/>
          <w:szCs w:val="29"/>
        </w:rPr>
      </w:pPr>
      <w:r>
        <w:rPr>
          <w:rFonts w:ascii="仿宋" w:hAnsi="仿宋" w:eastAsia="仿宋" w:cs="仿宋"/>
          <w:spacing w:val="15"/>
          <w:sz w:val="29"/>
          <w:szCs w:val="29"/>
        </w:rPr>
        <w:t>业是否取得有效的危险化学品经营许可证或安全生产许可证；2.</w:t>
      </w:r>
      <w:r>
        <w:rPr>
          <w:rFonts w:ascii="仿宋" w:hAnsi="仿宋" w:eastAsia="仿宋" w:cs="仿宋"/>
          <w:spacing w:val="18"/>
          <w:sz w:val="29"/>
          <w:szCs w:val="29"/>
        </w:rPr>
        <w:t xml:space="preserve"> </w:t>
      </w:r>
      <w:r>
        <w:rPr>
          <w:rFonts w:ascii="仿宋" w:hAnsi="仿宋" w:eastAsia="仿宋" w:cs="仿宋"/>
          <w:spacing w:val="16"/>
          <w:sz w:val="29"/>
          <w:szCs w:val="29"/>
        </w:rPr>
        <w:t>企业是否建立健全生产安全事故隐患排查治理制度；3.企</w:t>
      </w:r>
      <w:r>
        <w:rPr>
          <w:rFonts w:ascii="仿宋" w:hAnsi="仿宋" w:eastAsia="仿宋" w:cs="仿宋"/>
          <w:spacing w:val="15"/>
          <w:sz w:val="29"/>
          <w:szCs w:val="29"/>
        </w:rPr>
        <w:t>业是否</w:t>
      </w:r>
    </w:p>
    <w:p w14:paraId="07E2CE1C">
      <w:pPr>
        <w:spacing w:line="350" w:lineRule="auto"/>
        <w:rPr>
          <w:rFonts w:ascii="仿宋" w:hAnsi="仿宋" w:eastAsia="仿宋" w:cs="仿宋"/>
          <w:sz w:val="29"/>
          <w:szCs w:val="29"/>
        </w:rPr>
        <w:sectPr>
          <w:headerReference r:id="rId6" w:type="default"/>
          <w:footerReference r:id="rId7" w:type="default"/>
          <w:pgSz w:w="11900" w:h="16820"/>
          <w:pgMar w:top="400" w:right="1110" w:bottom="1849" w:left="1629" w:header="0" w:footer="1470" w:gutter="0"/>
          <w:cols w:space="720" w:num="1"/>
        </w:sectPr>
      </w:pPr>
    </w:p>
    <w:p w14:paraId="4C407751">
      <w:pPr>
        <w:pStyle w:val="2"/>
        <w:spacing w:line="250" w:lineRule="auto"/>
      </w:pPr>
    </w:p>
    <w:p w14:paraId="5C851497">
      <w:pPr>
        <w:pStyle w:val="2"/>
        <w:spacing w:line="250" w:lineRule="auto"/>
      </w:pPr>
    </w:p>
    <w:p w14:paraId="05B9D738">
      <w:pPr>
        <w:pStyle w:val="2"/>
        <w:spacing w:line="250" w:lineRule="auto"/>
      </w:pPr>
    </w:p>
    <w:p w14:paraId="3CF8D3B5">
      <w:pPr>
        <w:pStyle w:val="2"/>
        <w:spacing w:line="250" w:lineRule="auto"/>
      </w:pPr>
    </w:p>
    <w:p w14:paraId="6C64A96A">
      <w:pPr>
        <w:pStyle w:val="2"/>
        <w:spacing w:line="251" w:lineRule="auto"/>
      </w:pPr>
    </w:p>
    <w:p w14:paraId="0F961F12">
      <w:pPr>
        <w:pStyle w:val="2"/>
        <w:spacing w:line="251" w:lineRule="auto"/>
      </w:pPr>
    </w:p>
    <w:p w14:paraId="1FE5B413">
      <w:pPr>
        <w:pStyle w:val="2"/>
        <w:spacing w:line="251" w:lineRule="auto"/>
      </w:pPr>
    </w:p>
    <w:p w14:paraId="42534F99">
      <w:pPr>
        <w:pStyle w:val="2"/>
        <w:spacing w:line="251" w:lineRule="auto"/>
      </w:pPr>
    </w:p>
    <w:p w14:paraId="5E533133">
      <w:pPr>
        <w:spacing w:before="98" w:line="344" w:lineRule="auto"/>
        <w:ind w:right="79"/>
        <w:rPr>
          <w:rFonts w:ascii="仿宋" w:hAnsi="仿宋" w:eastAsia="仿宋" w:cs="仿宋"/>
          <w:sz w:val="30"/>
          <w:szCs w:val="30"/>
        </w:rPr>
      </w:pPr>
      <w:r>
        <w:rPr>
          <w:rFonts w:ascii="仿宋" w:hAnsi="仿宋" w:eastAsia="仿宋" w:cs="仿宋"/>
          <w:spacing w:val="10"/>
          <w:sz w:val="30"/>
          <w:szCs w:val="30"/>
        </w:rPr>
        <w:t>按照要求设置安全生产管理机构或者配备专职安全生产管理人</w:t>
      </w:r>
      <w:r>
        <w:rPr>
          <w:rFonts w:ascii="仿宋" w:hAnsi="仿宋" w:eastAsia="仿宋" w:cs="仿宋"/>
          <w:spacing w:val="8"/>
          <w:sz w:val="30"/>
          <w:szCs w:val="30"/>
        </w:rPr>
        <w:t xml:space="preserve">  </w:t>
      </w:r>
      <w:r>
        <w:rPr>
          <w:rFonts w:ascii="仿宋" w:hAnsi="仿宋" w:eastAsia="仿宋" w:cs="仿宋"/>
          <w:spacing w:val="5"/>
          <w:sz w:val="30"/>
          <w:szCs w:val="30"/>
        </w:rPr>
        <w:t>员；4.企业主要负责人、企业名称、注册地址发生变更的，是否</w:t>
      </w:r>
      <w:r>
        <w:rPr>
          <w:rFonts w:ascii="仿宋" w:hAnsi="仿宋" w:eastAsia="仿宋" w:cs="仿宋"/>
          <w:spacing w:val="17"/>
          <w:sz w:val="30"/>
          <w:szCs w:val="30"/>
        </w:rPr>
        <w:t xml:space="preserve"> </w:t>
      </w:r>
      <w:r>
        <w:rPr>
          <w:rFonts w:ascii="仿宋" w:hAnsi="仿宋" w:eastAsia="仿宋" w:cs="仿宋"/>
          <w:spacing w:val="8"/>
          <w:sz w:val="30"/>
          <w:szCs w:val="30"/>
        </w:rPr>
        <w:t>在法律法规规定时限内办理相关变更手续；5.企业主要负责人、</w:t>
      </w:r>
      <w:r>
        <w:rPr>
          <w:rFonts w:ascii="仿宋" w:hAnsi="仿宋" w:eastAsia="仿宋" w:cs="仿宋"/>
          <w:spacing w:val="7"/>
          <w:sz w:val="30"/>
          <w:szCs w:val="30"/>
        </w:rPr>
        <w:t xml:space="preserve"> </w:t>
      </w:r>
      <w:r>
        <w:rPr>
          <w:rFonts w:ascii="仿宋" w:hAnsi="仿宋" w:eastAsia="仿宋" w:cs="仿宋"/>
          <w:spacing w:val="10"/>
          <w:sz w:val="30"/>
          <w:szCs w:val="30"/>
        </w:rPr>
        <w:t>安全生产管理人员自任职之日起6个月内，是否经主管部门对其</w:t>
      </w:r>
      <w:r>
        <w:rPr>
          <w:rFonts w:ascii="仿宋" w:hAnsi="仿宋" w:eastAsia="仿宋" w:cs="仿宋"/>
          <w:sz w:val="30"/>
          <w:szCs w:val="30"/>
        </w:rPr>
        <w:t xml:space="preserve"> </w:t>
      </w:r>
      <w:r>
        <w:rPr>
          <w:rFonts w:ascii="仿宋" w:hAnsi="仿宋" w:eastAsia="仿宋" w:cs="仿宋"/>
          <w:spacing w:val="5"/>
          <w:sz w:val="30"/>
          <w:szCs w:val="30"/>
        </w:rPr>
        <w:t>安全生产知识和管理能力考核合格；6.危险化学品企业是否按照</w:t>
      </w:r>
      <w:r>
        <w:rPr>
          <w:rFonts w:ascii="仿宋" w:hAnsi="仿宋" w:eastAsia="仿宋" w:cs="仿宋"/>
          <w:spacing w:val="13"/>
          <w:sz w:val="30"/>
          <w:szCs w:val="30"/>
        </w:rPr>
        <w:t xml:space="preserve"> </w:t>
      </w:r>
      <w:r>
        <w:rPr>
          <w:rFonts w:ascii="仿宋" w:hAnsi="仿宋" w:eastAsia="仿宋" w:cs="仿宋"/>
          <w:spacing w:val="7"/>
          <w:sz w:val="30"/>
          <w:szCs w:val="30"/>
        </w:rPr>
        <w:t>规定对重大危险源进行登记建档。7.工贸</w:t>
      </w:r>
      <w:r>
        <w:rPr>
          <w:rFonts w:ascii="仿宋" w:hAnsi="仿宋" w:eastAsia="仿宋" w:cs="仿宋"/>
          <w:spacing w:val="6"/>
          <w:sz w:val="30"/>
          <w:szCs w:val="30"/>
        </w:rPr>
        <w:t>企业主要负责人安全生</w:t>
      </w:r>
      <w:r>
        <w:rPr>
          <w:rFonts w:ascii="仿宋" w:hAnsi="仿宋" w:eastAsia="仿宋" w:cs="仿宋"/>
          <w:sz w:val="30"/>
          <w:szCs w:val="30"/>
        </w:rPr>
        <w:t xml:space="preserve"> </w:t>
      </w:r>
      <w:r>
        <w:rPr>
          <w:rFonts w:ascii="仿宋" w:hAnsi="仿宋" w:eastAsia="仿宋" w:cs="仿宋"/>
          <w:spacing w:val="11"/>
          <w:sz w:val="30"/>
          <w:szCs w:val="30"/>
        </w:rPr>
        <w:t>产管理人员自任职之日起6个月内，是否经主管部门</w:t>
      </w:r>
      <w:r>
        <w:rPr>
          <w:rFonts w:ascii="仿宋" w:hAnsi="仿宋" w:eastAsia="仿宋" w:cs="仿宋"/>
          <w:spacing w:val="10"/>
          <w:sz w:val="30"/>
          <w:szCs w:val="30"/>
        </w:rPr>
        <w:t>对其安全生</w:t>
      </w:r>
      <w:r>
        <w:rPr>
          <w:rFonts w:ascii="仿宋" w:hAnsi="仿宋" w:eastAsia="仿宋" w:cs="仿宋"/>
          <w:sz w:val="30"/>
          <w:szCs w:val="30"/>
        </w:rPr>
        <w:t xml:space="preserve"> </w:t>
      </w:r>
      <w:r>
        <w:rPr>
          <w:rFonts w:ascii="仿宋" w:hAnsi="仿宋" w:eastAsia="仿宋" w:cs="仿宋"/>
          <w:spacing w:val="5"/>
          <w:sz w:val="30"/>
          <w:szCs w:val="30"/>
        </w:rPr>
        <w:t>产知识和管理能力考核合格；8.工贸企业特种作</w:t>
      </w:r>
      <w:r>
        <w:rPr>
          <w:rFonts w:ascii="仿宋" w:hAnsi="仿宋" w:eastAsia="仿宋" w:cs="仿宋"/>
          <w:spacing w:val="4"/>
          <w:sz w:val="30"/>
          <w:szCs w:val="30"/>
        </w:rPr>
        <w:t>业人员是否按照</w:t>
      </w:r>
      <w:r>
        <w:rPr>
          <w:rFonts w:ascii="仿宋" w:hAnsi="仿宋" w:eastAsia="仿宋" w:cs="仿宋"/>
          <w:sz w:val="30"/>
          <w:szCs w:val="30"/>
        </w:rPr>
        <w:t xml:space="preserve"> </w:t>
      </w:r>
      <w:r>
        <w:rPr>
          <w:rFonts w:ascii="仿宋" w:hAnsi="仿宋" w:eastAsia="仿宋" w:cs="仿宋"/>
          <w:spacing w:val="4"/>
          <w:sz w:val="30"/>
          <w:szCs w:val="30"/>
        </w:rPr>
        <w:t>要求持证上岗；9.工贸企业有限空间作业是否按照</w:t>
      </w:r>
      <w:r>
        <w:rPr>
          <w:rFonts w:ascii="仿宋" w:hAnsi="仿宋" w:eastAsia="仿宋" w:cs="仿宋"/>
          <w:spacing w:val="3"/>
          <w:sz w:val="30"/>
          <w:szCs w:val="30"/>
        </w:rPr>
        <w:t>要求进行审</w:t>
      </w:r>
    </w:p>
    <w:p w14:paraId="0C653E2B">
      <w:pPr>
        <w:spacing w:before="4" w:line="222" w:lineRule="auto"/>
        <w:rPr>
          <w:rFonts w:ascii="仿宋" w:hAnsi="仿宋" w:eastAsia="仿宋" w:cs="仿宋"/>
          <w:sz w:val="30"/>
          <w:szCs w:val="30"/>
        </w:rPr>
      </w:pPr>
      <w:r>
        <w:rPr>
          <w:rFonts w:ascii="仿宋" w:hAnsi="仿宋" w:eastAsia="仿宋" w:cs="仿宋"/>
          <w:spacing w:val="2"/>
          <w:sz w:val="30"/>
          <w:szCs w:val="30"/>
        </w:rPr>
        <w:t>批；10.工贸企业安全生产事故应急救援预案备案情况。</w:t>
      </w:r>
    </w:p>
    <w:p w14:paraId="2AE4E721">
      <w:pPr>
        <w:spacing w:before="206" w:line="309" w:lineRule="auto"/>
        <w:ind w:firstLine="729"/>
        <w:rPr>
          <w:rFonts w:ascii="仿宋" w:hAnsi="仿宋" w:eastAsia="仿宋" w:cs="仿宋"/>
          <w:sz w:val="30"/>
          <w:szCs w:val="30"/>
        </w:rPr>
      </w:pPr>
      <w:r>
        <w:rPr>
          <w:rFonts w:ascii="楷体" w:hAnsi="楷体" w:eastAsia="楷体" w:cs="楷体"/>
          <w:spacing w:val="9"/>
          <w:sz w:val="30"/>
          <w:szCs w:val="30"/>
        </w:rPr>
        <w:t>(二)全旗煤矿开采企业</w:t>
      </w:r>
      <w:r>
        <w:rPr>
          <w:rFonts w:ascii="宋体" w:hAnsi="宋体" w:eastAsia="宋体" w:cs="宋体"/>
          <w:spacing w:val="9"/>
          <w:sz w:val="30"/>
          <w:szCs w:val="30"/>
        </w:rPr>
        <w:t>：</w:t>
      </w:r>
      <w:r>
        <w:rPr>
          <w:rFonts w:ascii="Times New Roman" w:hAnsi="Times New Roman" w:eastAsia="Times New Roman" w:cs="Times New Roman"/>
          <w:spacing w:val="9"/>
          <w:sz w:val="30"/>
          <w:szCs w:val="30"/>
        </w:rPr>
        <w:t>1.</w:t>
      </w:r>
      <w:r>
        <w:rPr>
          <w:rFonts w:ascii="仿宋" w:hAnsi="仿宋" w:eastAsia="仿宋" w:cs="仿宋"/>
          <w:spacing w:val="9"/>
          <w:sz w:val="30"/>
          <w:szCs w:val="30"/>
        </w:rPr>
        <w:t>煤矿证照有效性、采矿许可证、</w:t>
      </w:r>
      <w:r>
        <w:rPr>
          <w:rFonts w:ascii="仿宋" w:hAnsi="仿宋" w:eastAsia="仿宋" w:cs="仿宋"/>
          <w:spacing w:val="12"/>
          <w:sz w:val="30"/>
          <w:szCs w:val="30"/>
        </w:rPr>
        <w:t xml:space="preserve"> </w:t>
      </w:r>
      <w:r>
        <w:rPr>
          <w:rFonts w:ascii="仿宋" w:hAnsi="仿宋" w:eastAsia="仿宋" w:cs="仿宋"/>
          <w:spacing w:val="7"/>
          <w:sz w:val="30"/>
          <w:szCs w:val="30"/>
        </w:rPr>
        <w:t>安全生产许可证、营业执照、矿长资格证。2.生产企业投入是否</w:t>
      </w:r>
      <w:r>
        <w:rPr>
          <w:rFonts w:ascii="仿宋" w:hAnsi="仿宋" w:eastAsia="仿宋" w:cs="仿宋"/>
          <w:sz w:val="30"/>
          <w:szCs w:val="30"/>
        </w:rPr>
        <w:t xml:space="preserve"> </w:t>
      </w:r>
      <w:r>
        <w:rPr>
          <w:rFonts w:ascii="仿宋" w:hAnsi="仿宋" w:eastAsia="仿宋" w:cs="仿宋"/>
          <w:spacing w:val="6"/>
          <w:sz w:val="30"/>
          <w:szCs w:val="30"/>
        </w:rPr>
        <w:t>满足安全生产需求。3.煤矿安全生产管理制度是否健全且是否按</w:t>
      </w:r>
      <w:r>
        <w:rPr>
          <w:rFonts w:ascii="仿宋" w:hAnsi="仿宋" w:eastAsia="仿宋" w:cs="仿宋"/>
          <w:spacing w:val="18"/>
          <w:sz w:val="30"/>
          <w:szCs w:val="30"/>
        </w:rPr>
        <w:t xml:space="preserve"> </w:t>
      </w:r>
      <w:r>
        <w:rPr>
          <w:rFonts w:ascii="仿宋" w:hAnsi="仿宋" w:eastAsia="仿宋" w:cs="仿宋"/>
          <w:spacing w:val="3"/>
          <w:sz w:val="30"/>
          <w:szCs w:val="30"/>
        </w:rPr>
        <w:t>要求进行贯彻落实。</w:t>
      </w:r>
    </w:p>
    <w:p w14:paraId="5B44FE7F">
      <w:pPr>
        <w:spacing w:before="227" w:line="320" w:lineRule="auto"/>
        <w:ind w:right="125" w:firstLine="729"/>
        <w:rPr>
          <w:rFonts w:ascii="仿宋" w:hAnsi="仿宋" w:eastAsia="仿宋" w:cs="仿宋"/>
          <w:sz w:val="30"/>
          <w:szCs w:val="30"/>
        </w:rPr>
      </w:pPr>
      <w:r>
        <w:rPr>
          <w:rFonts w:ascii="仿宋" w:hAnsi="仿宋" w:eastAsia="仿宋" w:cs="仿宋"/>
          <w:spacing w:val="9"/>
          <w:sz w:val="30"/>
          <w:szCs w:val="30"/>
        </w:rPr>
        <w:t>(五)随机抽取检查对象范围：2025年1月1日至2025年12月</w:t>
      </w:r>
      <w:r>
        <w:rPr>
          <w:rFonts w:ascii="仿宋" w:hAnsi="仿宋" w:eastAsia="仿宋" w:cs="仿宋"/>
          <w:spacing w:val="11"/>
          <w:sz w:val="30"/>
          <w:szCs w:val="30"/>
        </w:rPr>
        <w:t xml:space="preserve"> </w:t>
      </w:r>
      <w:r>
        <w:rPr>
          <w:rFonts w:ascii="仿宋" w:hAnsi="仿宋" w:eastAsia="仿宋" w:cs="仿宋"/>
          <w:spacing w:val="5"/>
          <w:sz w:val="30"/>
          <w:szCs w:val="30"/>
        </w:rPr>
        <w:t>31日，准格尔旗应急管理局负责对辖区范围内2025年度执法计划</w:t>
      </w:r>
      <w:r>
        <w:rPr>
          <w:rFonts w:ascii="仿宋" w:hAnsi="仿宋" w:eastAsia="仿宋" w:cs="仿宋"/>
          <w:spacing w:val="11"/>
          <w:sz w:val="30"/>
          <w:szCs w:val="30"/>
        </w:rPr>
        <w:t xml:space="preserve"> </w:t>
      </w:r>
      <w:r>
        <w:rPr>
          <w:rFonts w:ascii="仿宋" w:hAnsi="仿宋" w:eastAsia="仿宋" w:cs="仿宋"/>
          <w:spacing w:val="6"/>
          <w:sz w:val="30"/>
          <w:szCs w:val="30"/>
        </w:rPr>
        <w:t>中的生产经营单位；近两年内隐患排查治理</w:t>
      </w:r>
      <w:r>
        <w:rPr>
          <w:rFonts w:ascii="仿宋" w:hAnsi="仿宋" w:eastAsia="仿宋" w:cs="仿宋"/>
          <w:spacing w:val="5"/>
          <w:sz w:val="30"/>
          <w:szCs w:val="30"/>
        </w:rPr>
        <w:t>工作不力的生产经营</w:t>
      </w:r>
      <w:r>
        <w:rPr>
          <w:rFonts w:ascii="仿宋" w:hAnsi="仿宋" w:eastAsia="仿宋" w:cs="仿宋"/>
          <w:sz w:val="30"/>
          <w:szCs w:val="30"/>
        </w:rPr>
        <w:t xml:space="preserve"> </w:t>
      </w:r>
      <w:r>
        <w:rPr>
          <w:rFonts w:ascii="仿宋" w:hAnsi="仿宋" w:eastAsia="仿宋" w:cs="仿宋"/>
          <w:spacing w:val="7"/>
          <w:sz w:val="30"/>
          <w:szCs w:val="30"/>
        </w:rPr>
        <w:t>单位；结合阶段性或专项工作部署，进行专项整治行业领</w:t>
      </w:r>
      <w:r>
        <w:rPr>
          <w:rFonts w:ascii="仿宋" w:hAnsi="仿宋" w:eastAsia="仿宋" w:cs="仿宋"/>
          <w:spacing w:val="6"/>
          <w:sz w:val="30"/>
          <w:szCs w:val="30"/>
        </w:rPr>
        <w:t>域的生</w:t>
      </w:r>
      <w:r>
        <w:rPr>
          <w:rFonts w:ascii="仿宋" w:hAnsi="仿宋" w:eastAsia="仿宋" w:cs="仿宋"/>
          <w:sz w:val="30"/>
          <w:szCs w:val="30"/>
        </w:rPr>
        <w:t xml:space="preserve"> </w:t>
      </w:r>
      <w:r>
        <w:rPr>
          <w:rFonts w:ascii="仿宋" w:hAnsi="仿宋" w:eastAsia="仿宋" w:cs="仿宋"/>
          <w:spacing w:val="8"/>
          <w:sz w:val="30"/>
          <w:szCs w:val="30"/>
        </w:rPr>
        <w:t>产经营单位；其他需要进行执法检查的生产经营单位。</w:t>
      </w:r>
    </w:p>
    <w:p w14:paraId="6EDDD73F">
      <w:pPr>
        <w:spacing w:before="196" w:line="304" w:lineRule="auto"/>
        <w:ind w:right="97" w:firstLine="804"/>
        <w:rPr>
          <w:rFonts w:ascii="仿宋" w:hAnsi="仿宋" w:eastAsia="仿宋" w:cs="仿宋"/>
          <w:sz w:val="30"/>
          <w:szCs w:val="30"/>
        </w:rPr>
      </w:pPr>
      <w:r>
        <w:rPr>
          <w:rFonts w:ascii="楷体" w:hAnsi="楷体" w:eastAsia="楷体" w:cs="楷体"/>
          <w:b/>
          <w:bCs/>
          <w:spacing w:val="10"/>
          <w:sz w:val="30"/>
          <w:szCs w:val="30"/>
        </w:rPr>
        <w:t>(六)随机抽取监管执法人员范围</w:t>
      </w:r>
      <w:r>
        <w:rPr>
          <w:rFonts w:ascii="仿宋" w:hAnsi="仿宋" w:eastAsia="仿宋" w:cs="仿宋"/>
          <w:b/>
          <w:bCs/>
          <w:spacing w:val="10"/>
          <w:sz w:val="30"/>
          <w:szCs w:val="30"/>
        </w:rPr>
        <w:t>：</w:t>
      </w:r>
      <w:r>
        <w:rPr>
          <w:rFonts w:ascii="仿宋" w:hAnsi="仿宋" w:eastAsia="仿宋" w:cs="仿宋"/>
          <w:spacing w:val="10"/>
          <w:sz w:val="30"/>
          <w:szCs w:val="30"/>
        </w:rPr>
        <w:t>我局基础股、危化股和</w:t>
      </w:r>
      <w:r>
        <w:rPr>
          <w:rFonts w:ascii="仿宋" w:hAnsi="仿宋" w:eastAsia="仿宋" w:cs="仿宋"/>
          <w:spacing w:val="6"/>
          <w:sz w:val="30"/>
          <w:szCs w:val="30"/>
        </w:rPr>
        <w:t xml:space="preserve"> </w:t>
      </w:r>
      <w:r>
        <w:rPr>
          <w:rFonts w:ascii="仿宋" w:hAnsi="仿宋" w:eastAsia="仿宋" w:cs="仿宋"/>
          <w:spacing w:val="12"/>
          <w:sz w:val="30"/>
          <w:szCs w:val="30"/>
        </w:rPr>
        <w:t>应急管理综合行政执法大队取得有效执法证件(安全生产监管执</w:t>
      </w:r>
      <w:r>
        <w:rPr>
          <w:rFonts w:ascii="仿宋" w:hAnsi="仿宋" w:eastAsia="仿宋" w:cs="仿宋"/>
          <w:spacing w:val="7"/>
          <w:sz w:val="30"/>
          <w:szCs w:val="30"/>
        </w:rPr>
        <w:t xml:space="preserve"> </w:t>
      </w:r>
      <w:r>
        <w:rPr>
          <w:rFonts w:ascii="仿宋" w:hAnsi="仿宋" w:eastAsia="仿宋" w:cs="仿宋"/>
          <w:spacing w:val="15"/>
          <w:sz w:val="30"/>
          <w:szCs w:val="30"/>
        </w:rPr>
        <w:t>法证等)的在编在岗工作人员均在随机抽取范围。</w:t>
      </w:r>
    </w:p>
    <w:p w14:paraId="0CAFC9AB">
      <w:pPr>
        <w:spacing w:line="304" w:lineRule="auto"/>
        <w:rPr>
          <w:rFonts w:ascii="仿宋" w:hAnsi="仿宋" w:eastAsia="仿宋" w:cs="仿宋"/>
          <w:sz w:val="30"/>
          <w:szCs w:val="30"/>
        </w:rPr>
        <w:sectPr>
          <w:headerReference r:id="rId8" w:type="default"/>
          <w:footerReference r:id="rId9" w:type="default"/>
          <w:pgSz w:w="11900" w:h="16820"/>
          <w:pgMar w:top="400" w:right="1429" w:bottom="1767" w:left="1750" w:header="0" w:footer="1378" w:gutter="0"/>
          <w:cols w:space="720" w:num="1"/>
        </w:sectPr>
      </w:pPr>
    </w:p>
    <w:p w14:paraId="37545722">
      <w:pPr>
        <w:pStyle w:val="2"/>
        <w:spacing w:line="273" w:lineRule="auto"/>
      </w:pPr>
    </w:p>
    <w:p w14:paraId="7816900D">
      <w:pPr>
        <w:pStyle w:val="2"/>
        <w:spacing w:line="273" w:lineRule="auto"/>
      </w:pPr>
    </w:p>
    <w:p w14:paraId="7B291E0C">
      <w:pPr>
        <w:pStyle w:val="2"/>
        <w:spacing w:line="273" w:lineRule="auto"/>
      </w:pPr>
    </w:p>
    <w:p w14:paraId="6CAC0ACB">
      <w:pPr>
        <w:pStyle w:val="2"/>
        <w:spacing w:line="273" w:lineRule="auto"/>
      </w:pPr>
    </w:p>
    <w:p w14:paraId="058DE300">
      <w:pPr>
        <w:pStyle w:val="2"/>
        <w:spacing w:line="273" w:lineRule="auto"/>
      </w:pPr>
    </w:p>
    <w:p w14:paraId="7096C0A5">
      <w:pPr>
        <w:pStyle w:val="2"/>
        <w:spacing w:line="273" w:lineRule="auto"/>
      </w:pPr>
    </w:p>
    <w:p w14:paraId="122C5CA9">
      <w:pPr>
        <w:pStyle w:val="2"/>
        <w:spacing w:line="273" w:lineRule="auto"/>
      </w:pPr>
    </w:p>
    <w:p w14:paraId="51C3D1F8">
      <w:pPr>
        <w:spacing w:before="101" w:line="335" w:lineRule="auto"/>
        <w:ind w:left="15" w:right="5" w:firstLine="799"/>
        <w:jc w:val="both"/>
        <w:rPr>
          <w:rFonts w:ascii="仿宋" w:hAnsi="仿宋" w:eastAsia="仿宋" w:cs="仿宋"/>
          <w:sz w:val="31"/>
          <w:szCs w:val="31"/>
        </w:rPr>
      </w:pPr>
      <w:r>
        <w:rPr>
          <w:rFonts w:ascii="楷体" w:hAnsi="楷体" w:eastAsia="楷体" w:cs="楷体"/>
          <w:spacing w:val="1"/>
          <w:sz w:val="31"/>
          <w:szCs w:val="31"/>
        </w:rPr>
        <w:t>(七)公开执法检查结果</w:t>
      </w:r>
      <w:r>
        <w:rPr>
          <w:rFonts w:ascii="仿宋" w:hAnsi="仿宋" w:eastAsia="仿宋" w:cs="仿宋"/>
          <w:spacing w:val="1"/>
          <w:sz w:val="31"/>
          <w:szCs w:val="31"/>
        </w:rPr>
        <w:t>：执法人员对随机抽取的检</w:t>
      </w:r>
      <w:r>
        <w:rPr>
          <w:rFonts w:ascii="仿宋" w:hAnsi="仿宋" w:eastAsia="仿宋" w:cs="仿宋"/>
          <w:sz w:val="31"/>
          <w:szCs w:val="31"/>
        </w:rPr>
        <w:t xml:space="preserve">查对象 </w:t>
      </w:r>
      <w:r>
        <w:rPr>
          <w:rFonts w:ascii="仿宋" w:hAnsi="仿宋" w:eastAsia="仿宋" w:cs="仿宋"/>
          <w:spacing w:val="-4"/>
          <w:sz w:val="31"/>
          <w:szCs w:val="31"/>
        </w:rPr>
        <w:t>开展执法检查结束后，要在保护生产经营单位涉密信息和个人隐</w:t>
      </w:r>
      <w:r>
        <w:rPr>
          <w:rFonts w:ascii="仿宋" w:hAnsi="仿宋" w:eastAsia="仿宋" w:cs="仿宋"/>
          <w:spacing w:val="9"/>
          <w:sz w:val="31"/>
          <w:szCs w:val="31"/>
        </w:rPr>
        <w:t xml:space="preserve"> </w:t>
      </w:r>
      <w:r>
        <w:rPr>
          <w:rFonts w:ascii="仿宋" w:hAnsi="仿宋" w:eastAsia="仿宋" w:cs="仿宋"/>
          <w:spacing w:val="-3"/>
          <w:sz w:val="31"/>
          <w:szCs w:val="31"/>
        </w:rPr>
        <w:t>私的情况下，及时向社会公众公开执法监察情况和查处结果。</w:t>
      </w:r>
    </w:p>
    <w:p w14:paraId="516EE99E">
      <w:pPr>
        <w:spacing w:before="4" w:line="222" w:lineRule="auto"/>
        <w:ind w:left="649"/>
        <w:outlineLvl w:val="2"/>
        <w:rPr>
          <w:rFonts w:ascii="黑体" w:hAnsi="黑体" w:eastAsia="黑体" w:cs="黑体"/>
          <w:sz w:val="31"/>
          <w:szCs w:val="31"/>
        </w:rPr>
      </w:pPr>
      <w:r>
        <w:rPr>
          <w:rFonts w:ascii="黑体" w:hAnsi="黑体" w:eastAsia="黑体" w:cs="黑体"/>
          <w:b/>
          <w:bCs/>
          <w:spacing w:val="-6"/>
          <w:sz w:val="31"/>
          <w:szCs w:val="31"/>
        </w:rPr>
        <w:t>三、工作要求</w:t>
      </w:r>
    </w:p>
    <w:p w14:paraId="5E6AA03B">
      <w:pPr>
        <w:spacing w:before="186" w:line="223" w:lineRule="auto"/>
        <w:ind w:left="814"/>
        <w:rPr>
          <w:rFonts w:ascii="楷体" w:hAnsi="楷体" w:eastAsia="楷体" w:cs="楷体"/>
          <w:sz w:val="31"/>
          <w:szCs w:val="31"/>
        </w:rPr>
      </w:pPr>
      <w:r>
        <w:rPr>
          <w:rFonts w:ascii="楷体" w:hAnsi="楷体" w:eastAsia="楷体" w:cs="楷体"/>
          <w:spacing w:val="9"/>
          <w:sz w:val="31"/>
          <w:szCs w:val="31"/>
        </w:rPr>
        <w:t>(一)对监管执法人员的要求</w:t>
      </w:r>
    </w:p>
    <w:p w14:paraId="58BF7D3C">
      <w:pPr>
        <w:spacing w:before="188" w:line="333" w:lineRule="auto"/>
        <w:ind w:left="15" w:right="4" w:firstLine="629"/>
        <w:jc w:val="both"/>
        <w:rPr>
          <w:rFonts w:ascii="仿宋" w:hAnsi="仿宋" w:eastAsia="仿宋" w:cs="仿宋"/>
          <w:sz w:val="31"/>
          <w:szCs w:val="31"/>
        </w:rPr>
      </w:pPr>
      <w:r>
        <w:rPr>
          <w:rFonts w:ascii="仿宋" w:hAnsi="仿宋" w:eastAsia="仿宋" w:cs="仿宋"/>
          <w:spacing w:val="-5"/>
          <w:sz w:val="31"/>
          <w:szCs w:val="31"/>
        </w:rPr>
        <w:t>根据基础股、危化股和综合行政执法大队被检查单位的行业</w:t>
      </w:r>
      <w:r>
        <w:rPr>
          <w:rFonts w:ascii="仿宋" w:hAnsi="仿宋" w:eastAsia="仿宋" w:cs="仿宋"/>
          <w:spacing w:val="9"/>
          <w:sz w:val="31"/>
          <w:szCs w:val="31"/>
        </w:rPr>
        <w:t xml:space="preserve"> </w:t>
      </w:r>
      <w:r>
        <w:rPr>
          <w:rFonts w:ascii="仿宋" w:hAnsi="仿宋" w:eastAsia="仿宋" w:cs="仿宋"/>
          <w:spacing w:val="7"/>
          <w:sz w:val="31"/>
          <w:szCs w:val="31"/>
        </w:rPr>
        <w:t>特点和监管职责分工以及检查任务需要，从监管危险化学品企</w:t>
      </w:r>
      <w:r>
        <w:rPr>
          <w:rFonts w:ascii="仿宋" w:hAnsi="仿宋" w:eastAsia="仿宋" w:cs="仿宋"/>
          <w:spacing w:val="11"/>
          <w:sz w:val="31"/>
          <w:szCs w:val="31"/>
        </w:rPr>
        <w:t xml:space="preserve"> </w:t>
      </w:r>
      <w:r>
        <w:rPr>
          <w:rFonts w:ascii="仿宋" w:hAnsi="仿宋" w:eastAsia="仿宋" w:cs="仿宋"/>
          <w:spacing w:val="-4"/>
          <w:sz w:val="31"/>
          <w:szCs w:val="31"/>
        </w:rPr>
        <w:t>业、工贸企业和矿山企业执法人员名录库中</w:t>
      </w:r>
      <w:r>
        <w:rPr>
          <w:rFonts w:hint="eastAsia" w:ascii="仿宋" w:hAnsi="仿宋" w:eastAsia="仿宋" w:cs="仿宋"/>
          <w:spacing w:val="-4"/>
          <w:sz w:val="31"/>
          <w:szCs w:val="31"/>
          <w:lang w:val="en-US" w:eastAsia="zh-CN"/>
        </w:rPr>
        <w:t>随机</w:t>
      </w:r>
      <w:bookmarkStart w:id="0" w:name="_GoBack"/>
      <w:bookmarkEnd w:id="0"/>
      <w:r>
        <w:rPr>
          <w:rFonts w:ascii="仿宋" w:hAnsi="仿宋" w:eastAsia="仿宋" w:cs="仿宋"/>
          <w:spacing w:val="-4"/>
          <w:sz w:val="31"/>
          <w:szCs w:val="31"/>
        </w:rPr>
        <w:t>抽取法定数量的</w:t>
      </w:r>
      <w:r>
        <w:rPr>
          <w:rFonts w:ascii="仿宋" w:hAnsi="仿宋" w:eastAsia="仿宋" w:cs="仿宋"/>
          <w:spacing w:val="11"/>
          <w:sz w:val="31"/>
          <w:szCs w:val="31"/>
        </w:rPr>
        <w:t xml:space="preserve"> </w:t>
      </w:r>
      <w:r>
        <w:rPr>
          <w:rFonts w:ascii="仿宋" w:hAnsi="仿宋" w:eastAsia="仿宋" w:cs="仿宋"/>
          <w:spacing w:val="-4"/>
          <w:sz w:val="31"/>
          <w:szCs w:val="31"/>
        </w:rPr>
        <w:t>执法人员。执法人员确定后，根据检查对象和确定的检查事项实</w:t>
      </w:r>
      <w:r>
        <w:rPr>
          <w:rFonts w:ascii="仿宋" w:hAnsi="仿宋" w:eastAsia="仿宋" w:cs="仿宋"/>
          <w:spacing w:val="8"/>
          <w:sz w:val="31"/>
          <w:szCs w:val="31"/>
        </w:rPr>
        <w:t xml:space="preserve"> </w:t>
      </w:r>
      <w:r>
        <w:rPr>
          <w:rFonts w:ascii="仿宋" w:hAnsi="仿宋" w:eastAsia="仿宋" w:cs="仿宋"/>
          <w:spacing w:val="1"/>
          <w:sz w:val="31"/>
          <w:szCs w:val="31"/>
        </w:rPr>
        <w:t>施执法检查，必要时配备专家随同检查(专家从相关专家库中随</w:t>
      </w:r>
      <w:r>
        <w:rPr>
          <w:rFonts w:ascii="仿宋" w:hAnsi="仿宋" w:eastAsia="仿宋" w:cs="仿宋"/>
          <w:spacing w:val="18"/>
          <w:sz w:val="31"/>
          <w:szCs w:val="31"/>
        </w:rPr>
        <w:t xml:space="preserve"> </w:t>
      </w:r>
      <w:r>
        <w:rPr>
          <w:rFonts w:ascii="仿宋" w:hAnsi="仿宋" w:eastAsia="仿宋" w:cs="仿宋"/>
          <w:spacing w:val="3"/>
          <w:sz w:val="31"/>
          <w:szCs w:val="31"/>
        </w:rPr>
        <w:t>即抽取，但与检查对象存在利害关系的专家，必须回避)。</w:t>
      </w:r>
    </w:p>
    <w:p w14:paraId="772AD7AB">
      <w:pPr>
        <w:spacing w:before="13" w:line="332" w:lineRule="auto"/>
        <w:ind w:firstLine="645"/>
        <w:jc w:val="both"/>
        <w:rPr>
          <w:rFonts w:ascii="仿宋" w:hAnsi="仿宋" w:eastAsia="仿宋" w:cs="仿宋"/>
          <w:sz w:val="31"/>
          <w:szCs w:val="31"/>
        </w:rPr>
      </w:pPr>
      <w:r>
        <w:rPr>
          <w:rFonts w:ascii="仿宋" w:hAnsi="仿宋" w:eastAsia="仿宋" w:cs="仿宋"/>
          <w:spacing w:val="-5"/>
          <w:sz w:val="31"/>
          <w:szCs w:val="31"/>
        </w:rPr>
        <w:t>安全生产监管人员开展现场抽查工作时，需遵守有关国家法</w:t>
      </w:r>
      <w:r>
        <w:rPr>
          <w:rFonts w:ascii="仿宋" w:hAnsi="仿宋" w:eastAsia="仿宋" w:cs="仿宋"/>
          <w:spacing w:val="9"/>
          <w:sz w:val="31"/>
          <w:szCs w:val="31"/>
        </w:rPr>
        <w:t xml:space="preserve"> </w:t>
      </w:r>
      <w:r>
        <w:rPr>
          <w:rFonts w:ascii="仿宋" w:hAnsi="仿宋" w:eastAsia="仿宋" w:cs="仿宋"/>
          <w:spacing w:val="-3"/>
          <w:sz w:val="31"/>
          <w:szCs w:val="31"/>
        </w:rPr>
        <w:t>律法规的要求进行现场执法，执法流程和执法文书的制定应遵守</w:t>
      </w:r>
      <w:r>
        <w:rPr>
          <w:rFonts w:ascii="仿宋" w:hAnsi="仿宋" w:eastAsia="仿宋" w:cs="仿宋"/>
          <w:spacing w:val="2"/>
          <w:sz w:val="31"/>
          <w:szCs w:val="31"/>
        </w:rPr>
        <w:t xml:space="preserve"> </w:t>
      </w:r>
      <w:r>
        <w:rPr>
          <w:rFonts w:ascii="仿宋" w:hAnsi="仿宋" w:eastAsia="仿宋" w:cs="仿宋"/>
          <w:spacing w:val="1"/>
          <w:sz w:val="31"/>
          <w:szCs w:val="31"/>
        </w:rPr>
        <w:t>《安全生产执法手册》,做到抽查留痕。发现安全生产违法行为</w:t>
      </w:r>
      <w:r>
        <w:rPr>
          <w:rFonts w:ascii="仿宋" w:hAnsi="仿宋" w:eastAsia="仿宋" w:cs="仿宋"/>
          <w:spacing w:val="11"/>
          <w:sz w:val="31"/>
          <w:szCs w:val="31"/>
        </w:rPr>
        <w:t xml:space="preserve"> </w:t>
      </w:r>
      <w:r>
        <w:rPr>
          <w:rFonts w:ascii="仿宋" w:hAnsi="仿宋" w:eastAsia="仿宋" w:cs="仿宋"/>
          <w:spacing w:val="-14"/>
          <w:sz w:val="31"/>
          <w:szCs w:val="31"/>
        </w:rPr>
        <w:t>的，应当责令改正，涉及行政处罚的依法进行处理。现场抽查工作</w:t>
      </w:r>
      <w:r>
        <w:rPr>
          <w:rFonts w:ascii="仿宋" w:hAnsi="仿宋" w:eastAsia="仿宋" w:cs="仿宋"/>
          <w:spacing w:val="5"/>
          <w:sz w:val="31"/>
          <w:szCs w:val="31"/>
        </w:rPr>
        <w:t xml:space="preserve"> </w:t>
      </w:r>
      <w:r>
        <w:rPr>
          <w:rFonts w:ascii="仿宋" w:hAnsi="仿宋" w:eastAsia="仿宋" w:cs="仿宋"/>
          <w:spacing w:val="2"/>
          <w:sz w:val="31"/>
          <w:szCs w:val="31"/>
        </w:rPr>
        <w:t>结束后，实施抽查的执法人员应在7个工作日内完成该次抽查工</w:t>
      </w:r>
      <w:r>
        <w:rPr>
          <w:rFonts w:ascii="仿宋" w:hAnsi="仿宋" w:eastAsia="仿宋" w:cs="仿宋"/>
          <w:spacing w:val="3"/>
          <w:sz w:val="31"/>
          <w:szCs w:val="31"/>
        </w:rPr>
        <w:t xml:space="preserve"> </w:t>
      </w:r>
      <w:r>
        <w:rPr>
          <w:rFonts w:ascii="仿宋" w:hAnsi="仿宋" w:eastAsia="仿宋" w:cs="仿宋"/>
          <w:spacing w:val="-3"/>
          <w:sz w:val="31"/>
          <w:szCs w:val="31"/>
        </w:rPr>
        <w:t>作的信息录入与更新工作。对随机抽查发现涉及行政处罚的，应</w:t>
      </w:r>
      <w:r>
        <w:rPr>
          <w:rFonts w:ascii="仿宋" w:hAnsi="仿宋" w:eastAsia="仿宋" w:cs="仿宋"/>
          <w:sz w:val="31"/>
          <w:szCs w:val="31"/>
        </w:rPr>
        <w:t xml:space="preserve"> </w:t>
      </w:r>
      <w:r>
        <w:rPr>
          <w:rFonts w:ascii="仿宋" w:hAnsi="仿宋" w:eastAsia="仿宋" w:cs="仿宋"/>
          <w:spacing w:val="-3"/>
          <w:sz w:val="31"/>
          <w:szCs w:val="31"/>
        </w:rPr>
        <w:t>在法定期限内作出处理，并向社会公布。</w:t>
      </w:r>
    </w:p>
    <w:p w14:paraId="347C96A8">
      <w:pPr>
        <w:spacing w:line="225" w:lineRule="auto"/>
        <w:ind w:left="814"/>
        <w:rPr>
          <w:rFonts w:ascii="楷体" w:hAnsi="楷体" w:eastAsia="楷体" w:cs="楷体"/>
          <w:sz w:val="31"/>
          <w:szCs w:val="31"/>
        </w:rPr>
      </w:pPr>
      <w:r>
        <w:rPr>
          <w:rFonts w:ascii="楷体" w:hAnsi="楷体" w:eastAsia="楷体" w:cs="楷体"/>
          <w:spacing w:val="16"/>
          <w:sz w:val="31"/>
          <w:szCs w:val="31"/>
        </w:rPr>
        <w:t>(二)告知检查对象</w:t>
      </w:r>
    </w:p>
    <w:p w14:paraId="52A7D00A">
      <w:pPr>
        <w:spacing w:before="201" w:line="333" w:lineRule="auto"/>
        <w:ind w:left="15" w:right="7" w:firstLine="629"/>
        <w:jc w:val="both"/>
        <w:rPr>
          <w:rFonts w:ascii="仿宋" w:hAnsi="仿宋" w:eastAsia="仿宋" w:cs="仿宋"/>
          <w:sz w:val="31"/>
          <w:szCs w:val="31"/>
        </w:rPr>
      </w:pPr>
      <w:r>
        <w:rPr>
          <w:rFonts w:ascii="仿宋" w:hAnsi="仿宋" w:eastAsia="仿宋" w:cs="仿宋"/>
          <w:spacing w:val="-5"/>
          <w:sz w:val="31"/>
          <w:szCs w:val="31"/>
        </w:rPr>
        <w:t>随机抽取的检查对象确定后，应及时告知拟检查对象该次检</w:t>
      </w:r>
      <w:r>
        <w:rPr>
          <w:rFonts w:ascii="仿宋" w:hAnsi="仿宋" w:eastAsia="仿宋" w:cs="仿宋"/>
          <w:spacing w:val="11"/>
          <w:sz w:val="31"/>
          <w:szCs w:val="31"/>
        </w:rPr>
        <w:t xml:space="preserve"> </w:t>
      </w:r>
      <w:r>
        <w:rPr>
          <w:rFonts w:ascii="仿宋" w:hAnsi="仿宋" w:eastAsia="仿宋" w:cs="仿宋"/>
          <w:spacing w:val="-4"/>
          <w:sz w:val="31"/>
          <w:szCs w:val="31"/>
        </w:rPr>
        <w:t>查内容、检查时间和相关要求。需要采取暗访形式检查的，暂不</w:t>
      </w:r>
      <w:r>
        <w:rPr>
          <w:rFonts w:ascii="仿宋" w:hAnsi="仿宋" w:eastAsia="仿宋" w:cs="仿宋"/>
          <w:spacing w:val="8"/>
          <w:sz w:val="31"/>
          <w:szCs w:val="31"/>
        </w:rPr>
        <w:t xml:space="preserve"> </w:t>
      </w:r>
      <w:r>
        <w:rPr>
          <w:rFonts w:ascii="仿宋" w:hAnsi="仿宋" w:eastAsia="仿宋" w:cs="仿宋"/>
          <w:spacing w:val="-3"/>
          <w:sz w:val="31"/>
          <w:szCs w:val="31"/>
        </w:rPr>
        <w:t>告知检查对象，相关检查人员应当注意保密。</w:t>
      </w:r>
    </w:p>
    <w:p w14:paraId="1D741392">
      <w:pPr>
        <w:spacing w:line="333" w:lineRule="auto"/>
        <w:rPr>
          <w:rFonts w:ascii="仿宋" w:hAnsi="仿宋" w:eastAsia="仿宋" w:cs="仿宋"/>
          <w:sz w:val="31"/>
          <w:szCs w:val="31"/>
        </w:rPr>
        <w:sectPr>
          <w:footerReference r:id="rId10" w:type="default"/>
          <w:pgSz w:w="11900" w:h="16820"/>
          <w:pgMar w:top="400" w:right="1675" w:bottom="1846" w:left="1625" w:header="0" w:footer="1441" w:gutter="0"/>
          <w:cols w:space="720" w:num="1"/>
        </w:sectPr>
      </w:pPr>
    </w:p>
    <w:p w14:paraId="49EAA497">
      <w:pPr>
        <w:pStyle w:val="2"/>
        <w:spacing w:line="248" w:lineRule="auto"/>
      </w:pPr>
    </w:p>
    <w:p w14:paraId="03CF2BBD">
      <w:pPr>
        <w:pStyle w:val="2"/>
        <w:spacing w:line="248" w:lineRule="auto"/>
      </w:pPr>
    </w:p>
    <w:p w14:paraId="3F591115">
      <w:pPr>
        <w:pStyle w:val="2"/>
        <w:spacing w:line="248" w:lineRule="auto"/>
      </w:pPr>
    </w:p>
    <w:p w14:paraId="1B043745">
      <w:pPr>
        <w:pStyle w:val="2"/>
        <w:spacing w:line="248" w:lineRule="auto"/>
      </w:pPr>
    </w:p>
    <w:p w14:paraId="308182E7">
      <w:pPr>
        <w:pStyle w:val="2"/>
        <w:spacing w:line="249" w:lineRule="auto"/>
      </w:pPr>
    </w:p>
    <w:p w14:paraId="2C61C504">
      <w:pPr>
        <w:pStyle w:val="2"/>
        <w:spacing w:line="249" w:lineRule="auto"/>
      </w:pPr>
    </w:p>
    <w:p w14:paraId="7947C657">
      <w:pPr>
        <w:pStyle w:val="2"/>
        <w:spacing w:line="249" w:lineRule="auto"/>
      </w:pPr>
    </w:p>
    <w:p w14:paraId="0098D26C">
      <w:pPr>
        <w:pStyle w:val="2"/>
        <w:spacing w:line="249" w:lineRule="auto"/>
      </w:pPr>
    </w:p>
    <w:p w14:paraId="7F00AB80">
      <w:pPr>
        <w:spacing w:before="98" w:line="232" w:lineRule="auto"/>
        <w:ind w:left="795"/>
        <w:rPr>
          <w:rFonts w:ascii="楷体" w:hAnsi="楷体" w:eastAsia="楷体" w:cs="楷体"/>
          <w:sz w:val="30"/>
          <w:szCs w:val="30"/>
        </w:rPr>
      </w:pPr>
      <w:r>
        <w:rPr>
          <w:rFonts w:ascii="楷体" w:hAnsi="楷体" w:eastAsia="楷体" w:cs="楷体"/>
          <w:spacing w:val="30"/>
          <w:sz w:val="30"/>
          <w:szCs w:val="30"/>
        </w:rPr>
        <w:t>(三)信息公开</w:t>
      </w:r>
    </w:p>
    <w:p w14:paraId="205B5117">
      <w:pPr>
        <w:spacing w:before="169" w:line="361" w:lineRule="auto"/>
        <w:ind w:left="14" w:firstLine="639"/>
        <w:rPr>
          <w:rFonts w:ascii="仿宋" w:hAnsi="仿宋" w:eastAsia="仿宋" w:cs="仿宋"/>
          <w:sz w:val="30"/>
          <w:szCs w:val="30"/>
        </w:rPr>
      </w:pPr>
      <w:r>
        <w:rPr>
          <w:rFonts w:ascii="仿宋" w:hAnsi="仿宋" w:eastAsia="仿宋" w:cs="仿宋"/>
          <w:spacing w:val="5"/>
          <w:sz w:val="30"/>
          <w:szCs w:val="30"/>
        </w:rPr>
        <w:t>按照信息公开要求，将每季度随机抽查情况和查处结果</w:t>
      </w:r>
      <w:r>
        <w:rPr>
          <w:rFonts w:ascii="仿宋" w:hAnsi="仿宋" w:eastAsia="仿宋" w:cs="仿宋"/>
          <w:spacing w:val="4"/>
          <w:sz w:val="30"/>
          <w:szCs w:val="30"/>
        </w:rPr>
        <w:t>在次</w:t>
      </w:r>
      <w:r>
        <w:rPr>
          <w:rFonts w:ascii="仿宋" w:hAnsi="仿宋" w:eastAsia="仿宋" w:cs="仿宋"/>
          <w:sz w:val="30"/>
          <w:szCs w:val="30"/>
        </w:rPr>
        <w:t xml:space="preserve"> </w:t>
      </w:r>
      <w:r>
        <w:rPr>
          <w:rFonts w:ascii="仿宋" w:hAnsi="仿宋" w:eastAsia="仿宋" w:cs="仿宋"/>
          <w:spacing w:val="1"/>
          <w:sz w:val="30"/>
          <w:szCs w:val="30"/>
        </w:rPr>
        <w:t>季度第一个月10日内及时向社会公开，接受社会监督。</w:t>
      </w:r>
    </w:p>
    <w:p w14:paraId="268487EF">
      <w:pPr>
        <w:pStyle w:val="2"/>
        <w:spacing w:line="428" w:lineRule="auto"/>
      </w:pPr>
    </w:p>
    <w:p w14:paraId="7C13DDAF">
      <w:pPr>
        <w:spacing w:before="98" w:line="221" w:lineRule="auto"/>
        <w:ind w:left="604"/>
        <w:rPr>
          <w:rFonts w:ascii="仿宋" w:hAnsi="仿宋" w:eastAsia="仿宋" w:cs="仿宋"/>
          <w:sz w:val="30"/>
          <w:szCs w:val="30"/>
        </w:rPr>
      </w:pPr>
      <w:r>
        <w:rPr>
          <w:rFonts w:ascii="仿宋" w:hAnsi="仿宋" w:eastAsia="仿宋" w:cs="仿宋"/>
          <w:spacing w:val="-1"/>
          <w:sz w:val="30"/>
          <w:szCs w:val="30"/>
        </w:rPr>
        <w:t>附件：准格尔旗应急管理局2025年随机抽查事项清单</w:t>
      </w:r>
    </w:p>
    <w:p w14:paraId="0E5ECFEA">
      <w:pPr>
        <w:spacing w:line="221" w:lineRule="auto"/>
        <w:rPr>
          <w:rFonts w:ascii="仿宋" w:hAnsi="仿宋" w:eastAsia="仿宋" w:cs="仿宋"/>
          <w:sz w:val="30"/>
          <w:szCs w:val="30"/>
        </w:rPr>
        <w:sectPr>
          <w:footerReference r:id="rId11" w:type="default"/>
          <w:pgSz w:w="11900" w:h="16820"/>
          <w:pgMar w:top="400" w:right="1530" w:bottom="1777" w:left="1785" w:header="0" w:footer="1388" w:gutter="0"/>
          <w:cols w:space="720" w:num="1"/>
        </w:sectPr>
      </w:pPr>
    </w:p>
    <w:p w14:paraId="63F1EAB8">
      <w:pPr>
        <w:pStyle w:val="2"/>
        <w:spacing w:line="264" w:lineRule="auto"/>
      </w:pPr>
    </w:p>
    <w:p w14:paraId="13999074">
      <w:pPr>
        <w:pStyle w:val="2"/>
        <w:spacing w:line="264" w:lineRule="auto"/>
      </w:pPr>
    </w:p>
    <w:p w14:paraId="7D414E65">
      <w:pPr>
        <w:pStyle w:val="2"/>
        <w:spacing w:line="264" w:lineRule="auto"/>
      </w:pPr>
    </w:p>
    <w:p w14:paraId="64A93BB7">
      <w:pPr>
        <w:pStyle w:val="2"/>
        <w:spacing w:line="265" w:lineRule="auto"/>
      </w:pPr>
    </w:p>
    <w:p w14:paraId="6453C3EF">
      <w:pPr>
        <w:pStyle w:val="2"/>
        <w:spacing w:line="265" w:lineRule="auto"/>
      </w:pPr>
    </w:p>
    <w:p w14:paraId="7657257D">
      <w:pPr>
        <w:pStyle w:val="2"/>
        <w:spacing w:line="265" w:lineRule="auto"/>
      </w:pPr>
    </w:p>
    <w:p w14:paraId="600D9600">
      <w:pPr>
        <w:pStyle w:val="2"/>
        <w:spacing w:line="265" w:lineRule="auto"/>
      </w:pPr>
    </w:p>
    <w:p w14:paraId="46B68E95">
      <w:pPr>
        <w:pStyle w:val="2"/>
        <w:spacing w:line="265" w:lineRule="auto"/>
      </w:pPr>
    </w:p>
    <w:p w14:paraId="1F225179">
      <w:pPr>
        <w:pStyle w:val="2"/>
        <w:spacing w:line="265" w:lineRule="auto"/>
      </w:pPr>
    </w:p>
    <w:p w14:paraId="57943FD5">
      <w:pPr>
        <w:spacing w:before="143" w:line="199" w:lineRule="auto"/>
        <w:ind w:left="3431"/>
        <w:rPr>
          <w:rFonts w:ascii="宋体" w:hAnsi="宋体" w:eastAsia="宋体" w:cs="宋体"/>
          <w:sz w:val="44"/>
          <w:szCs w:val="44"/>
        </w:rPr>
      </w:pPr>
      <w:r>
        <w:rPr>
          <w:rFonts w:ascii="宋体" w:hAnsi="宋体" w:eastAsia="宋体" w:cs="宋体"/>
          <w:b/>
          <w:bCs/>
          <w:spacing w:val="-5"/>
          <w:sz w:val="44"/>
          <w:szCs w:val="44"/>
        </w:rPr>
        <w:t>准格尔旗应急管理局2025年随机抽查事项清单</w:t>
      </w:r>
    </w:p>
    <w:tbl>
      <w:tblPr>
        <w:tblStyle w:val="5"/>
        <w:tblW w:w="155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5"/>
        <w:gridCol w:w="1209"/>
        <w:gridCol w:w="2738"/>
        <w:gridCol w:w="959"/>
        <w:gridCol w:w="600"/>
        <w:gridCol w:w="899"/>
        <w:gridCol w:w="1049"/>
        <w:gridCol w:w="7123"/>
      </w:tblGrid>
      <w:tr w14:paraId="70387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3" w:hRule="atLeast"/>
        </w:trPr>
        <w:tc>
          <w:tcPr>
            <w:tcW w:w="965" w:type="dxa"/>
            <w:vAlign w:val="top"/>
          </w:tcPr>
          <w:p w14:paraId="6F169ED7">
            <w:pPr>
              <w:spacing w:line="414" w:lineRule="auto"/>
              <w:rPr>
                <w:rFonts w:ascii="Arial"/>
                <w:sz w:val="21"/>
              </w:rPr>
            </w:pPr>
          </w:p>
          <w:p w14:paraId="2CEB9FCD">
            <w:pPr>
              <w:pStyle w:val="6"/>
              <w:spacing w:before="68" w:line="221" w:lineRule="auto"/>
              <w:ind w:left="264"/>
            </w:pPr>
            <w:r>
              <w:rPr>
                <w:spacing w:val="6"/>
              </w:rPr>
              <w:t>序号</w:t>
            </w:r>
          </w:p>
        </w:tc>
        <w:tc>
          <w:tcPr>
            <w:tcW w:w="1209" w:type="dxa"/>
            <w:vAlign w:val="top"/>
          </w:tcPr>
          <w:p w14:paraId="1E2C8926">
            <w:pPr>
              <w:spacing w:line="413" w:lineRule="auto"/>
              <w:rPr>
                <w:rFonts w:ascii="Arial"/>
                <w:sz w:val="21"/>
              </w:rPr>
            </w:pPr>
          </w:p>
          <w:p w14:paraId="62B30FB5">
            <w:pPr>
              <w:pStyle w:val="6"/>
              <w:spacing w:before="68" w:line="220" w:lineRule="auto"/>
              <w:ind w:left="170"/>
            </w:pPr>
            <w:r>
              <w:rPr>
                <w:spacing w:val="3"/>
              </w:rPr>
              <w:t>抽查事项</w:t>
            </w:r>
          </w:p>
        </w:tc>
        <w:tc>
          <w:tcPr>
            <w:tcW w:w="2738" w:type="dxa"/>
            <w:vAlign w:val="top"/>
          </w:tcPr>
          <w:p w14:paraId="412C3C97">
            <w:pPr>
              <w:spacing w:line="413" w:lineRule="auto"/>
              <w:rPr>
                <w:rFonts w:ascii="Arial"/>
                <w:sz w:val="21"/>
              </w:rPr>
            </w:pPr>
          </w:p>
          <w:p w14:paraId="76DB2F4E">
            <w:pPr>
              <w:pStyle w:val="6"/>
              <w:spacing w:before="68" w:line="219" w:lineRule="auto"/>
              <w:ind w:left="960"/>
            </w:pPr>
            <w:r>
              <w:rPr>
                <w:spacing w:val="-2"/>
              </w:rPr>
              <w:t>检查内容</w:t>
            </w:r>
          </w:p>
        </w:tc>
        <w:tc>
          <w:tcPr>
            <w:tcW w:w="959" w:type="dxa"/>
            <w:vAlign w:val="top"/>
          </w:tcPr>
          <w:p w14:paraId="74D3C29E">
            <w:pPr>
              <w:spacing w:line="413" w:lineRule="auto"/>
              <w:rPr>
                <w:rFonts w:ascii="Arial"/>
                <w:sz w:val="21"/>
              </w:rPr>
            </w:pPr>
          </w:p>
          <w:p w14:paraId="145BAD5A">
            <w:pPr>
              <w:pStyle w:val="6"/>
              <w:spacing w:before="68" w:line="219" w:lineRule="auto"/>
              <w:ind w:left="52"/>
            </w:pPr>
            <w:r>
              <w:rPr>
                <w:spacing w:val="-2"/>
              </w:rPr>
              <w:t>检查对象</w:t>
            </w:r>
          </w:p>
        </w:tc>
        <w:tc>
          <w:tcPr>
            <w:tcW w:w="600" w:type="dxa"/>
            <w:vAlign w:val="top"/>
          </w:tcPr>
          <w:p w14:paraId="5EA4CA29">
            <w:pPr>
              <w:pStyle w:val="6"/>
              <w:spacing w:before="184" w:line="220" w:lineRule="auto"/>
              <w:ind w:left="83"/>
            </w:pPr>
            <w:r>
              <w:rPr>
                <w:spacing w:val="6"/>
              </w:rPr>
              <w:t>事项</w:t>
            </w:r>
          </w:p>
          <w:p w14:paraId="7CE02FC7">
            <w:pPr>
              <w:spacing w:line="249" w:lineRule="auto"/>
              <w:rPr>
                <w:rFonts w:ascii="Arial"/>
                <w:sz w:val="21"/>
              </w:rPr>
            </w:pPr>
          </w:p>
          <w:p w14:paraId="565F96CA">
            <w:pPr>
              <w:pStyle w:val="6"/>
              <w:spacing w:before="68" w:line="219" w:lineRule="auto"/>
              <w:ind w:left="83"/>
            </w:pPr>
            <w:r>
              <w:rPr>
                <w:spacing w:val="8"/>
              </w:rPr>
              <w:t>类别</w:t>
            </w:r>
          </w:p>
        </w:tc>
        <w:tc>
          <w:tcPr>
            <w:tcW w:w="899" w:type="dxa"/>
            <w:vAlign w:val="top"/>
          </w:tcPr>
          <w:p w14:paraId="5A750195">
            <w:pPr>
              <w:spacing w:line="413" w:lineRule="auto"/>
              <w:rPr>
                <w:rFonts w:ascii="Arial"/>
                <w:sz w:val="21"/>
              </w:rPr>
            </w:pPr>
          </w:p>
          <w:p w14:paraId="6E33F484">
            <w:pPr>
              <w:pStyle w:val="6"/>
              <w:spacing w:before="68" w:line="219" w:lineRule="auto"/>
              <w:ind w:left="24"/>
            </w:pPr>
            <w:r>
              <w:rPr>
                <w:spacing w:val="-2"/>
              </w:rPr>
              <w:t>检查方式</w:t>
            </w:r>
          </w:p>
        </w:tc>
        <w:tc>
          <w:tcPr>
            <w:tcW w:w="1049" w:type="dxa"/>
            <w:vAlign w:val="top"/>
          </w:tcPr>
          <w:p w14:paraId="75D1966D">
            <w:pPr>
              <w:spacing w:line="413" w:lineRule="auto"/>
              <w:rPr>
                <w:rFonts w:ascii="Arial"/>
                <w:sz w:val="21"/>
              </w:rPr>
            </w:pPr>
          </w:p>
          <w:p w14:paraId="14CC937D">
            <w:pPr>
              <w:pStyle w:val="6"/>
              <w:spacing w:before="68" w:line="219" w:lineRule="auto"/>
              <w:ind w:left="95"/>
            </w:pPr>
            <w:r>
              <w:rPr>
                <w:spacing w:val="-2"/>
              </w:rPr>
              <w:t>检查主体</w:t>
            </w:r>
          </w:p>
        </w:tc>
        <w:tc>
          <w:tcPr>
            <w:tcW w:w="7123" w:type="dxa"/>
            <w:vAlign w:val="top"/>
          </w:tcPr>
          <w:p w14:paraId="1D66BFF4">
            <w:pPr>
              <w:spacing w:line="411" w:lineRule="auto"/>
              <w:rPr>
                <w:rFonts w:ascii="Arial"/>
                <w:sz w:val="21"/>
              </w:rPr>
            </w:pPr>
          </w:p>
          <w:p w14:paraId="014C7D7E">
            <w:pPr>
              <w:pStyle w:val="6"/>
              <w:spacing w:before="68" w:line="219" w:lineRule="auto"/>
              <w:ind w:left="3136"/>
            </w:pPr>
            <w:r>
              <w:rPr>
                <w:spacing w:val="3"/>
              </w:rPr>
              <w:t>检查依据</w:t>
            </w:r>
          </w:p>
        </w:tc>
      </w:tr>
      <w:tr w14:paraId="1F8B8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6" w:hRule="atLeast"/>
        </w:trPr>
        <w:tc>
          <w:tcPr>
            <w:tcW w:w="965" w:type="dxa"/>
            <w:vAlign w:val="top"/>
          </w:tcPr>
          <w:p w14:paraId="7812042B">
            <w:pPr>
              <w:spacing w:line="257" w:lineRule="auto"/>
              <w:rPr>
                <w:rFonts w:ascii="Arial"/>
                <w:sz w:val="21"/>
              </w:rPr>
            </w:pPr>
          </w:p>
          <w:p w14:paraId="3578FE65">
            <w:pPr>
              <w:spacing w:line="257" w:lineRule="auto"/>
              <w:rPr>
                <w:rFonts w:ascii="Arial"/>
                <w:sz w:val="21"/>
              </w:rPr>
            </w:pPr>
          </w:p>
          <w:p w14:paraId="5EE98B8D">
            <w:pPr>
              <w:spacing w:line="257" w:lineRule="auto"/>
              <w:rPr>
                <w:rFonts w:ascii="Arial"/>
                <w:sz w:val="21"/>
              </w:rPr>
            </w:pPr>
          </w:p>
          <w:p w14:paraId="507F713A">
            <w:pPr>
              <w:spacing w:line="257" w:lineRule="auto"/>
              <w:rPr>
                <w:rFonts w:ascii="Arial"/>
                <w:sz w:val="21"/>
              </w:rPr>
            </w:pPr>
          </w:p>
          <w:p w14:paraId="57B8989C">
            <w:pPr>
              <w:spacing w:line="257" w:lineRule="auto"/>
              <w:rPr>
                <w:rFonts w:ascii="Arial"/>
                <w:sz w:val="21"/>
              </w:rPr>
            </w:pPr>
          </w:p>
          <w:p w14:paraId="5E7FC9C4">
            <w:pPr>
              <w:pStyle w:val="6"/>
              <w:spacing w:before="68" w:line="241" w:lineRule="auto"/>
              <w:ind w:left="414"/>
            </w:pPr>
            <w:r>
              <w:t>1</w:t>
            </w:r>
          </w:p>
        </w:tc>
        <w:tc>
          <w:tcPr>
            <w:tcW w:w="1209" w:type="dxa"/>
            <w:vMerge w:val="restart"/>
            <w:tcBorders>
              <w:bottom w:val="nil"/>
            </w:tcBorders>
            <w:vAlign w:val="top"/>
          </w:tcPr>
          <w:p w14:paraId="337C1ADF">
            <w:pPr>
              <w:spacing w:line="268" w:lineRule="auto"/>
              <w:rPr>
                <w:rFonts w:ascii="Arial"/>
                <w:sz w:val="21"/>
              </w:rPr>
            </w:pPr>
          </w:p>
          <w:p w14:paraId="122E15EC">
            <w:pPr>
              <w:spacing w:line="268" w:lineRule="auto"/>
              <w:rPr>
                <w:rFonts w:ascii="Arial"/>
                <w:sz w:val="21"/>
              </w:rPr>
            </w:pPr>
          </w:p>
          <w:p w14:paraId="2321407C">
            <w:pPr>
              <w:spacing w:line="268" w:lineRule="auto"/>
              <w:rPr>
                <w:rFonts w:ascii="Arial"/>
                <w:sz w:val="21"/>
              </w:rPr>
            </w:pPr>
          </w:p>
          <w:p w14:paraId="71CCED91">
            <w:pPr>
              <w:spacing w:line="268" w:lineRule="auto"/>
              <w:rPr>
                <w:rFonts w:ascii="Arial"/>
                <w:sz w:val="21"/>
              </w:rPr>
            </w:pPr>
          </w:p>
          <w:p w14:paraId="77A1E8A4">
            <w:pPr>
              <w:spacing w:line="268" w:lineRule="auto"/>
              <w:rPr>
                <w:rFonts w:ascii="Arial"/>
                <w:sz w:val="21"/>
              </w:rPr>
            </w:pPr>
          </w:p>
          <w:p w14:paraId="28211E0B">
            <w:pPr>
              <w:spacing w:line="269" w:lineRule="auto"/>
              <w:rPr>
                <w:rFonts w:ascii="Arial"/>
                <w:sz w:val="21"/>
              </w:rPr>
            </w:pPr>
          </w:p>
          <w:p w14:paraId="3CC40CAA">
            <w:pPr>
              <w:spacing w:line="269" w:lineRule="auto"/>
              <w:rPr>
                <w:rFonts w:ascii="Arial"/>
                <w:sz w:val="21"/>
              </w:rPr>
            </w:pPr>
          </w:p>
          <w:p w14:paraId="3B202688">
            <w:pPr>
              <w:spacing w:line="269" w:lineRule="auto"/>
              <w:rPr>
                <w:rFonts w:ascii="Arial"/>
                <w:sz w:val="21"/>
              </w:rPr>
            </w:pPr>
          </w:p>
          <w:p w14:paraId="6E03071E">
            <w:pPr>
              <w:pStyle w:val="6"/>
              <w:spacing w:before="69" w:line="219" w:lineRule="auto"/>
              <w:ind w:left="69"/>
            </w:pPr>
            <w:r>
              <w:rPr>
                <w:spacing w:val="-2"/>
              </w:rPr>
              <w:t>煤炭开采领</w:t>
            </w:r>
          </w:p>
          <w:p w14:paraId="21FB993D">
            <w:pPr>
              <w:pStyle w:val="6"/>
              <w:spacing w:before="302" w:line="219" w:lineRule="auto"/>
              <w:ind w:left="69"/>
            </w:pPr>
            <w:r>
              <w:rPr>
                <w:spacing w:val="-2"/>
              </w:rPr>
              <w:t>域抽查检查</w:t>
            </w:r>
          </w:p>
        </w:tc>
        <w:tc>
          <w:tcPr>
            <w:tcW w:w="2738" w:type="dxa"/>
            <w:vAlign w:val="top"/>
          </w:tcPr>
          <w:p w14:paraId="7723093D">
            <w:pPr>
              <w:spacing w:line="241" w:lineRule="auto"/>
              <w:rPr>
                <w:rFonts w:ascii="Arial"/>
                <w:sz w:val="21"/>
              </w:rPr>
            </w:pPr>
          </w:p>
          <w:p w14:paraId="04D0EFE1">
            <w:pPr>
              <w:spacing w:line="242" w:lineRule="auto"/>
              <w:rPr>
                <w:rFonts w:ascii="Arial"/>
                <w:sz w:val="21"/>
              </w:rPr>
            </w:pPr>
          </w:p>
          <w:p w14:paraId="75728BC4">
            <w:pPr>
              <w:spacing w:line="242" w:lineRule="auto"/>
              <w:rPr>
                <w:rFonts w:ascii="Arial"/>
                <w:sz w:val="21"/>
              </w:rPr>
            </w:pPr>
          </w:p>
          <w:p w14:paraId="418E14E1">
            <w:pPr>
              <w:pStyle w:val="6"/>
              <w:spacing w:before="68" w:line="490" w:lineRule="auto"/>
              <w:ind w:left="10" w:firstLine="9"/>
              <w:jc w:val="both"/>
            </w:pPr>
            <w:r>
              <w:rPr>
                <w:spacing w:val="-17"/>
              </w:rPr>
              <w:t>煤矿证照有效性、采矿许可证、</w:t>
            </w:r>
            <w:r>
              <w:rPr>
                <w:spacing w:val="4"/>
              </w:rPr>
              <w:t xml:space="preserve"> </w:t>
            </w:r>
            <w:r>
              <w:rPr>
                <w:spacing w:val="-1"/>
              </w:rPr>
              <w:t>安全生产许可证、营业执照、</w:t>
            </w:r>
            <w:r>
              <w:t xml:space="preserve"> </w:t>
            </w:r>
            <w:r>
              <w:rPr>
                <w:spacing w:val="10"/>
              </w:rPr>
              <w:t>矿长资格证；</w:t>
            </w:r>
          </w:p>
        </w:tc>
        <w:tc>
          <w:tcPr>
            <w:tcW w:w="959" w:type="dxa"/>
            <w:vMerge w:val="restart"/>
            <w:tcBorders>
              <w:bottom w:val="nil"/>
            </w:tcBorders>
            <w:vAlign w:val="top"/>
          </w:tcPr>
          <w:p w14:paraId="6EAC5B7B">
            <w:pPr>
              <w:spacing w:line="268" w:lineRule="auto"/>
              <w:rPr>
                <w:rFonts w:ascii="Arial"/>
                <w:sz w:val="21"/>
              </w:rPr>
            </w:pPr>
          </w:p>
          <w:p w14:paraId="4415C1D5">
            <w:pPr>
              <w:spacing w:line="268" w:lineRule="auto"/>
              <w:rPr>
                <w:rFonts w:ascii="Arial"/>
                <w:sz w:val="21"/>
              </w:rPr>
            </w:pPr>
          </w:p>
          <w:p w14:paraId="65DDE33C">
            <w:pPr>
              <w:spacing w:line="268" w:lineRule="auto"/>
              <w:rPr>
                <w:rFonts w:ascii="Arial"/>
                <w:sz w:val="21"/>
              </w:rPr>
            </w:pPr>
          </w:p>
          <w:p w14:paraId="76A69C22">
            <w:pPr>
              <w:spacing w:line="268" w:lineRule="auto"/>
              <w:rPr>
                <w:rFonts w:ascii="Arial"/>
                <w:sz w:val="21"/>
              </w:rPr>
            </w:pPr>
          </w:p>
          <w:p w14:paraId="4F6A3668">
            <w:pPr>
              <w:spacing w:line="269" w:lineRule="auto"/>
              <w:rPr>
                <w:rFonts w:ascii="Arial"/>
                <w:sz w:val="21"/>
              </w:rPr>
            </w:pPr>
          </w:p>
          <w:p w14:paraId="7722FB25">
            <w:pPr>
              <w:spacing w:line="269" w:lineRule="auto"/>
              <w:rPr>
                <w:rFonts w:ascii="Arial"/>
                <w:sz w:val="21"/>
              </w:rPr>
            </w:pPr>
          </w:p>
          <w:p w14:paraId="0170F103">
            <w:pPr>
              <w:spacing w:line="269" w:lineRule="auto"/>
              <w:rPr>
                <w:rFonts w:ascii="Arial"/>
                <w:sz w:val="21"/>
              </w:rPr>
            </w:pPr>
          </w:p>
          <w:p w14:paraId="5EC54C84">
            <w:pPr>
              <w:spacing w:line="269" w:lineRule="auto"/>
              <w:rPr>
                <w:rFonts w:ascii="Arial"/>
                <w:sz w:val="21"/>
              </w:rPr>
            </w:pPr>
          </w:p>
          <w:p w14:paraId="437111A9">
            <w:pPr>
              <w:pStyle w:val="6"/>
              <w:spacing w:before="69" w:line="487" w:lineRule="auto"/>
              <w:ind w:left="52" w:right="65"/>
            </w:pPr>
            <w:r>
              <w:rPr>
                <w:spacing w:val="-3"/>
              </w:rPr>
              <w:t>煤炭开采</w:t>
            </w:r>
            <w:r>
              <w:rPr>
                <w:spacing w:val="1"/>
              </w:rPr>
              <w:t xml:space="preserve"> </w:t>
            </w:r>
            <w:r>
              <w:rPr>
                <w:spacing w:val="-3"/>
              </w:rPr>
              <w:t>单位</w:t>
            </w:r>
          </w:p>
        </w:tc>
        <w:tc>
          <w:tcPr>
            <w:tcW w:w="600" w:type="dxa"/>
            <w:vMerge w:val="restart"/>
            <w:tcBorders>
              <w:bottom w:val="nil"/>
            </w:tcBorders>
            <w:vAlign w:val="top"/>
          </w:tcPr>
          <w:p w14:paraId="63634FA7">
            <w:pPr>
              <w:spacing w:line="267" w:lineRule="auto"/>
              <w:rPr>
                <w:rFonts w:ascii="Arial"/>
                <w:sz w:val="21"/>
              </w:rPr>
            </w:pPr>
          </w:p>
          <w:p w14:paraId="222ADD5A">
            <w:pPr>
              <w:spacing w:line="267" w:lineRule="auto"/>
              <w:rPr>
                <w:rFonts w:ascii="Arial"/>
                <w:sz w:val="21"/>
              </w:rPr>
            </w:pPr>
          </w:p>
          <w:p w14:paraId="1CAE5C8E">
            <w:pPr>
              <w:spacing w:line="267" w:lineRule="auto"/>
              <w:rPr>
                <w:rFonts w:ascii="Arial"/>
                <w:sz w:val="21"/>
              </w:rPr>
            </w:pPr>
          </w:p>
          <w:p w14:paraId="4A97C658">
            <w:pPr>
              <w:spacing w:line="267" w:lineRule="auto"/>
              <w:rPr>
                <w:rFonts w:ascii="Arial"/>
                <w:sz w:val="21"/>
              </w:rPr>
            </w:pPr>
          </w:p>
          <w:p w14:paraId="5534C644">
            <w:pPr>
              <w:spacing w:line="268" w:lineRule="auto"/>
              <w:rPr>
                <w:rFonts w:ascii="Arial"/>
                <w:sz w:val="21"/>
              </w:rPr>
            </w:pPr>
          </w:p>
          <w:p w14:paraId="5CBB6FED">
            <w:pPr>
              <w:spacing w:line="268" w:lineRule="auto"/>
              <w:rPr>
                <w:rFonts w:ascii="Arial"/>
                <w:sz w:val="21"/>
              </w:rPr>
            </w:pPr>
          </w:p>
          <w:p w14:paraId="050D8311">
            <w:pPr>
              <w:spacing w:line="268" w:lineRule="auto"/>
              <w:rPr>
                <w:rFonts w:ascii="Arial"/>
                <w:sz w:val="21"/>
              </w:rPr>
            </w:pPr>
          </w:p>
          <w:p w14:paraId="4BA4F2FF">
            <w:pPr>
              <w:pStyle w:val="6"/>
              <w:spacing w:before="68" w:line="221" w:lineRule="auto"/>
              <w:jc w:val="right"/>
            </w:pPr>
            <w:r>
              <w:rPr>
                <w:spacing w:val="-18"/>
              </w:rPr>
              <w:t>一</w:t>
            </w:r>
            <w:r>
              <w:rPr>
                <w:spacing w:val="78"/>
              </w:rPr>
              <w:t xml:space="preserve"> </w:t>
            </w:r>
            <w:r>
              <w:rPr>
                <w:spacing w:val="-10"/>
              </w:rPr>
              <w:t>般</w:t>
            </w:r>
          </w:p>
          <w:p w14:paraId="67E88C42">
            <w:pPr>
              <w:pStyle w:val="6"/>
              <w:spacing w:before="296" w:line="487" w:lineRule="auto"/>
              <w:ind w:left="23" w:hanging="9"/>
            </w:pPr>
            <w:r>
              <w:rPr>
                <w:spacing w:val="-13"/>
              </w:rPr>
              <w:t>检</w:t>
            </w:r>
            <w:r>
              <w:rPr>
                <w:spacing w:val="73"/>
              </w:rPr>
              <w:t xml:space="preserve"> </w:t>
            </w:r>
            <w:r>
              <w:rPr>
                <w:spacing w:val="-11"/>
              </w:rPr>
              <w:t>查</w:t>
            </w:r>
            <w:r>
              <w:t xml:space="preserve"> </w:t>
            </w:r>
            <w:r>
              <w:rPr>
                <w:spacing w:val="4"/>
              </w:rPr>
              <w:t>事项</w:t>
            </w:r>
          </w:p>
        </w:tc>
        <w:tc>
          <w:tcPr>
            <w:tcW w:w="899" w:type="dxa"/>
            <w:vMerge w:val="restart"/>
            <w:tcBorders>
              <w:bottom w:val="nil"/>
            </w:tcBorders>
            <w:vAlign w:val="top"/>
          </w:tcPr>
          <w:p w14:paraId="60C28EB1">
            <w:pPr>
              <w:spacing w:line="267" w:lineRule="auto"/>
              <w:rPr>
                <w:rFonts w:ascii="Arial"/>
                <w:sz w:val="21"/>
              </w:rPr>
            </w:pPr>
          </w:p>
          <w:p w14:paraId="0A2286C2">
            <w:pPr>
              <w:spacing w:line="267" w:lineRule="auto"/>
              <w:rPr>
                <w:rFonts w:ascii="Arial"/>
                <w:sz w:val="21"/>
              </w:rPr>
            </w:pPr>
          </w:p>
          <w:p w14:paraId="5BE0D3CA">
            <w:pPr>
              <w:spacing w:line="267" w:lineRule="auto"/>
              <w:rPr>
                <w:rFonts w:ascii="Arial"/>
                <w:sz w:val="21"/>
              </w:rPr>
            </w:pPr>
          </w:p>
          <w:p w14:paraId="5B03120E">
            <w:pPr>
              <w:spacing w:line="267" w:lineRule="auto"/>
              <w:rPr>
                <w:rFonts w:ascii="Arial"/>
                <w:sz w:val="21"/>
              </w:rPr>
            </w:pPr>
          </w:p>
          <w:p w14:paraId="4CB8E894">
            <w:pPr>
              <w:spacing w:line="267" w:lineRule="auto"/>
              <w:rPr>
                <w:rFonts w:ascii="Arial"/>
                <w:sz w:val="21"/>
              </w:rPr>
            </w:pPr>
          </w:p>
          <w:p w14:paraId="76271F03">
            <w:pPr>
              <w:spacing w:line="267" w:lineRule="auto"/>
              <w:rPr>
                <w:rFonts w:ascii="Arial"/>
                <w:sz w:val="21"/>
              </w:rPr>
            </w:pPr>
          </w:p>
          <w:p w14:paraId="0B0407B5">
            <w:pPr>
              <w:spacing w:line="268" w:lineRule="auto"/>
              <w:rPr>
                <w:rFonts w:ascii="Arial"/>
                <w:sz w:val="21"/>
              </w:rPr>
            </w:pPr>
          </w:p>
          <w:p w14:paraId="2E137744">
            <w:pPr>
              <w:pStyle w:val="6"/>
              <w:spacing w:before="68" w:line="485" w:lineRule="auto"/>
              <w:ind w:left="24" w:right="15"/>
              <w:jc w:val="both"/>
            </w:pPr>
            <w:r>
              <w:rPr>
                <w:spacing w:val="-9"/>
              </w:rPr>
              <w:t>现</w:t>
            </w:r>
            <w:r>
              <w:rPr>
                <w:spacing w:val="17"/>
              </w:rPr>
              <w:t xml:space="preserve"> </w:t>
            </w:r>
            <w:r>
              <w:rPr>
                <w:spacing w:val="-9"/>
              </w:rPr>
              <w:t>场</w:t>
            </w:r>
            <w:r>
              <w:rPr>
                <w:spacing w:val="18"/>
              </w:rPr>
              <w:t xml:space="preserve"> </w:t>
            </w:r>
            <w:r>
              <w:rPr>
                <w:spacing w:val="-9"/>
              </w:rPr>
              <w:t>检</w:t>
            </w:r>
            <w:r>
              <w:t xml:space="preserve"> </w:t>
            </w:r>
            <w:r>
              <w:rPr>
                <w:spacing w:val="2"/>
              </w:rPr>
              <w:t>查、网络</w:t>
            </w:r>
            <w:r>
              <w:t xml:space="preserve"> </w:t>
            </w:r>
            <w:r>
              <w:rPr>
                <w:spacing w:val="-3"/>
              </w:rPr>
              <w:t>检查</w:t>
            </w:r>
          </w:p>
        </w:tc>
        <w:tc>
          <w:tcPr>
            <w:tcW w:w="1049" w:type="dxa"/>
            <w:vMerge w:val="restart"/>
            <w:tcBorders>
              <w:bottom w:val="nil"/>
            </w:tcBorders>
            <w:vAlign w:val="top"/>
          </w:tcPr>
          <w:p w14:paraId="51010443">
            <w:pPr>
              <w:spacing w:line="266" w:lineRule="auto"/>
              <w:rPr>
                <w:rFonts w:ascii="Arial"/>
                <w:sz w:val="21"/>
              </w:rPr>
            </w:pPr>
          </w:p>
          <w:p w14:paraId="1B412919">
            <w:pPr>
              <w:spacing w:line="266" w:lineRule="auto"/>
              <w:rPr>
                <w:rFonts w:ascii="Arial"/>
                <w:sz w:val="21"/>
              </w:rPr>
            </w:pPr>
          </w:p>
          <w:p w14:paraId="6D90B19C">
            <w:pPr>
              <w:spacing w:line="266" w:lineRule="auto"/>
              <w:rPr>
                <w:rFonts w:ascii="Arial"/>
                <w:sz w:val="21"/>
              </w:rPr>
            </w:pPr>
          </w:p>
          <w:p w14:paraId="08DCB441">
            <w:pPr>
              <w:spacing w:line="266" w:lineRule="auto"/>
              <w:rPr>
                <w:rFonts w:ascii="Arial"/>
                <w:sz w:val="21"/>
              </w:rPr>
            </w:pPr>
          </w:p>
          <w:p w14:paraId="681DAA7F">
            <w:pPr>
              <w:spacing w:line="266" w:lineRule="auto"/>
              <w:rPr>
                <w:rFonts w:ascii="Arial"/>
                <w:sz w:val="21"/>
              </w:rPr>
            </w:pPr>
          </w:p>
          <w:p w14:paraId="29171F13">
            <w:pPr>
              <w:spacing w:line="266" w:lineRule="auto"/>
              <w:rPr>
                <w:rFonts w:ascii="Arial"/>
                <w:sz w:val="21"/>
              </w:rPr>
            </w:pPr>
          </w:p>
          <w:p w14:paraId="11534C7F">
            <w:pPr>
              <w:spacing w:line="267" w:lineRule="auto"/>
              <w:rPr>
                <w:rFonts w:ascii="Arial"/>
                <w:sz w:val="21"/>
              </w:rPr>
            </w:pPr>
          </w:p>
          <w:p w14:paraId="2DAE6DFF">
            <w:pPr>
              <w:spacing w:line="267" w:lineRule="auto"/>
              <w:rPr>
                <w:rFonts w:ascii="Arial"/>
                <w:sz w:val="21"/>
              </w:rPr>
            </w:pPr>
          </w:p>
          <w:p w14:paraId="4373F5AD">
            <w:pPr>
              <w:pStyle w:val="6"/>
              <w:spacing w:before="68" w:line="505" w:lineRule="auto"/>
              <w:ind w:left="15"/>
            </w:pPr>
            <w:r>
              <w:rPr>
                <w:spacing w:val="-14"/>
              </w:rPr>
              <w:t>旗</w:t>
            </w:r>
            <w:r>
              <w:rPr>
                <w:spacing w:val="-30"/>
              </w:rPr>
              <w:t xml:space="preserve"> </w:t>
            </w:r>
            <w:r>
              <w:rPr>
                <w:spacing w:val="-13"/>
              </w:rPr>
              <w:t>应</w:t>
            </w:r>
            <w:r>
              <w:rPr>
                <w:spacing w:val="-24"/>
              </w:rPr>
              <w:t xml:space="preserve"> </w:t>
            </w:r>
            <w:r>
              <w:rPr>
                <w:spacing w:val="-13"/>
              </w:rPr>
              <w:t>急</w:t>
            </w:r>
            <w:r>
              <w:rPr>
                <w:spacing w:val="-27"/>
              </w:rPr>
              <w:t xml:space="preserve"> </w:t>
            </w:r>
            <w:r>
              <w:rPr>
                <w:spacing w:val="-12"/>
              </w:rPr>
              <w:t>管</w:t>
            </w:r>
            <w:r>
              <w:t xml:space="preserve"> </w:t>
            </w:r>
            <w:r>
              <w:rPr>
                <w:spacing w:val="7"/>
              </w:rPr>
              <w:t>理局</w:t>
            </w:r>
          </w:p>
        </w:tc>
        <w:tc>
          <w:tcPr>
            <w:tcW w:w="7123" w:type="dxa"/>
            <w:vAlign w:val="top"/>
          </w:tcPr>
          <w:p w14:paraId="33E0BEFE">
            <w:pPr>
              <w:pStyle w:val="6"/>
              <w:spacing w:before="210" w:line="477" w:lineRule="auto"/>
              <w:ind w:left="103" w:hanging="103"/>
            </w:pPr>
            <w:r>
              <w:rPr>
                <w:rFonts w:hint="eastAsia"/>
                <w:spacing w:val="-4"/>
                <w:lang w:eastAsia="zh-CN"/>
              </w:rPr>
              <w:t>《中华人民共和国安全生产法》</w:t>
            </w:r>
            <w:r>
              <w:rPr>
                <w:spacing w:val="-4"/>
              </w:rPr>
              <w:t>第二十条 生产经营单位应当具备本法和有关法律、行政法规和</w:t>
            </w:r>
            <w:r>
              <w:rPr>
                <w:spacing w:val="7"/>
              </w:rPr>
              <w:t xml:space="preserve"> </w:t>
            </w:r>
            <w:r>
              <w:rPr>
                <w:spacing w:val="-10"/>
              </w:rPr>
              <w:t>国家标准或者行业标准规定的安全生产条件；不具备安全生产条件的，不得从事</w:t>
            </w:r>
          </w:p>
          <w:p w14:paraId="292110AF">
            <w:pPr>
              <w:pStyle w:val="6"/>
              <w:spacing w:before="44" w:line="219" w:lineRule="auto"/>
              <w:ind w:left="16"/>
            </w:pPr>
            <w:r>
              <w:rPr>
                <w:spacing w:val="-1"/>
              </w:rPr>
              <w:t>生产经营活动。</w:t>
            </w:r>
          </w:p>
          <w:p w14:paraId="5D6F7874">
            <w:pPr>
              <w:pStyle w:val="6"/>
              <w:spacing w:before="288" w:line="434" w:lineRule="auto"/>
              <w:ind w:left="35" w:hanging="34"/>
            </w:pPr>
            <w:r>
              <w:rPr>
                <w:spacing w:val="-5"/>
              </w:rPr>
              <w:t>《煤矿安全生产条例》第十七条 煤矿企业进</w:t>
            </w:r>
            <w:r>
              <w:rPr>
                <w:spacing w:val="-6"/>
              </w:rPr>
              <w:t>行生产，应当依照《安全生产许可</w:t>
            </w:r>
            <w:r>
              <w:t xml:space="preserve"> </w:t>
            </w:r>
            <w:r>
              <w:rPr>
                <w:spacing w:val="-2"/>
              </w:rPr>
              <w:t>证条例》的规定取得安全生产许可证。未取得安全生产许可证的，不得生产。</w:t>
            </w:r>
          </w:p>
        </w:tc>
      </w:tr>
      <w:tr w14:paraId="66729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1" w:hRule="atLeast"/>
        </w:trPr>
        <w:tc>
          <w:tcPr>
            <w:tcW w:w="965" w:type="dxa"/>
            <w:vAlign w:val="top"/>
          </w:tcPr>
          <w:p w14:paraId="30E715A9">
            <w:pPr>
              <w:spacing w:line="250" w:lineRule="auto"/>
              <w:rPr>
                <w:rFonts w:ascii="Arial"/>
                <w:sz w:val="21"/>
              </w:rPr>
            </w:pPr>
          </w:p>
          <w:p w14:paraId="71CA5C00">
            <w:pPr>
              <w:spacing w:line="250" w:lineRule="auto"/>
              <w:rPr>
                <w:rFonts w:ascii="Arial"/>
                <w:sz w:val="21"/>
              </w:rPr>
            </w:pPr>
          </w:p>
          <w:p w14:paraId="77554D30">
            <w:pPr>
              <w:spacing w:line="250" w:lineRule="auto"/>
              <w:rPr>
                <w:rFonts w:ascii="Arial"/>
                <w:sz w:val="21"/>
              </w:rPr>
            </w:pPr>
          </w:p>
          <w:p w14:paraId="7F9970B5">
            <w:pPr>
              <w:spacing w:line="251" w:lineRule="auto"/>
              <w:rPr>
                <w:rFonts w:ascii="Arial"/>
                <w:sz w:val="21"/>
              </w:rPr>
            </w:pPr>
          </w:p>
          <w:p w14:paraId="663649F5">
            <w:pPr>
              <w:pStyle w:val="6"/>
              <w:spacing w:before="68" w:line="241" w:lineRule="auto"/>
              <w:ind w:left="414"/>
            </w:pPr>
            <w:r>
              <w:t>2</w:t>
            </w:r>
          </w:p>
        </w:tc>
        <w:tc>
          <w:tcPr>
            <w:tcW w:w="1209" w:type="dxa"/>
            <w:vMerge w:val="continue"/>
            <w:tcBorders>
              <w:top w:val="nil"/>
            </w:tcBorders>
            <w:vAlign w:val="top"/>
          </w:tcPr>
          <w:p w14:paraId="5118A9FF">
            <w:pPr>
              <w:rPr>
                <w:rFonts w:ascii="Arial"/>
                <w:sz w:val="21"/>
              </w:rPr>
            </w:pPr>
          </w:p>
        </w:tc>
        <w:tc>
          <w:tcPr>
            <w:tcW w:w="2738" w:type="dxa"/>
            <w:vAlign w:val="top"/>
          </w:tcPr>
          <w:p w14:paraId="238E7BCB">
            <w:pPr>
              <w:spacing w:line="356" w:lineRule="auto"/>
              <w:rPr>
                <w:rFonts w:ascii="Arial"/>
                <w:sz w:val="21"/>
              </w:rPr>
            </w:pPr>
          </w:p>
          <w:p w14:paraId="7AB84645">
            <w:pPr>
              <w:spacing w:line="356" w:lineRule="auto"/>
              <w:rPr>
                <w:rFonts w:ascii="Arial"/>
                <w:sz w:val="21"/>
              </w:rPr>
            </w:pPr>
          </w:p>
          <w:p w14:paraId="471C925D">
            <w:pPr>
              <w:pStyle w:val="6"/>
              <w:spacing w:before="68" w:line="494" w:lineRule="auto"/>
              <w:ind w:left="10"/>
            </w:pPr>
            <w:r>
              <w:rPr>
                <w:spacing w:val="-1"/>
              </w:rPr>
              <w:t>生产企业投入是否满足安全生</w:t>
            </w:r>
            <w:r>
              <w:t xml:space="preserve"> </w:t>
            </w:r>
            <w:r>
              <w:rPr>
                <w:spacing w:val="24"/>
              </w:rPr>
              <w:t>产需求</w:t>
            </w:r>
            <w:r>
              <w:rPr>
                <w:spacing w:val="-49"/>
              </w:rPr>
              <w:t xml:space="preserve"> </w:t>
            </w:r>
            <w:r>
              <w:rPr>
                <w:spacing w:val="24"/>
              </w:rPr>
              <w:t>；</w:t>
            </w:r>
          </w:p>
        </w:tc>
        <w:tc>
          <w:tcPr>
            <w:tcW w:w="959" w:type="dxa"/>
            <w:vMerge w:val="continue"/>
            <w:tcBorders>
              <w:top w:val="nil"/>
            </w:tcBorders>
            <w:vAlign w:val="top"/>
          </w:tcPr>
          <w:p w14:paraId="36946890">
            <w:pPr>
              <w:rPr>
                <w:rFonts w:ascii="Arial"/>
                <w:sz w:val="21"/>
              </w:rPr>
            </w:pPr>
          </w:p>
        </w:tc>
        <w:tc>
          <w:tcPr>
            <w:tcW w:w="600" w:type="dxa"/>
            <w:vMerge w:val="continue"/>
            <w:tcBorders>
              <w:top w:val="nil"/>
            </w:tcBorders>
            <w:vAlign w:val="top"/>
          </w:tcPr>
          <w:p w14:paraId="58C0A2C3">
            <w:pPr>
              <w:rPr>
                <w:rFonts w:ascii="Arial"/>
                <w:sz w:val="21"/>
              </w:rPr>
            </w:pPr>
          </w:p>
        </w:tc>
        <w:tc>
          <w:tcPr>
            <w:tcW w:w="899" w:type="dxa"/>
            <w:vMerge w:val="continue"/>
            <w:tcBorders>
              <w:top w:val="nil"/>
            </w:tcBorders>
            <w:vAlign w:val="top"/>
          </w:tcPr>
          <w:p w14:paraId="70EE0903">
            <w:pPr>
              <w:rPr>
                <w:rFonts w:ascii="Arial"/>
                <w:sz w:val="21"/>
              </w:rPr>
            </w:pPr>
          </w:p>
        </w:tc>
        <w:tc>
          <w:tcPr>
            <w:tcW w:w="1049" w:type="dxa"/>
            <w:vMerge w:val="continue"/>
            <w:tcBorders>
              <w:top w:val="nil"/>
            </w:tcBorders>
            <w:vAlign w:val="top"/>
          </w:tcPr>
          <w:p w14:paraId="5AB3F9DB">
            <w:pPr>
              <w:rPr>
                <w:rFonts w:ascii="Arial"/>
                <w:sz w:val="21"/>
              </w:rPr>
            </w:pPr>
          </w:p>
        </w:tc>
        <w:tc>
          <w:tcPr>
            <w:tcW w:w="7123" w:type="dxa"/>
            <w:vAlign w:val="top"/>
          </w:tcPr>
          <w:p w14:paraId="3635D944">
            <w:pPr>
              <w:pStyle w:val="6"/>
              <w:spacing w:before="205" w:line="495" w:lineRule="auto"/>
              <w:ind w:left="15" w:hanging="14"/>
              <w:jc w:val="both"/>
            </w:pPr>
            <w:r>
              <w:rPr>
                <w:rFonts w:hint="eastAsia"/>
                <w:spacing w:val="-4"/>
                <w:lang w:eastAsia="zh-CN"/>
              </w:rPr>
              <w:t>《中华人民共和国安全生产法》</w:t>
            </w:r>
            <w:r>
              <w:rPr>
                <w:spacing w:val="-4"/>
              </w:rPr>
              <w:t>第二十三条 生产经营单位应当具备的安全生产条件所必需的资</w:t>
            </w:r>
            <w:r>
              <w:rPr>
                <w:spacing w:val="5"/>
              </w:rPr>
              <w:t xml:space="preserve"> </w:t>
            </w:r>
            <w:r>
              <w:rPr>
                <w:spacing w:val="-8"/>
              </w:rPr>
              <w:t>金投入，由生产经营单位的决策机构、主要负责人或者个人经营的投资人予以保</w:t>
            </w:r>
            <w:r>
              <w:rPr>
                <w:spacing w:val="17"/>
              </w:rPr>
              <w:t xml:space="preserve"> </w:t>
            </w:r>
            <w:r>
              <w:rPr>
                <w:spacing w:val="-1"/>
              </w:rPr>
              <w:t>证，并对由于安全生产所必需的资金投入不足导致的后果承担责任。</w:t>
            </w:r>
          </w:p>
          <w:p w14:paraId="5605B391">
            <w:pPr>
              <w:pStyle w:val="6"/>
              <w:spacing w:line="219" w:lineRule="auto"/>
              <w:jc w:val="right"/>
            </w:pPr>
            <w:r>
              <w:rPr>
                <w:spacing w:val="-7"/>
              </w:rPr>
              <w:t>有关生产经营单位应当按照规定提取和使用安全生产费用</w:t>
            </w:r>
            <w:r>
              <w:rPr>
                <w:spacing w:val="-8"/>
              </w:rPr>
              <w:t>，专门用于改善安全生</w:t>
            </w:r>
          </w:p>
        </w:tc>
      </w:tr>
    </w:tbl>
    <w:p w14:paraId="39C9611A">
      <w:pPr>
        <w:pStyle w:val="2"/>
      </w:pPr>
    </w:p>
    <w:p w14:paraId="6B4B60D2">
      <w:pPr>
        <w:sectPr>
          <w:footerReference r:id="rId12" w:type="default"/>
          <w:pgSz w:w="16820" w:h="11900"/>
          <w:pgMar w:top="400" w:right="672" w:bottom="1827" w:left="594" w:header="0" w:footer="1438" w:gutter="0"/>
          <w:cols w:space="720" w:num="1"/>
        </w:sectPr>
      </w:pPr>
    </w:p>
    <w:p w14:paraId="3FF4DFB2">
      <w:pPr>
        <w:spacing w:before="30"/>
      </w:pPr>
    </w:p>
    <w:p w14:paraId="289EC914">
      <w:pPr>
        <w:spacing w:before="30"/>
      </w:pPr>
    </w:p>
    <w:p w14:paraId="7FB575BD">
      <w:pPr>
        <w:spacing w:before="29"/>
      </w:pPr>
    </w:p>
    <w:p w14:paraId="1E92E9BE">
      <w:pPr>
        <w:spacing w:before="29"/>
      </w:pPr>
    </w:p>
    <w:p w14:paraId="0185214A">
      <w:pPr>
        <w:spacing w:before="29"/>
      </w:pPr>
    </w:p>
    <w:tbl>
      <w:tblPr>
        <w:tblStyle w:val="5"/>
        <w:tblW w:w="155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4"/>
        <w:gridCol w:w="1209"/>
        <w:gridCol w:w="2728"/>
        <w:gridCol w:w="969"/>
        <w:gridCol w:w="600"/>
        <w:gridCol w:w="889"/>
        <w:gridCol w:w="1040"/>
        <w:gridCol w:w="7143"/>
      </w:tblGrid>
      <w:tr w14:paraId="667BD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2" w:hRule="atLeast"/>
        </w:trPr>
        <w:tc>
          <w:tcPr>
            <w:tcW w:w="964" w:type="dxa"/>
            <w:vAlign w:val="top"/>
          </w:tcPr>
          <w:p w14:paraId="21C2D33F">
            <w:pPr>
              <w:rPr>
                <w:rFonts w:ascii="Arial"/>
                <w:sz w:val="21"/>
              </w:rPr>
            </w:pPr>
          </w:p>
        </w:tc>
        <w:tc>
          <w:tcPr>
            <w:tcW w:w="1209" w:type="dxa"/>
            <w:vMerge w:val="restart"/>
            <w:tcBorders>
              <w:bottom w:val="nil"/>
            </w:tcBorders>
            <w:vAlign w:val="top"/>
          </w:tcPr>
          <w:p w14:paraId="48DE366F">
            <w:pPr>
              <w:rPr>
                <w:rFonts w:ascii="Arial"/>
                <w:sz w:val="21"/>
              </w:rPr>
            </w:pPr>
          </w:p>
        </w:tc>
        <w:tc>
          <w:tcPr>
            <w:tcW w:w="2728" w:type="dxa"/>
            <w:vAlign w:val="top"/>
          </w:tcPr>
          <w:p w14:paraId="7FE2C305">
            <w:pPr>
              <w:rPr>
                <w:rFonts w:ascii="Arial"/>
                <w:sz w:val="21"/>
              </w:rPr>
            </w:pPr>
          </w:p>
        </w:tc>
        <w:tc>
          <w:tcPr>
            <w:tcW w:w="969" w:type="dxa"/>
            <w:vMerge w:val="restart"/>
            <w:tcBorders>
              <w:bottom w:val="nil"/>
            </w:tcBorders>
            <w:vAlign w:val="top"/>
          </w:tcPr>
          <w:p w14:paraId="51AFB2FE">
            <w:pPr>
              <w:rPr>
                <w:rFonts w:ascii="Arial"/>
                <w:sz w:val="21"/>
              </w:rPr>
            </w:pPr>
          </w:p>
        </w:tc>
        <w:tc>
          <w:tcPr>
            <w:tcW w:w="600" w:type="dxa"/>
            <w:vMerge w:val="restart"/>
            <w:tcBorders>
              <w:bottom w:val="nil"/>
            </w:tcBorders>
            <w:vAlign w:val="top"/>
          </w:tcPr>
          <w:p w14:paraId="06EBF419">
            <w:pPr>
              <w:rPr>
                <w:rFonts w:ascii="Arial"/>
                <w:sz w:val="21"/>
              </w:rPr>
            </w:pPr>
          </w:p>
        </w:tc>
        <w:tc>
          <w:tcPr>
            <w:tcW w:w="889" w:type="dxa"/>
            <w:vMerge w:val="restart"/>
            <w:tcBorders>
              <w:bottom w:val="nil"/>
            </w:tcBorders>
            <w:vAlign w:val="top"/>
          </w:tcPr>
          <w:p w14:paraId="40C336C1">
            <w:pPr>
              <w:rPr>
                <w:rFonts w:ascii="Arial"/>
                <w:sz w:val="21"/>
              </w:rPr>
            </w:pPr>
          </w:p>
        </w:tc>
        <w:tc>
          <w:tcPr>
            <w:tcW w:w="1040" w:type="dxa"/>
            <w:vMerge w:val="restart"/>
            <w:tcBorders>
              <w:bottom w:val="nil"/>
            </w:tcBorders>
            <w:vAlign w:val="top"/>
          </w:tcPr>
          <w:p w14:paraId="2854CE1A">
            <w:pPr>
              <w:rPr>
                <w:rFonts w:ascii="Arial"/>
                <w:sz w:val="21"/>
              </w:rPr>
            </w:pPr>
          </w:p>
        </w:tc>
        <w:tc>
          <w:tcPr>
            <w:tcW w:w="7143" w:type="dxa"/>
            <w:vAlign w:val="top"/>
          </w:tcPr>
          <w:p w14:paraId="2298376A">
            <w:pPr>
              <w:pStyle w:val="6"/>
              <w:spacing w:before="182" w:line="503" w:lineRule="auto"/>
              <w:ind w:left="15"/>
            </w:pPr>
            <w:r>
              <w:rPr>
                <w:spacing w:val="-7"/>
              </w:rPr>
              <w:t>产条件。安全生产费用在成本中据实列支。安全生产费用提取、使用和监督管理</w:t>
            </w:r>
            <w:r>
              <w:rPr>
                <w:spacing w:val="11"/>
              </w:rPr>
              <w:t xml:space="preserve"> </w:t>
            </w:r>
            <w:r>
              <w:rPr>
                <w:spacing w:val="-1"/>
              </w:rPr>
              <w:t>的具体办法由国务院财政部门会同国务院应急管理部门征求国务院有关部门意</w:t>
            </w:r>
          </w:p>
          <w:p w14:paraId="3944AB61">
            <w:pPr>
              <w:pStyle w:val="6"/>
              <w:spacing w:before="17" w:line="219" w:lineRule="auto"/>
              <w:ind w:left="15"/>
            </w:pPr>
            <w:r>
              <w:rPr>
                <w:spacing w:val="-1"/>
              </w:rPr>
              <w:t>见后制定。</w:t>
            </w:r>
          </w:p>
        </w:tc>
      </w:tr>
      <w:tr w14:paraId="0C250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5" w:hRule="atLeast"/>
        </w:trPr>
        <w:tc>
          <w:tcPr>
            <w:tcW w:w="964" w:type="dxa"/>
            <w:vAlign w:val="top"/>
          </w:tcPr>
          <w:p w14:paraId="18CDDAAC">
            <w:pPr>
              <w:spacing w:line="263" w:lineRule="auto"/>
              <w:rPr>
                <w:rFonts w:ascii="Arial"/>
                <w:sz w:val="21"/>
              </w:rPr>
            </w:pPr>
          </w:p>
          <w:p w14:paraId="6199E3A2">
            <w:pPr>
              <w:spacing w:line="263" w:lineRule="auto"/>
              <w:rPr>
                <w:rFonts w:ascii="Arial"/>
                <w:sz w:val="21"/>
              </w:rPr>
            </w:pPr>
          </w:p>
          <w:p w14:paraId="072CA735">
            <w:pPr>
              <w:spacing w:line="263" w:lineRule="auto"/>
              <w:rPr>
                <w:rFonts w:ascii="Arial"/>
                <w:sz w:val="21"/>
              </w:rPr>
            </w:pPr>
          </w:p>
          <w:p w14:paraId="10255AAD">
            <w:pPr>
              <w:spacing w:line="263" w:lineRule="auto"/>
              <w:rPr>
                <w:rFonts w:ascii="Arial"/>
                <w:sz w:val="21"/>
              </w:rPr>
            </w:pPr>
          </w:p>
          <w:p w14:paraId="327DE349">
            <w:pPr>
              <w:spacing w:line="263" w:lineRule="auto"/>
              <w:rPr>
                <w:rFonts w:ascii="Arial"/>
                <w:sz w:val="21"/>
              </w:rPr>
            </w:pPr>
          </w:p>
          <w:p w14:paraId="54F8669B">
            <w:pPr>
              <w:spacing w:line="263" w:lineRule="auto"/>
              <w:rPr>
                <w:rFonts w:ascii="Arial"/>
                <w:sz w:val="21"/>
              </w:rPr>
            </w:pPr>
          </w:p>
          <w:p w14:paraId="37321FB4">
            <w:pPr>
              <w:spacing w:line="264" w:lineRule="auto"/>
              <w:rPr>
                <w:rFonts w:ascii="Arial"/>
                <w:sz w:val="21"/>
              </w:rPr>
            </w:pPr>
          </w:p>
          <w:p w14:paraId="52578DF2">
            <w:pPr>
              <w:pStyle w:val="6"/>
              <w:spacing w:before="68"/>
              <w:ind w:left="414"/>
            </w:pPr>
            <w:r>
              <w:t>3</w:t>
            </w:r>
          </w:p>
        </w:tc>
        <w:tc>
          <w:tcPr>
            <w:tcW w:w="1209" w:type="dxa"/>
            <w:vMerge w:val="continue"/>
            <w:tcBorders>
              <w:top w:val="nil"/>
            </w:tcBorders>
            <w:vAlign w:val="top"/>
          </w:tcPr>
          <w:p w14:paraId="2E536894">
            <w:pPr>
              <w:rPr>
                <w:rFonts w:ascii="Arial"/>
                <w:sz w:val="21"/>
              </w:rPr>
            </w:pPr>
          </w:p>
        </w:tc>
        <w:tc>
          <w:tcPr>
            <w:tcW w:w="2728" w:type="dxa"/>
            <w:vAlign w:val="top"/>
          </w:tcPr>
          <w:p w14:paraId="7F103525">
            <w:pPr>
              <w:spacing w:line="251" w:lineRule="auto"/>
              <w:rPr>
                <w:rFonts w:ascii="Arial"/>
                <w:sz w:val="21"/>
              </w:rPr>
            </w:pPr>
          </w:p>
          <w:p w14:paraId="23FBC79A">
            <w:pPr>
              <w:spacing w:line="251" w:lineRule="auto"/>
              <w:rPr>
                <w:rFonts w:ascii="Arial"/>
                <w:sz w:val="21"/>
              </w:rPr>
            </w:pPr>
          </w:p>
          <w:p w14:paraId="17F52222">
            <w:pPr>
              <w:spacing w:line="251" w:lineRule="auto"/>
              <w:rPr>
                <w:rFonts w:ascii="Arial"/>
                <w:sz w:val="21"/>
              </w:rPr>
            </w:pPr>
          </w:p>
          <w:p w14:paraId="17E2F985">
            <w:pPr>
              <w:spacing w:line="251" w:lineRule="auto"/>
              <w:rPr>
                <w:rFonts w:ascii="Arial"/>
                <w:sz w:val="21"/>
              </w:rPr>
            </w:pPr>
          </w:p>
          <w:p w14:paraId="529054E9">
            <w:pPr>
              <w:spacing w:line="251" w:lineRule="auto"/>
              <w:rPr>
                <w:rFonts w:ascii="Arial"/>
                <w:sz w:val="21"/>
              </w:rPr>
            </w:pPr>
          </w:p>
          <w:p w14:paraId="7C846CC8">
            <w:pPr>
              <w:pStyle w:val="6"/>
              <w:spacing w:before="69" w:line="219" w:lineRule="auto"/>
              <w:jc w:val="right"/>
            </w:pPr>
            <w:r>
              <w:rPr>
                <w:spacing w:val="-2"/>
              </w:rPr>
              <w:t>煤矿安全生产管理制度是否健</w:t>
            </w:r>
          </w:p>
          <w:p w14:paraId="66282C4C">
            <w:pPr>
              <w:spacing w:line="241" w:lineRule="auto"/>
              <w:rPr>
                <w:rFonts w:ascii="Arial"/>
                <w:sz w:val="21"/>
              </w:rPr>
            </w:pPr>
          </w:p>
          <w:p w14:paraId="577C3A44">
            <w:pPr>
              <w:pStyle w:val="6"/>
              <w:spacing w:before="68" w:line="219" w:lineRule="auto"/>
              <w:ind w:left="92"/>
            </w:pPr>
            <w:r>
              <w:rPr>
                <w:spacing w:val="-1"/>
              </w:rPr>
              <w:t>全且是否按要求进行贯彻落</w:t>
            </w:r>
          </w:p>
          <w:p w14:paraId="7346A096">
            <w:pPr>
              <w:spacing w:line="251" w:lineRule="auto"/>
              <w:rPr>
                <w:rFonts w:ascii="Arial"/>
                <w:sz w:val="21"/>
              </w:rPr>
            </w:pPr>
          </w:p>
          <w:p w14:paraId="18AE2B7D">
            <w:pPr>
              <w:pStyle w:val="6"/>
              <w:spacing w:before="68" w:line="220" w:lineRule="auto"/>
              <w:ind w:left="11"/>
            </w:pPr>
            <w:r>
              <w:rPr>
                <w:spacing w:val="-7"/>
              </w:rPr>
              <w:t>实</w:t>
            </w:r>
            <w:r>
              <w:rPr>
                <w:spacing w:val="62"/>
              </w:rPr>
              <w:t xml:space="preserve"> </w:t>
            </w:r>
            <w:r>
              <w:rPr>
                <w:spacing w:val="-7"/>
              </w:rPr>
              <w:t>；</w:t>
            </w:r>
          </w:p>
        </w:tc>
        <w:tc>
          <w:tcPr>
            <w:tcW w:w="969" w:type="dxa"/>
            <w:vMerge w:val="continue"/>
            <w:tcBorders>
              <w:top w:val="nil"/>
            </w:tcBorders>
            <w:vAlign w:val="top"/>
          </w:tcPr>
          <w:p w14:paraId="2FB85243">
            <w:pPr>
              <w:rPr>
                <w:rFonts w:ascii="Arial"/>
                <w:sz w:val="21"/>
              </w:rPr>
            </w:pPr>
          </w:p>
        </w:tc>
        <w:tc>
          <w:tcPr>
            <w:tcW w:w="600" w:type="dxa"/>
            <w:vMerge w:val="continue"/>
            <w:tcBorders>
              <w:top w:val="nil"/>
            </w:tcBorders>
            <w:vAlign w:val="top"/>
          </w:tcPr>
          <w:p w14:paraId="521B273F">
            <w:pPr>
              <w:rPr>
                <w:rFonts w:ascii="Arial"/>
                <w:sz w:val="21"/>
              </w:rPr>
            </w:pPr>
          </w:p>
        </w:tc>
        <w:tc>
          <w:tcPr>
            <w:tcW w:w="889" w:type="dxa"/>
            <w:vMerge w:val="continue"/>
            <w:tcBorders>
              <w:top w:val="nil"/>
            </w:tcBorders>
            <w:vAlign w:val="top"/>
          </w:tcPr>
          <w:p w14:paraId="1B19748B">
            <w:pPr>
              <w:rPr>
                <w:rFonts w:ascii="Arial"/>
                <w:sz w:val="21"/>
              </w:rPr>
            </w:pPr>
          </w:p>
        </w:tc>
        <w:tc>
          <w:tcPr>
            <w:tcW w:w="1040" w:type="dxa"/>
            <w:vMerge w:val="continue"/>
            <w:tcBorders>
              <w:top w:val="nil"/>
            </w:tcBorders>
            <w:vAlign w:val="top"/>
          </w:tcPr>
          <w:p w14:paraId="4491ACAF">
            <w:pPr>
              <w:rPr>
                <w:rFonts w:ascii="Arial"/>
                <w:sz w:val="21"/>
              </w:rPr>
            </w:pPr>
          </w:p>
        </w:tc>
        <w:tc>
          <w:tcPr>
            <w:tcW w:w="7143" w:type="dxa"/>
            <w:vAlign w:val="top"/>
          </w:tcPr>
          <w:p w14:paraId="2839A9DE">
            <w:pPr>
              <w:pStyle w:val="6"/>
              <w:spacing w:before="211" w:line="476" w:lineRule="auto"/>
              <w:ind w:left="25" w:hanging="5"/>
            </w:pPr>
            <w:r>
              <w:rPr>
                <w:rFonts w:hint="eastAsia"/>
                <w:spacing w:val="-1"/>
                <w:lang w:eastAsia="zh-CN"/>
              </w:rPr>
              <w:t>《中华人民共和国安全生产法》</w:t>
            </w:r>
            <w:r>
              <w:rPr>
                <w:spacing w:val="-1"/>
              </w:rPr>
              <w:t>第四条 生产经营单位必须遵守本法和其他有关安全生产的法</w:t>
            </w:r>
            <w:r>
              <w:rPr>
                <w:spacing w:val="6"/>
              </w:rPr>
              <w:t xml:space="preserve">  </w:t>
            </w:r>
            <w:r>
              <w:rPr>
                <w:spacing w:val="-7"/>
              </w:rPr>
              <w:t>律、法规，加强安全生产管理，建立健全全员安全生产责任制和安全生产规章制</w:t>
            </w:r>
          </w:p>
          <w:p w14:paraId="15625D27">
            <w:pPr>
              <w:pStyle w:val="6"/>
              <w:spacing w:before="47" w:line="493" w:lineRule="auto"/>
              <w:ind w:left="15"/>
              <w:jc w:val="both"/>
            </w:pPr>
            <w:r>
              <w:rPr>
                <w:spacing w:val="-7"/>
              </w:rPr>
              <w:t>度，加大对安全生产资金、物资、技术、人员的投入保障力度，改善</w:t>
            </w:r>
            <w:r>
              <w:rPr>
                <w:spacing w:val="-8"/>
              </w:rPr>
              <w:t>安全生产条</w:t>
            </w:r>
            <w:r>
              <w:t xml:space="preserve"> </w:t>
            </w:r>
            <w:r>
              <w:rPr>
                <w:spacing w:val="-7"/>
              </w:rPr>
              <w:t>件，加强安全生产标准化、信息化建设，构建安全风险分级管控</w:t>
            </w:r>
            <w:r>
              <w:rPr>
                <w:spacing w:val="-8"/>
              </w:rPr>
              <w:t>和隐患排查治理</w:t>
            </w:r>
            <w:r>
              <w:t xml:space="preserve"> </w:t>
            </w:r>
            <w:r>
              <w:rPr>
                <w:spacing w:val="-1"/>
              </w:rPr>
              <w:t>双重预防机制，健全风险防范化解机制，提高安全生产水平，确保安全生产。</w:t>
            </w:r>
          </w:p>
          <w:p w14:paraId="516D6ACC">
            <w:pPr>
              <w:pStyle w:val="6"/>
              <w:spacing w:before="6" w:line="424" w:lineRule="auto"/>
              <w:ind w:left="15" w:firstLine="10"/>
            </w:pPr>
            <w:r>
              <w:rPr>
                <w:spacing w:val="-4"/>
              </w:rPr>
              <w:t>第五十七条 从业人员在作业过程中，应当</w:t>
            </w:r>
            <w:r>
              <w:rPr>
                <w:spacing w:val="-5"/>
              </w:rPr>
              <w:t>严格落实岗位安全责任，遵守本单位</w:t>
            </w:r>
            <w:r>
              <w:t xml:space="preserve"> </w:t>
            </w:r>
            <w:r>
              <w:rPr>
                <w:spacing w:val="-1"/>
              </w:rPr>
              <w:t>的安全生产规章制度和操作规程，服从管理，正确佩戴和使用劳动防护用品。</w:t>
            </w:r>
          </w:p>
        </w:tc>
      </w:tr>
      <w:tr w14:paraId="28AB2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8" w:hRule="atLeast"/>
        </w:trPr>
        <w:tc>
          <w:tcPr>
            <w:tcW w:w="964" w:type="dxa"/>
            <w:vAlign w:val="top"/>
          </w:tcPr>
          <w:p w14:paraId="719B1A3C">
            <w:pPr>
              <w:spacing w:line="241" w:lineRule="auto"/>
              <w:rPr>
                <w:rFonts w:ascii="Arial"/>
                <w:sz w:val="21"/>
              </w:rPr>
            </w:pPr>
          </w:p>
          <w:p w14:paraId="3386A00F">
            <w:pPr>
              <w:spacing w:line="241" w:lineRule="auto"/>
              <w:rPr>
                <w:rFonts w:ascii="Arial"/>
                <w:sz w:val="21"/>
              </w:rPr>
            </w:pPr>
          </w:p>
          <w:p w14:paraId="1F31CF56">
            <w:pPr>
              <w:spacing w:line="242" w:lineRule="auto"/>
              <w:rPr>
                <w:rFonts w:ascii="Arial"/>
                <w:sz w:val="21"/>
              </w:rPr>
            </w:pPr>
          </w:p>
          <w:p w14:paraId="059B534C">
            <w:pPr>
              <w:pStyle w:val="6"/>
              <w:spacing w:before="69" w:line="241" w:lineRule="auto"/>
              <w:ind w:left="414"/>
            </w:pPr>
            <w:r>
              <w:t>4</w:t>
            </w:r>
          </w:p>
        </w:tc>
        <w:tc>
          <w:tcPr>
            <w:tcW w:w="1209" w:type="dxa"/>
            <w:vMerge w:val="restart"/>
            <w:tcBorders>
              <w:bottom w:val="nil"/>
            </w:tcBorders>
            <w:vAlign w:val="top"/>
          </w:tcPr>
          <w:p w14:paraId="36922734">
            <w:pPr>
              <w:rPr>
                <w:rFonts w:ascii="Arial"/>
                <w:sz w:val="21"/>
              </w:rPr>
            </w:pPr>
          </w:p>
        </w:tc>
        <w:tc>
          <w:tcPr>
            <w:tcW w:w="2728" w:type="dxa"/>
            <w:vAlign w:val="top"/>
          </w:tcPr>
          <w:p w14:paraId="5A5C79FC">
            <w:pPr>
              <w:pStyle w:val="6"/>
              <w:spacing w:before="195" w:line="449" w:lineRule="auto"/>
              <w:ind w:left="11"/>
              <w:jc w:val="both"/>
            </w:pPr>
            <w:r>
              <w:rPr>
                <w:spacing w:val="-2"/>
              </w:rPr>
              <w:t>企业是否取得有效的危险化学</w:t>
            </w:r>
            <w:r>
              <w:rPr>
                <w:spacing w:val="1"/>
              </w:rPr>
              <w:t xml:space="preserve"> </w:t>
            </w:r>
            <w:r>
              <w:rPr>
                <w:spacing w:val="-3"/>
              </w:rPr>
              <w:t>品经营许可证或安全生产许可</w:t>
            </w:r>
            <w:r>
              <w:t xml:space="preserve"> </w:t>
            </w:r>
            <w:r>
              <w:rPr>
                <w:spacing w:val="-5"/>
              </w:rPr>
              <w:t>证</w:t>
            </w:r>
            <w:r>
              <w:rPr>
                <w:spacing w:val="56"/>
              </w:rPr>
              <w:t xml:space="preserve"> </w:t>
            </w:r>
            <w:r>
              <w:rPr>
                <w:spacing w:val="-5"/>
              </w:rPr>
              <w:t>；</w:t>
            </w:r>
          </w:p>
        </w:tc>
        <w:tc>
          <w:tcPr>
            <w:tcW w:w="969" w:type="dxa"/>
            <w:vMerge w:val="restart"/>
            <w:tcBorders>
              <w:bottom w:val="nil"/>
            </w:tcBorders>
            <w:vAlign w:val="top"/>
          </w:tcPr>
          <w:p w14:paraId="3EA0FF19">
            <w:pPr>
              <w:rPr>
                <w:rFonts w:ascii="Arial"/>
                <w:sz w:val="21"/>
              </w:rPr>
            </w:pPr>
          </w:p>
        </w:tc>
        <w:tc>
          <w:tcPr>
            <w:tcW w:w="600" w:type="dxa"/>
            <w:vMerge w:val="restart"/>
            <w:tcBorders>
              <w:bottom w:val="nil"/>
            </w:tcBorders>
            <w:vAlign w:val="top"/>
          </w:tcPr>
          <w:p w14:paraId="0A42A2ED">
            <w:pPr>
              <w:rPr>
                <w:rFonts w:ascii="Arial"/>
                <w:sz w:val="21"/>
              </w:rPr>
            </w:pPr>
          </w:p>
        </w:tc>
        <w:tc>
          <w:tcPr>
            <w:tcW w:w="889" w:type="dxa"/>
            <w:vMerge w:val="restart"/>
            <w:tcBorders>
              <w:bottom w:val="nil"/>
            </w:tcBorders>
            <w:vAlign w:val="top"/>
          </w:tcPr>
          <w:p w14:paraId="0D9E3265">
            <w:pPr>
              <w:rPr>
                <w:rFonts w:ascii="Arial"/>
                <w:sz w:val="21"/>
              </w:rPr>
            </w:pPr>
          </w:p>
        </w:tc>
        <w:tc>
          <w:tcPr>
            <w:tcW w:w="1040" w:type="dxa"/>
            <w:vMerge w:val="restart"/>
            <w:tcBorders>
              <w:bottom w:val="nil"/>
            </w:tcBorders>
            <w:vAlign w:val="top"/>
          </w:tcPr>
          <w:p w14:paraId="5537548F">
            <w:pPr>
              <w:rPr>
                <w:rFonts w:ascii="Arial"/>
                <w:sz w:val="21"/>
              </w:rPr>
            </w:pPr>
          </w:p>
        </w:tc>
        <w:tc>
          <w:tcPr>
            <w:tcW w:w="7143" w:type="dxa"/>
            <w:vAlign w:val="top"/>
          </w:tcPr>
          <w:p w14:paraId="1DA13C6A">
            <w:pPr>
              <w:pStyle w:val="6"/>
              <w:spacing w:before="216" w:line="443" w:lineRule="auto"/>
              <w:ind w:left="25" w:hanging="5"/>
              <w:jc w:val="both"/>
            </w:pPr>
            <w:r>
              <w:rPr>
                <w:spacing w:val="-4"/>
              </w:rPr>
              <w:t>《危险化学品经营许可证管理办法》第三条国家对危险化学品经营实行许可制</w:t>
            </w:r>
            <w:r>
              <w:rPr>
                <w:spacing w:val="6"/>
              </w:rPr>
              <w:t xml:space="preserve">  </w:t>
            </w:r>
            <w:r>
              <w:rPr>
                <w:spacing w:val="-7"/>
              </w:rPr>
              <w:t>度。经营危险化学品的企业，应当依照本办法取得危险化学品经营许可证(以下</w:t>
            </w:r>
            <w:r>
              <w:rPr>
                <w:spacing w:val="9"/>
              </w:rPr>
              <w:t xml:space="preserve">  </w:t>
            </w:r>
            <w:r>
              <w:rPr>
                <w:spacing w:val="-4"/>
              </w:rPr>
              <w:t>简称经营许可证)。未取得经营许可证，任何单位和个人不得经营危险化学品。</w:t>
            </w:r>
          </w:p>
        </w:tc>
      </w:tr>
      <w:tr w14:paraId="5714D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964" w:type="dxa"/>
            <w:vAlign w:val="top"/>
          </w:tcPr>
          <w:p w14:paraId="721A246B">
            <w:pPr>
              <w:spacing w:line="289" w:lineRule="auto"/>
              <w:rPr>
                <w:rFonts w:ascii="Arial"/>
                <w:sz w:val="21"/>
              </w:rPr>
            </w:pPr>
          </w:p>
          <w:p w14:paraId="2B1A13F0">
            <w:pPr>
              <w:pStyle w:val="6"/>
              <w:spacing w:before="68"/>
              <w:ind w:left="414"/>
            </w:pPr>
            <w:r>
              <w:t>5</w:t>
            </w:r>
          </w:p>
        </w:tc>
        <w:tc>
          <w:tcPr>
            <w:tcW w:w="1209" w:type="dxa"/>
            <w:vMerge w:val="continue"/>
            <w:tcBorders>
              <w:top w:val="nil"/>
            </w:tcBorders>
            <w:vAlign w:val="top"/>
          </w:tcPr>
          <w:p w14:paraId="5D55B70E">
            <w:pPr>
              <w:rPr>
                <w:rFonts w:ascii="Arial"/>
                <w:sz w:val="21"/>
              </w:rPr>
            </w:pPr>
          </w:p>
        </w:tc>
        <w:tc>
          <w:tcPr>
            <w:tcW w:w="2728" w:type="dxa"/>
            <w:vAlign w:val="top"/>
          </w:tcPr>
          <w:p w14:paraId="7D1BAF78">
            <w:pPr>
              <w:spacing w:line="268" w:lineRule="auto"/>
              <w:rPr>
                <w:rFonts w:ascii="Arial"/>
                <w:sz w:val="21"/>
              </w:rPr>
            </w:pPr>
          </w:p>
          <w:p w14:paraId="57AA26BC">
            <w:pPr>
              <w:pStyle w:val="6"/>
              <w:spacing w:before="69" w:line="219" w:lineRule="auto"/>
              <w:jc w:val="right"/>
            </w:pPr>
            <w:r>
              <w:rPr>
                <w:spacing w:val="-2"/>
              </w:rPr>
              <w:t>企业是否建立健全生产安全事</w:t>
            </w:r>
          </w:p>
        </w:tc>
        <w:tc>
          <w:tcPr>
            <w:tcW w:w="969" w:type="dxa"/>
            <w:vMerge w:val="continue"/>
            <w:tcBorders>
              <w:top w:val="nil"/>
            </w:tcBorders>
            <w:vAlign w:val="top"/>
          </w:tcPr>
          <w:p w14:paraId="71E2A3B3">
            <w:pPr>
              <w:rPr>
                <w:rFonts w:ascii="Arial"/>
                <w:sz w:val="21"/>
              </w:rPr>
            </w:pPr>
          </w:p>
        </w:tc>
        <w:tc>
          <w:tcPr>
            <w:tcW w:w="600" w:type="dxa"/>
            <w:vMerge w:val="continue"/>
            <w:tcBorders>
              <w:top w:val="nil"/>
            </w:tcBorders>
            <w:vAlign w:val="top"/>
          </w:tcPr>
          <w:p w14:paraId="1BBC8066">
            <w:pPr>
              <w:rPr>
                <w:rFonts w:ascii="Arial"/>
                <w:sz w:val="21"/>
              </w:rPr>
            </w:pPr>
          </w:p>
        </w:tc>
        <w:tc>
          <w:tcPr>
            <w:tcW w:w="889" w:type="dxa"/>
            <w:vMerge w:val="continue"/>
            <w:tcBorders>
              <w:top w:val="nil"/>
            </w:tcBorders>
            <w:vAlign w:val="top"/>
          </w:tcPr>
          <w:p w14:paraId="4D735274">
            <w:pPr>
              <w:rPr>
                <w:rFonts w:ascii="Arial"/>
                <w:sz w:val="21"/>
              </w:rPr>
            </w:pPr>
          </w:p>
        </w:tc>
        <w:tc>
          <w:tcPr>
            <w:tcW w:w="1040" w:type="dxa"/>
            <w:vMerge w:val="continue"/>
            <w:tcBorders>
              <w:top w:val="nil"/>
            </w:tcBorders>
            <w:vAlign w:val="top"/>
          </w:tcPr>
          <w:p w14:paraId="16F2E2EC">
            <w:pPr>
              <w:rPr>
                <w:rFonts w:ascii="Arial"/>
                <w:sz w:val="21"/>
              </w:rPr>
            </w:pPr>
          </w:p>
        </w:tc>
        <w:tc>
          <w:tcPr>
            <w:tcW w:w="7143" w:type="dxa"/>
            <w:vAlign w:val="top"/>
          </w:tcPr>
          <w:p w14:paraId="1F42B157">
            <w:pPr>
              <w:spacing w:line="268" w:lineRule="auto"/>
              <w:rPr>
                <w:rFonts w:ascii="Arial"/>
                <w:sz w:val="21"/>
              </w:rPr>
            </w:pPr>
          </w:p>
          <w:p w14:paraId="6ED76A71">
            <w:pPr>
              <w:pStyle w:val="6"/>
              <w:spacing w:before="69" w:line="219" w:lineRule="auto"/>
              <w:jc w:val="right"/>
            </w:pPr>
            <w:r>
              <w:rPr>
                <w:spacing w:val="-7"/>
              </w:rPr>
              <w:t>《中华人民共和国安全生产法》第四十一条第二款生产经营单位应当</w:t>
            </w:r>
            <w:r>
              <w:rPr>
                <w:spacing w:val="-8"/>
              </w:rPr>
              <w:t>建立健全并</w:t>
            </w:r>
          </w:p>
        </w:tc>
      </w:tr>
    </w:tbl>
    <w:p w14:paraId="0ADFA7C2">
      <w:pPr>
        <w:pStyle w:val="2"/>
        <w:spacing w:line="57" w:lineRule="exact"/>
        <w:rPr>
          <w:sz w:val="4"/>
        </w:rPr>
      </w:pPr>
    </w:p>
    <w:p w14:paraId="76A047F8">
      <w:pPr>
        <w:spacing w:line="57" w:lineRule="exact"/>
        <w:rPr>
          <w:sz w:val="4"/>
          <w:szCs w:val="4"/>
        </w:rPr>
        <w:sectPr>
          <w:footerReference r:id="rId13" w:type="default"/>
          <w:pgSz w:w="16820" w:h="11900"/>
          <w:pgMar w:top="400" w:right="742" w:bottom="1657" w:left="524" w:header="0" w:footer="1268" w:gutter="0"/>
          <w:cols w:space="720" w:num="1"/>
        </w:sectPr>
      </w:pPr>
    </w:p>
    <w:p w14:paraId="4E507BBB">
      <w:pPr>
        <w:spacing w:before="60"/>
      </w:pPr>
    </w:p>
    <w:p w14:paraId="3E95E0BD">
      <w:pPr>
        <w:spacing w:before="60"/>
      </w:pPr>
    </w:p>
    <w:p w14:paraId="2536668D">
      <w:pPr>
        <w:spacing w:before="60"/>
      </w:pPr>
    </w:p>
    <w:p w14:paraId="31A2A0B2">
      <w:pPr>
        <w:spacing w:before="59"/>
      </w:pPr>
    </w:p>
    <w:tbl>
      <w:tblPr>
        <w:tblStyle w:val="5"/>
        <w:tblW w:w="155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4"/>
        <w:gridCol w:w="1209"/>
        <w:gridCol w:w="2728"/>
        <w:gridCol w:w="960"/>
        <w:gridCol w:w="590"/>
        <w:gridCol w:w="899"/>
        <w:gridCol w:w="1049"/>
        <w:gridCol w:w="7120"/>
      </w:tblGrid>
      <w:tr w14:paraId="5CA34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2" w:hRule="atLeast"/>
        </w:trPr>
        <w:tc>
          <w:tcPr>
            <w:tcW w:w="964" w:type="dxa"/>
            <w:vAlign w:val="top"/>
          </w:tcPr>
          <w:p w14:paraId="16E2BA6F">
            <w:pPr>
              <w:rPr>
                <w:rFonts w:ascii="Arial"/>
                <w:sz w:val="21"/>
              </w:rPr>
            </w:pPr>
          </w:p>
        </w:tc>
        <w:tc>
          <w:tcPr>
            <w:tcW w:w="1209" w:type="dxa"/>
            <w:vMerge w:val="restart"/>
            <w:tcBorders>
              <w:bottom w:val="nil"/>
            </w:tcBorders>
            <w:vAlign w:val="top"/>
          </w:tcPr>
          <w:p w14:paraId="1590A79E">
            <w:pPr>
              <w:spacing w:line="247" w:lineRule="auto"/>
              <w:rPr>
                <w:rFonts w:ascii="Arial"/>
                <w:sz w:val="21"/>
              </w:rPr>
            </w:pPr>
          </w:p>
          <w:p w14:paraId="3FFE8FA8">
            <w:pPr>
              <w:spacing w:line="247" w:lineRule="auto"/>
              <w:rPr>
                <w:rFonts w:ascii="Arial"/>
                <w:sz w:val="21"/>
              </w:rPr>
            </w:pPr>
          </w:p>
          <w:p w14:paraId="2F33D7C0">
            <w:pPr>
              <w:spacing w:line="247" w:lineRule="auto"/>
              <w:rPr>
                <w:rFonts w:ascii="Arial"/>
                <w:sz w:val="21"/>
              </w:rPr>
            </w:pPr>
          </w:p>
          <w:p w14:paraId="4145592E">
            <w:pPr>
              <w:spacing w:line="247" w:lineRule="auto"/>
              <w:rPr>
                <w:rFonts w:ascii="Arial"/>
                <w:sz w:val="21"/>
              </w:rPr>
            </w:pPr>
          </w:p>
          <w:p w14:paraId="72F62F08">
            <w:pPr>
              <w:spacing w:line="247" w:lineRule="auto"/>
              <w:rPr>
                <w:rFonts w:ascii="Arial"/>
                <w:sz w:val="21"/>
              </w:rPr>
            </w:pPr>
          </w:p>
          <w:p w14:paraId="40BAFF29">
            <w:pPr>
              <w:spacing w:line="247" w:lineRule="auto"/>
              <w:rPr>
                <w:rFonts w:ascii="Arial"/>
                <w:sz w:val="21"/>
              </w:rPr>
            </w:pPr>
          </w:p>
          <w:p w14:paraId="6DD14A7D">
            <w:pPr>
              <w:spacing w:line="247" w:lineRule="auto"/>
              <w:rPr>
                <w:rFonts w:ascii="Arial"/>
                <w:sz w:val="21"/>
              </w:rPr>
            </w:pPr>
          </w:p>
          <w:p w14:paraId="4C8F804C">
            <w:pPr>
              <w:spacing w:line="247" w:lineRule="auto"/>
              <w:rPr>
                <w:rFonts w:ascii="Arial"/>
                <w:sz w:val="21"/>
              </w:rPr>
            </w:pPr>
          </w:p>
          <w:p w14:paraId="468607DD">
            <w:pPr>
              <w:spacing w:line="248" w:lineRule="auto"/>
              <w:rPr>
                <w:rFonts w:ascii="Arial"/>
                <w:sz w:val="21"/>
              </w:rPr>
            </w:pPr>
          </w:p>
          <w:p w14:paraId="3F80B8BE">
            <w:pPr>
              <w:spacing w:line="248" w:lineRule="auto"/>
              <w:rPr>
                <w:rFonts w:ascii="Arial"/>
                <w:sz w:val="21"/>
              </w:rPr>
            </w:pPr>
          </w:p>
          <w:p w14:paraId="5869975E">
            <w:pPr>
              <w:spacing w:line="248" w:lineRule="auto"/>
              <w:rPr>
                <w:rFonts w:ascii="Arial"/>
                <w:sz w:val="21"/>
              </w:rPr>
            </w:pPr>
          </w:p>
          <w:p w14:paraId="31F7DBA7">
            <w:pPr>
              <w:spacing w:line="248" w:lineRule="auto"/>
              <w:rPr>
                <w:rFonts w:ascii="Arial"/>
                <w:sz w:val="21"/>
              </w:rPr>
            </w:pPr>
          </w:p>
          <w:p w14:paraId="44404102">
            <w:pPr>
              <w:spacing w:line="248" w:lineRule="auto"/>
              <w:rPr>
                <w:rFonts w:ascii="Arial"/>
                <w:sz w:val="21"/>
              </w:rPr>
            </w:pPr>
          </w:p>
          <w:p w14:paraId="5B4EBE96">
            <w:pPr>
              <w:spacing w:line="248" w:lineRule="auto"/>
              <w:rPr>
                <w:rFonts w:ascii="Arial"/>
                <w:sz w:val="21"/>
              </w:rPr>
            </w:pPr>
          </w:p>
          <w:p w14:paraId="6A797D66">
            <w:pPr>
              <w:spacing w:line="248" w:lineRule="auto"/>
              <w:rPr>
                <w:rFonts w:ascii="Arial"/>
                <w:sz w:val="21"/>
              </w:rPr>
            </w:pPr>
          </w:p>
          <w:p w14:paraId="00C80599">
            <w:pPr>
              <w:spacing w:line="248" w:lineRule="auto"/>
              <w:rPr>
                <w:rFonts w:ascii="Arial"/>
                <w:sz w:val="21"/>
              </w:rPr>
            </w:pPr>
          </w:p>
          <w:p w14:paraId="4B7220D8">
            <w:pPr>
              <w:spacing w:line="248" w:lineRule="auto"/>
              <w:rPr>
                <w:rFonts w:ascii="Arial"/>
                <w:sz w:val="21"/>
              </w:rPr>
            </w:pPr>
          </w:p>
          <w:p w14:paraId="4EA86E68">
            <w:pPr>
              <w:spacing w:line="248" w:lineRule="auto"/>
              <w:rPr>
                <w:rFonts w:ascii="Arial"/>
                <w:sz w:val="21"/>
              </w:rPr>
            </w:pPr>
          </w:p>
          <w:p w14:paraId="12DB7196">
            <w:pPr>
              <w:spacing w:line="248" w:lineRule="auto"/>
              <w:rPr>
                <w:rFonts w:ascii="Arial"/>
                <w:sz w:val="21"/>
              </w:rPr>
            </w:pPr>
          </w:p>
          <w:p w14:paraId="58DD3672">
            <w:pPr>
              <w:spacing w:line="248" w:lineRule="auto"/>
              <w:rPr>
                <w:rFonts w:ascii="Arial"/>
                <w:sz w:val="21"/>
              </w:rPr>
            </w:pPr>
          </w:p>
          <w:p w14:paraId="14C06978">
            <w:pPr>
              <w:spacing w:line="248" w:lineRule="auto"/>
              <w:rPr>
                <w:rFonts w:ascii="Arial"/>
                <w:sz w:val="21"/>
              </w:rPr>
            </w:pPr>
          </w:p>
          <w:p w14:paraId="37A0FDC1">
            <w:pPr>
              <w:spacing w:line="248" w:lineRule="auto"/>
              <w:rPr>
                <w:rFonts w:ascii="Arial"/>
                <w:sz w:val="21"/>
              </w:rPr>
            </w:pPr>
          </w:p>
          <w:p w14:paraId="1EB7549D">
            <w:pPr>
              <w:spacing w:line="248" w:lineRule="auto"/>
              <w:rPr>
                <w:rFonts w:ascii="Arial"/>
                <w:sz w:val="21"/>
              </w:rPr>
            </w:pPr>
          </w:p>
          <w:p w14:paraId="6FCF4481">
            <w:pPr>
              <w:spacing w:line="248" w:lineRule="auto"/>
              <w:rPr>
                <w:rFonts w:ascii="Arial"/>
                <w:sz w:val="21"/>
              </w:rPr>
            </w:pPr>
          </w:p>
          <w:p w14:paraId="3D288711">
            <w:pPr>
              <w:spacing w:line="248" w:lineRule="auto"/>
              <w:rPr>
                <w:rFonts w:ascii="Arial"/>
                <w:sz w:val="21"/>
              </w:rPr>
            </w:pPr>
          </w:p>
          <w:p w14:paraId="03AF2A6A">
            <w:pPr>
              <w:spacing w:line="248" w:lineRule="auto"/>
              <w:rPr>
                <w:rFonts w:ascii="Arial"/>
                <w:sz w:val="21"/>
              </w:rPr>
            </w:pPr>
          </w:p>
          <w:p w14:paraId="6BBDDE07">
            <w:pPr>
              <w:spacing w:line="248" w:lineRule="auto"/>
              <w:rPr>
                <w:rFonts w:ascii="Arial"/>
                <w:sz w:val="21"/>
              </w:rPr>
            </w:pPr>
          </w:p>
          <w:p w14:paraId="7EE2346F">
            <w:pPr>
              <w:spacing w:line="248" w:lineRule="auto"/>
              <w:rPr>
                <w:rFonts w:ascii="Arial"/>
                <w:sz w:val="21"/>
              </w:rPr>
            </w:pPr>
          </w:p>
          <w:p w14:paraId="7A98B27E">
            <w:pPr>
              <w:spacing w:line="248" w:lineRule="auto"/>
              <w:rPr>
                <w:rFonts w:ascii="Arial"/>
                <w:sz w:val="21"/>
              </w:rPr>
            </w:pPr>
          </w:p>
          <w:p w14:paraId="04181B49">
            <w:pPr>
              <w:spacing w:line="248" w:lineRule="auto"/>
              <w:rPr>
                <w:rFonts w:ascii="Arial"/>
                <w:sz w:val="21"/>
              </w:rPr>
            </w:pPr>
          </w:p>
          <w:p w14:paraId="65E394A6">
            <w:pPr>
              <w:pStyle w:val="6"/>
              <w:spacing w:before="65" w:line="219" w:lineRule="auto"/>
              <w:jc w:val="right"/>
              <w:rPr>
                <w:sz w:val="20"/>
                <w:szCs w:val="20"/>
              </w:rPr>
            </w:pPr>
            <w:r>
              <w:rPr>
                <w:spacing w:val="-3"/>
                <w:sz w:val="20"/>
                <w:szCs w:val="20"/>
              </w:rPr>
              <w:t>尾矿库企业、</w:t>
            </w:r>
          </w:p>
        </w:tc>
        <w:tc>
          <w:tcPr>
            <w:tcW w:w="2728" w:type="dxa"/>
            <w:vAlign w:val="top"/>
          </w:tcPr>
          <w:p w14:paraId="6E56F6E4">
            <w:pPr>
              <w:pStyle w:val="6"/>
              <w:spacing w:before="193" w:line="220" w:lineRule="auto"/>
              <w:ind w:left="22"/>
              <w:rPr>
                <w:sz w:val="20"/>
                <w:szCs w:val="20"/>
              </w:rPr>
            </w:pPr>
            <w:r>
              <w:rPr>
                <w:spacing w:val="9"/>
                <w:sz w:val="20"/>
                <w:szCs w:val="20"/>
              </w:rPr>
              <w:t>故隐患排查治理制度；</w:t>
            </w:r>
          </w:p>
        </w:tc>
        <w:tc>
          <w:tcPr>
            <w:tcW w:w="960" w:type="dxa"/>
            <w:vMerge w:val="restart"/>
            <w:tcBorders>
              <w:bottom w:val="nil"/>
            </w:tcBorders>
            <w:vAlign w:val="top"/>
          </w:tcPr>
          <w:p w14:paraId="025C9F9C">
            <w:pPr>
              <w:spacing w:line="247" w:lineRule="auto"/>
              <w:rPr>
                <w:rFonts w:ascii="Arial"/>
                <w:sz w:val="21"/>
              </w:rPr>
            </w:pPr>
          </w:p>
          <w:p w14:paraId="4D15362D">
            <w:pPr>
              <w:spacing w:line="247" w:lineRule="auto"/>
              <w:rPr>
                <w:rFonts w:ascii="Arial"/>
                <w:sz w:val="21"/>
              </w:rPr>
            </w:pPr>
          </w:p>
          <w:p w14:paraId="7EBC094F">
            <w:pPr>
              <w:spacing w:line="247" w:lineRule="auto"/>
              <w:rPr>
                <w:rFonts w:ascii="Arial"/>
                <w:sz w:val="21"/>
              </w:rPr>
            </w:pPr>
          </w:p>
          <w:p w14:paraId="3091D9D1">
            <w:pPr>
              <w:spacing w:line="247" w:lineRule="auto"/>
              <w:rPr>
                <w:rFonts w:ascii="Arial"/>
                <w:sz w:val="21"/>
              </w:rPr>
            </w:pPr>
          </w:p>
          <w:p w14:paraId="1D7BD960">
            <w:pPr>
              <w:spacing w:line="247" w:lineRule="auto"/>
              <w:rPr>
                <w:rFonts w:ascii="Arial"/>
                <w:sz w:val="21"/>
              </w:rPr>
            </w:pPr>
          </w:p>
          <w:p w14:paraId="6F23C2C5">
            <w:pPr>
              <w:spacing w:line="247" w:lineRule="auto"/>
              <w:rPr>
                <w:rFonts w:ascii="Arial"/>
                <w:sz w:val="21"/>
              </w:rPr>
            </w:pPr>
          </w:p>
          <w:p w14:paraId="0B2C5D3C">
            <w:pPr>
              <w:spacing w:line="247" w:lineRule="auto"/>
              <w:rPr>
                <w:rFonts w:ascii="Arial"/>
                <w:sz w:val="21"/>
              </w:rPr>
            </w:pPr>
          </w:p>
          <w:p w14:paraId="47F98D8C">
            <w:pPr>
              <w:spacing w:line="247" w:lineRule="auto"/>
              <w:rPr>
                <w:rFonts w:ascii="Arial"/>
                <w:sz w:val="21"/>
              </w:rPr>
            </w:pPr>
          </w:p>
          <w:p w14:paraId="45E46801">
            <w:pPr>
              <w:spacing w:line="247" w:lineRule="auto"/>
              <w:rPr>
                <w:rFonts w:ascii="Arial"/>
                <w:sz w:val="21"/>
              </w:rPr>
            </w:pPr>
          </w:p>
          <w:p w14:paraId="584083BC">
            <w:pPr>
              <w:spacing w:line="247" w:lineRule="auto"/>
              <w:rPr>
                <w:rFonts w:ascii="Arial"/>
                <w:sz w:val="21"/>
              </w:rPr>
            </w:pPr>
          </w:p>
          <w:p w14:paraId="7E7582A0">
            <w:pPr>
              <w:spacing w:line="247" w:lineRule="auto"/>
              <w:rPr>
                <w:rFonts w:ascii="Arial"/>
                <w:sz w:val="21"/>
              </w:rPr>
            </w:pPr>
          </w:p>
          <w:p w14:paraId="0745841E">
            <w:pPr>
              <w:spacing w:line="247" w:lineRule="auto"/>
              <w:rPr>
                <w:rFonts w:ascii="Arial"/>
                <w:sz w:val="21"/>
              </w:rPr>
            </w:pPr>
          </w:p>
          <w:p w14:paraId="4C427AC9">
            <w:pPr>
              <w:spacing w:line="247" w:lineRule="auto"/>
              <w:rPr>
                <w:rFonts w:ascii="Arial"/>
                <w:sz w:val="21"/>
              </w:rPr>
            </w:pPr>
          </w:p>
          <w:p w14:paraId="33BAA8E1">
            <w:pPr>
              <w:spacing w:line="247" w:lineRule="auto"/>
              <w:rPr>
                <w:rFonts w:ascii="Arial"/>
                <w:sz w:val="21"/>
              </w:rPr>
            </w:pPr>
          </w:p>
          <w:p w14:paraId="33325063">
            <w:pPr>
              <w:spacing w:line="247" w:lineRule="auto"/>
              <w:rPr>
                <w:rFonts w:ascii="Arial"/>
                <w:sz w:val="21"/>
              </w:rPr>
            </w:pPr>
          </w:p>
          <w:p w14:paraId="1B5AEA09">
            <w:pPr>
              <w:spacing w:line="247" w:lineRule="auto"/>
              <w:rPr>
                <w:rFonts w:ascii="Arial"/>
                <w:sz w:val="21"/>
              </w:rPr>
            </w:pPr>
          </w:p>
          <w:p w14:paraId="5EF09447">
            <w:pPr>
              <w:spacing w:line="247" w:lineRule="auto"/>
              <w:rPr>
                <w:rFonts w:ascii="Arial"/>
                <w:sz w:val="21"/>
              </w:rPr>
            </w:pPr>
          </w:p>
          <w:p w14:paraId="52B02AF8">
            <w:pPr>
              <w:spacing w:line="247" w:lineRule="auto"/>
              <w:rPr>
                <w:rFonts w:ascii="Arial"/>
                <w:sz w:val="21"/>
              </w:rPr>
            </w:pPr>
          </w:p>
          <w:p w14:paraId="1212EDF7">
            <w:pPr>
              <w:spacing w:line="248" w:lineRule="auto"/>
              <w:rPr>
                <w:rFonts w:ascii="Arial"/>
                <w:sz w:val="21"/>
              </w:rPr>
            </w:pPr>
          </w:p>
          <w:p w14:paraId="5DAE170C">
            <w:pPr>
              <w:spacing w:line="248" w:lineRule="auto"/>
              <w:rPr>
                <w:rFonts w:ascii="Arial"/>
                <w:sz w:val="21"/>
              </w:rPr>
            </w:pPr>
          </w:p>
          <w:p w14:paraId="4D14D7F7">
            <w:pPr>
              <w:spacing w:line="248" w:lineRule="auto"/>
              <w:rPr>
                <w:rFonts w:ascii="Arial"/>
                <w:sz w:val="21"/>
              </w:rPr>
            </w:pPr>
          </w:p>
          <w:p w14:paraId="2C19A3A7">
            <w:pPr>
              <w:spacing w:line="248" w:lineRule="auto"/>
              <w:rPr>
                <w:rFonts w:ascii="Arial"/>
                <w:sz w:val="21"/>
              </w:rPr>
            </w:pPr>
          </w:p>
          <w:p w14:paraId="6AD9BE2B">
            <w:pPr>
              <w:spacing w:line="248" w:lineRule="auto"/>
              <w:rPr>
                <w:rFonts w:ascii="Arial"/>
                <w:sz w:val="21"/>
              </w:rPr>
            </w:pPr>
          </w:p>
          <w:p w14:paraId="4A5992FF">
            <w:pPr>
              <w:spacing w:line="248" w:lineRule="auto"/>
              <w:rPr>
                <w:rFonts w:ascii="Arial"/>
                <w:sz w:val="21"/>
              </w:rPr>
            </w:pPr>
          </w:p>
          <w:p w14:paraId="52D4804E">
            <w:pPr>
              <w:spacing w:line="248" w:lineRule="auto"/>
              <w:rPr>
                <w:rFonts w:ascii="Arial"/>
                <w:sz w:val="21"/>
              </w:rPr>
            </w:pPr>
          </w:p>
          <w:p w14:paraId="31ABC252">
            <w:pPr>
              <w:spacing w:line="248" w:lineRule="auto"/>
              <w:rPr>
                <w:rFonts w:ascii="Arial"/>
                <w:sz w:val="21"/>
              </w:rPr>
            </w:pPr>
          </w:p>
          <w:p w14:paraId="5E2A61A3">
            <w:pPr>
              <w:spacing w:line="248" w:lineRule="auto"/>
              <w:rPr>
                <w:rFonts w:ascii="Arial"/>
                <w:sz w:val="21"/>
              </w:rPr>
            </w:pPr>
          </w:p>
          <w:p w14:paraId="3D97C5D2">
            <w:pPr>
              <w:spacing w:line="248" w:lineRule="auto"/>
              <w:rPr>
                <w:rFonts w:ascii="Arial"/>
                <w:sz w:val="21"/>
              </w:rPr>
            </w:pPr>
          </w:p>
          <w:p w14:paraId="608C19C6">
            <w:pPr>
              <w:spacing w:line="248" w:lineRule="auto"/>
              <w:rPr>
                <w:rFonts w:ascii="Arial"/>
                <w:sz w:val="21"/>
              </w:rPr>
            </w:pPr>
          </w:p>
          <w:p w14:paraId="7AE21DEA">
            <w:pPr>
              <w:spacing w:line="248" w:lineRule="auto"/>
              <w:rPr>
                <w:rFonts w:ascii="Arial"/>
                <w:sz w:val="21"/>
              </w:rPr>
            </w:pPr>
          </w:p>
          <w:p w14:paraId="3FB46F22">
            <w:pPr>
              <w:pStyle w:val="6"/>
              <w:spacing w:before="65" w:line="219" w:lineRule="auto"/>
              <w:ind w:left="14"/>
              <w:rPr>
                <w:sz w:val="20"/>
                <w:szCs w:val="20"/>
              </w:rPr>
            </w:pPr>
            <w:r>
              <w:rPr>
                <w:spacing w:val="-2"/>
                <w:sz w:val="20"/>
                <w:szCs w:val="20"/>
              </w:rPr>
              <w:t>尾矿库企</w:t>
            </w:r>
          </w:p>
        </w:tc>
        <w:tc>
          <w:tcPr>
            <w:tcW w:w="590" w:type="dxa"/>
            <w:vMerge w:val="restart"/>
            <w:tcBorders>
              <w:bottom w:val="nil"/>
            </w:tcBorders>
            <w:vAlign w:val="top"/>
          </w:tcPr>
          <w:p w14:paraId="18B850C7">
            <w:pPr>
              <w:rPr>
                <w:rFonts w:ascii="Arial"/>
                <w:sz w:val="21"/>
              </w:rPr>
            </w:pPr>
          </w:p>
        </w:tc>
        <w:tc>
          <w:tcPr>
            <w:tcW w:w="899" w:type="dxa"/>
            <w:vMerge w:val="restart"/>
            <w:tcBorders>
              <w:bottom w:val="nil"/>
            </w:tcBorders>
            <w:vAlign w:val="top"/>
          </w:tcPr>
          <w:p w14:paraId="26A312EB">
            <w:pPr>
              <w:rPr>
                <w:rFonts w:ascii="Arial"/>
                <w:sz w:val="21"/>
              </w:rPr>
            </w:pPr>
          </w:p>
        </w:tc>
        <w:tc>
          <w:tcPr>
            <w:tcW w:w="1049" w:type="dxa"/>
            <w:vMerge w:val="restart"/>
            <w:tcBorders>
              <w:bottom w:val="nil"/>
            </w:tcBorders>
            <w:vAlign w:val="top"/>
          </w:tcPr>
          <w:p w14:paraId="7F0B6452">
            <w:pPr>
              <w:rPr>
                <w:rFonts w:ascii="Arial"/>
                <w:sz w:val="21"/>
              </w:rPr>
            </w:pPr>
          </w:p>
        </w:tc>
        <w:tc>
          <w:tcPr>
            <w:tcW w:w="7120" w:type="dxa"/>
            <w:vAlign w:val="top"/>
          </w:tcPr>
          <w:p w14:paraId="274C5D87">
            <w:pPr>
              <w:pStyle w:val="6"/>
              <w:spacing w:before="202" w:line="219" w:lineRule="auto"/>
              <w:ind w:left="55"/>
              <w:rPr>
                <w:sz w:val="20"/>
                <w:szCs w:val="20"/>
              </w:rPr>
            </w:pPr>
            <w:r>
              <w:rPr>
                <w:sz w:val="20"/>
                <w:szCs w:val="20"/>
              </w:rPr>
              <w:t>落实生产安全事故隐患排查治理制度，采取技术、管理</w:t>
            </w:r>
            <w:r>
              <w:rPr>
                <w:spacing w:val="-1"/>
                <w:sz w:val="20"/>
                <w:szCs w:val="20"/>
              </w:rPr>
              <w:t>措施，及时发现并消除事</w:t>
            </w:r>
          </w:p>
          <w:p w14:paraId="08043FB2">
            <w:pPr>
              <w:spacing w:line="246" w:lineRule="auto"/>
              <w:rPr>
                <w:rFonts w:ascii="Arial"/>
                <w:sz w:val="21"/>
              </w:rPr>
            </w:pPr>
          </w:p>
          <w:p w14:paraId="517FE952">
            <w:pPr>
              <w:pStyle w:val="6"/>
              <w:spacing w:before="65" w:line="219" w:lineRule="auto"/>
              <w:ind w:left="55"/>
              <w:rPr>
                <w:sz w:val="20"/>
                <w:szCs w:val="20"/>
              </w:rPr>
            </w:pPr>
            <w:r>
              <w:rPr>
                <w:sz w:val="20"/>
                <w:szCs w:val="20"/>
              </w:rPr>
              <w:t>故隐患。事故隐患排查治理情况应当如实记录，并通过职工大会或者职工代表大</w:t>
            </w:r>
          </w:p>
          <w:p w14:paraId="242BC22D">
            <w:pPr>
              <w:spacing w:line="276" w:lineRule="auto"/>
              <w:rPr>
                <w:rFonts w:ascii="Arial"/>
                <w:sz w:val="21"/>
              </w:rPr>
            </w:pPr>
          </w:p>
          <w:p w14:paraId="0E5E45FA">
            <w:pPr>
              <w:pStyle w:val="6"/>
              <w:spacing w:before="65" w:line="219" w:lineRule="auto"/>
              <w:ind w:left="55"/>
              <w:rPr>
                <w:sz w:val="20"/>
                <w:szCs w:val="20"/>
              </w:rPr>
            </w:pPr>
            <w:r>
              <w:rPr>
                <w:sz w:val="20"/>
                <w:szCs w:val="20"/>
              </w:rPr>
              <w:t>会、信息公示栏等方式向从业人员通报。其中，重大事故隐患排查治理情况应当</w:t>
            </w:r>
          </w:p>
          <w:p w14:paraId="1A72AFBA">
            <w:pPr>
              <w:spacing w:line="275" w:lineRule="auto"/>
              <w:rPr>
                <w:rFonts w:ascii="Arial"/>
                <w:sz w:val="21"/>
              </w:rPr>
            </w:pPr>
          </w:p>
          <w:p w14:paraId="19997B3F">
            <w:pPr>
              <w:pStyle w:val="6"/>
              <w:spacing w:before="65" w:line="218" w:lineRule="auto"/>
              <w:ind w:left="16"/>
              <w:rPr>
                <w:sz w:val="20"/>
                <w:szCs w:val="20"/>
              </w:rPr>
            </w:pPr>
            <w:r>
              <w:rPr>
                <w:sz w:val="20"/>
                <w:szCs w:val="20"/>
              </w:rPr>
              <w:t>及时向负有安全生产监督管理职责的部门和职工大会或者职工代表大会报</w:t>
            </w:r>
            <w:r>
              <w:rPr>
                <w:spacing w:val="-1"/>
                <w:sz w:val="20"/>
                <w:szCs w:val="20"/>
              </w:rPr>
              <w:t>告。</w:t>
            </w:r>
          </w:p>
        </w:tc>
      </w:tr>
      <w:tr w14:paraId="7A831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6" w:hRule="atLeast"/>
        </w:trPr>
        <w:tc>
          <w:tcPr>
            <w:tcW w:w="964" w:type="dxa"/>
            <w:vAlign w:val="top"/>
          </w:tcPr>
          <w:p w14:paraId="1F0674BF">
            <w:pPr>
              <w:spacing w:line="261" w:lineRule="auto"/>
              <w:rPr>
                <w:rFonts w:ascii="Arial"/>
                <w:sz w:val="21"/>
              </w:rPr>
            </w:pPr>
          </w:p>
          <w:p w14:paraId="0583285D">
            <w:pPr>
              <w:spacing w:line="261" w:lineRule="auto"/>
              <w:rPr>
                <w:rFonts w:ascii="Arial"/>
                <w:sz w:val="21"/>
              </w:rPr>
            </w:pPr>
          </w:p>
          <w:p w14:paraId="0D33505A">
            <w:pPr>
              <w:spacing w:line="261" w:lineRule="auto"/>
              <w:rPr>
                <w:rFonts w:ascii="Arial"/>
                <w:sz w:val="21"/>
              </w:rPr>
            </w:pPr>
          </w:p>
          <w:p w14:paraId="390EDBC0">
            <w:pPr>
              <w:spacing w:line="261" w:lineRule="auto"/>
              <w:rPr>
                <w:rFonts w:ascii="Arial"/>
                <w:sz w:val="21"/>
              </w:rPr>
            </w:pPr>
          </w:p>
          <w:p w14:paraId="3AA40CB5">
            <w:pPr>
              <w:spacing w:line="261" w:lineRule="auto"/>
              <w:rPr>
                <w:rFonts w:ascii="Arial"/>
                <w:sz w:val="21"/>
              </w:rPr>
            </w:pPr>
          </w:p>
          <w:p w14:paraId="6DDDA4AB">
            <w:pPr>
              <w:spacing w:line="261" w:lineRule="auto"/>
              <w:rPr>
                <w:rFonts w:ascii="Arial"/>
                <w:sz w:val="21"/>
              </w:rPr>
            </w:pPr>
          </w:p>
          <w:p w14:paraId="46B8E4DD">
            <w:pPr>
              <w:pStyle w:val="6"/>
              <w:spacing w:before="65"/>
              <w:ind w:left="425"/>
              <w:rPr>
                <w:sz w:val="20"/>
                <w:szCs w:val="20"/>
              </w:rPr>
            </w:pPr>
            <w:r>
              <w:rPr>
                <w:sz w:val="20"/>
                <w:szCs w:val="20"/>
              </w:rPr>
              <w:t>6</w:t>
            </w:r>
          </w:p>
        </w:tc>
        <w:tc>
          <w:tcPr>
            <w:tcW w:w="1209" w:type="dxa"/>
            <w:vMerge w:val="continue"/>
            <w:tcBorders>
              <w:top w:val="nil"/>
              <w:bottom w:val="nil"/>
            </w:tcBorders>
            <w:vAlign w:val="top"/>
          </w:tcPr>
          <w:p w14:paraId="1A9EBEA1">
            <w:pPr>
              <w:rPr>
                <w:rFonts w:ascii="Arial"/>
                <w:sz w:val="21"/>
              </w:rPr>
            </w:pPr>
          </w:p>
        </w:tc>
        <w:tc>
          <w:tcPr>
            <w:tcW w:w="2728" w:type="dxa"/>
            <w:vAlign w:val="top"/>
          </w:tcPr>
          <w:p w14:paraId="7E991407">
            <w:pPr>
              <w:rPr>
                <w:rFonts w:ascii="Arial"/>
                <w:sz w:val="21"/>
              </w:rPr>
            </w:pPr>
          </w:p>
          <w:p w14:paraId="7B18C817">
            <w:pPr>
              <w:rPr>
                <w:rFonts w:ascii="Arial"/>
                <w:sz w:val="21"/>
              </w:rPr>
            </w:pPr>
          </w:p>
          <w:p w14:paraId="076D9170">
            <w:pPr>
              <w:rPr>
                <w:rFonts w:ascii="Arial"/>
                <w:sz w:val="21"/>
              </w:rPr>
            </w:pPr>
          </w:p>
          <w:p w14:paraId="178513B8">
            <w:pPr>
              <w:rPr>
                <w:rFonts w:ascii="Arial"/>
                <w:sz w:val="21"/>
              </w:rPr>
            </w:pPr>
          </w:p>
          <w:p w14:paraId="4BBBBF98">
            <w:pPr>
              <w:pStyle w:val="6"/>
              <w:spacing w:before="65" w:line="219" w:lineRule="auto"/>
              <w:ind w:left="22"/>
              <w:rPr>
                <w:sz w:val="20"/>
                <w:szCs w:val="20"/>
              </w:rPr>
            </w:pPr>
            <w:r>
              <w:rPr>
                <w:sz w:val="20"/>
                <w:szCs w:val="20"/>
              </w:rPr>
              <w:t>企业是否按照要求设置安全生</w:t>
            </w:r>
          </w:p>
          <w:p w14:paraId="6EBA4F70">
            <w:pPr>
              <w:spacing w:line="264" w:lineRule="auto"/>
              <w:rPr>
                <w:rFonts w:ascii="Arial"/>
                <w:sz w:val="21"/>
              </w:rPr>
            </w:pPr>
          </w:p>
          <w:p w14:paraId="2447B77F">
            <w:pPr>
              <w:pStyle w:val="6"/>
              <w:spacing w:before="65" w:line="219" w:lineRule="auto"/>
              <w:ind w:left="11"/>
              <w:rPr>
                <w:sz w:val="20"/>
                <w:szCs w:val="20"/>
              </w:rPr>
            </w:pPr>
            <w:r>
              <w:rPr>
                <w:spacing w:val="-1"/>
                <w:sz w:val="20"/>
                <w:szCs w:val="20"/>
              </w:rPr>
              <w:t>产管理机构或者配备专职安全</w:t>
            </w:r>
          </w:p>
          <w:p w14:paraId="3FDD2679">
            <w:pPr>
              <w:spacing w:line="267" w:lineRule="auto"/>
              <w:rPr>
                <w:rFonts w:ascii="Arial"/>
                <w:sz w:val="21"/>
              </w:rPr>
            </w:pPr>
          </w:p>
          <w:p w14:paraId="2B9EB7CB">
            <w:pPr>
              <w:pStyle w:val="6"/>
              <w:spacing w:before="65" w:line="219" w:lineRule="auto"/>
              <w:ind w:left="22"/>
              <w:rPr>
                <w:sz w:val="20"/>
                <w:szCs w:val="20"/>
              </w:rPr>
            </w:pPr>
            <w:r>
              <w:rPr>
                <w:spacing w:val="14"/>
                <w:sz w:val="20"/>
                <w:szCs w:val="20"/>
              </w:rPr>
              <w:t>生产管理人员；</w:t>
            </w:r>
          </w:p>
        </w:tc>
        <w:tc>
          <w:tcPr>
            <w:tcW w:w="960" w:type="dxa"/>
            <w:vMerge w:val="continue"/>
            <w:tcBorders>
              <w:top w:val="nil"/>
              <w:bottom w:val="nil"/>
            </w:tcBorders>
            <w:vAlign w:val="top"/>
          </w:tcPr>
          <w:p w14:paraId="7FC63C36">
            <w:pPr>
              <w:rPr>
                <w:rFonts w:ascii="Arial"/>
                <w:sz w:val="21"/>
              </w:rPr>
            </w:pPr>
          </w:p>
        </w:tc>
        <w:tc>
          <w:tcPr>
            <w:tcW w:w="590" w:type="dxa"/>
            <w:vMerge w:val="continue"/>
            <w:tcBorders>
              <w:top w:val="nil"/>
              <w:bottom w:val="nil"/>
            </w:tcBorders>
            <w:vAlign w:val="top"/>
          </w:tcPr>
          <w:p w14:paraId="1FFC1163">
            <w:pPr>
              <w:rPr>
                <w:rFonts w:ascii="Arial"/>
                <w:sz w:val="21"/>
              </w:rPr>
            </w:pPr>
          </w:p>
        </w:tc>
        <w:tc>
          <w:tcPr>
            <w:tcW w:w="899" w:type="dxa"/>
            <w:vMerge w:val="continue"/>
            <w:tcBorders>
              <w:top w:val="nil"/>
              <w:bottom w:val="nil"/>
            </w:tcBorders>
            <w:vAlign w:val="top"/>
          </w:tcPr>
          <w:p w14:paraId="7CB6BF32">
            <w:pPr>
              <w:rPr>
                <w:rFonts w:ascii="Arial"/>
                <w:sz w:val="21"/>
              </w:rPr>
            </w:pPr>
          </w:p>
        </w:tc>
        <w:tc>
          <w:tcPr>
            <w:tcW w:w="1049" w:type="dxa"/>
            <w:vMerge w:val="continue"/>
            <w:tcBorders>
              <w:top w:val="nil"/>
              <w:bottom w:val="nil"/>
            </w:tcBorders>
            <w:vAlign w:val="top"/>
          </w:tcPr>
          <w:p w14:paraId="37345305">
            <w:pPr>
              <w:rPr>
                <w:rFonts w:ascii="Arial"/>
                <w:sz w:val="21"/>
              </w:rPr>
            </w:pPr>
          </w:p>
        </w:tc>
        <w:tc>
          <w:tcPr>
            <w:tcW w:w="7120" w:type="dxa"/>
            <w:vAlign w:val="top"/>
          </w:tcPr>
          <w:p w14:paraId="7FDFB4C0">
            <w:pPr>
              <w:pStyle w:val="6"/>
              <w:spacing w:before="201" w:line="219" w:lineRule="auto"/>
              <w:ind w:left="6"/>
              <w:rPr>
                <w:sz w:val="20"/>
                <w:szCs w:val="20"/>
              </w:rPr>
            </w:pPr>
            <w:r>
              <w:rPr>
                <w:spacing w:val="-1"/>
                <w:sz w:val="20"/>
                <w:szCs w:val="20"/>
              </w:rPr>
              <w:t>《中华人民共和国安全生产法》第二十四条矿山、金属冶炼、建筑施工、运输单</w:t>
            </w:r>
          </w:p>
          <w:p w14:paraId="5038369C">
            <w:pPr>
              <w:spacing w:line="254" w:lineRule="auto"/>
              <w:rPr>
                <w:rFonts w:ascii="Arial"/>
                <w:sz w:val="21"/>
              </w:rPr>
            </w:pPr>
          </w:p>
          <w:p w14:paraId="0B1BE983">
            <w:pPr>
              <w:pStyle w:val="6"/>
              <w:spacing w:before="65" w:line="219" w:lineRule="auto"/>
              <w:ind w:left="55"/>
              <w:rPr>
                <w:sz w:val="20"/>
                <w:szCs w:val="20"/>
              </w:rPr>
            </w:pPr>
            <w:r>
              <w:rPr>
                <w:sz w:val="20"/>
                <w:szCs w:val="20"/>
              </w:rPr>
              <w:t>位和危险物品的生产、经营、储存、装卸单位，应当设置安</w:t>
            </w:r>
            <w:r>
              <w:rPr>
                <w:spacing w:val="-1"/>
                <w:sz w:val="20"/>
                <w:szCs w:val="20"/>
              </w:rPr>
              <w:t>全生产管理机构或者</w:t>
            </w:r>
          </w:p>
          <w:p w14:paraId="45F49C3B">
            <w:pPr>
              <w:spacing w:line="267" w:lineRule="auto"/>
              <w:rPr>
                <w:rFonts w:ascii="Arial"/>
                <w:sz w:val="21"/>
              </w:rPr>
            </w:pPr>
          </w:p>
          <w:p w14:paraId="65FCB588">
            <w:pPr>
              <w:pStyle w:val="6"/>
              <w:spacing w:before="65" w:line="219" w:lineRule="auto"/>
              <w:ind w:left="16"/>
              <w:rPr>
                <w:sz w:val="20"/>
                <w:szCs w:val="20"/>
              </w:rPr>
            </w:pPr>
            <w:r>
              <w:rPr>
                <w:spacing w:val="-1"/>
                <w:sz w:val="20"/>
                <w:szCs w:val="20"/>
              </w:rPr>
              <w:t>配备专职安全生产管理人员。</w:t>
            </w:r>
          </w:p>
          <w:p w14:paraId="63312053">
            <w:pPr>
              <w:spacing w:line="246" w:lineRule="auto"/>
              <w:rPr>
                <w:rFonts w:ascii="Arial"/>
                <w:sz w:val="21"/>
              </w:rPr>
            </w:pPr>
          </w:p>
          <w:p w14:paraId="25DF4588">
            <w:pPr>
              <w:pStyle w:val="6"/>
              <w:spacing w:before="65" w:line="219" w:lineRule="auto"/>
              <w:ind w:left="55"/>
              <w:rPr>
                <w:sz w:val="20"/>
                <w:szCs w:val="20"/>
              </w:rPr>
            </w:pPr>
            <w:r>
              <w:rPr>
                <w:sz w:val="20"/>
                <w:szCs w:val="20"/>
              </w:rPr>
              <w:t>前款规定以外的其他生产经营单位，从业人员超过一百人的，应当设置安全生产</w:t>
            </w:r>
          </w:p>
          <w:p w14:paraId="21DCCCF4">
            <w:pPr>
              <w:spacing w:line="264" w:lineRule="auto"/>
              <w:rPr>
                <w:rFonts w:ascii="Arial"/>
                <w:sz w:val="21"/>
              </w:rPr>
            </w:pPr>
          </w:p>
          <w:p w14:paraId="7E539FE8">
            <w:pPr>
              <w:pStyle w:val="6"/>
              <w:spacing w:before="65" w:line="219" w:lineRule="auto"/>
              <w:ind w:left="55"/>
              <w:rPr>
                <w:sz w:val="20"/>
                <w:szCs w:val="20"/>
              </w:rPr>
            </w:pPr>
            <w:r>
              <w:rPr>
                <w:sz w:val="20"/>
                <w:szCs w:val="20"/>
              </w:rPr>
              <w:t>管理机构或者配备专职安全生产管理人员；从业人员在一百人以下的，应当配备</w:t>
            </w:r>
          </w:p>
          <w:p w14:paraId="4F0325F1">
            <w:pPr>
              <w:spacing w:line="267" w:lineRule="auto"/>
              <w:rPr>
                <w:rFonts w:ascii="Arial"/>
                <w:sz w:val="21"/>
              </w:rPr>
            </w:pPr>
          </w:p>
          <w:p w14:paraId="59EA0A44">
            <w:pPr>
              <w:pStyle w:val="6"/>
              <w:spacing w:before="66" w:line="219" w:lineRule="auto"/>
              <w:ind w:left="16"/>
              <w:rPr>
                <w:sz w:val="20"/>
                <w:szCs w:val="20"/>
              </w:rPr>
            </w:pPr>
            <w:r>
              <w:rPr>
                <w:spacing w:val="-1"/>
                <w:sz w:val="20"/>
                <w:szCs w:val="20"/>
              </w:rPr>
              <w:t>专职或者兼职的安全生产管理人员。</w:t>
            </w:r>
          </w:p>
        </w:tc>
      </w:tr>
      <w:tr w14:paraId="509EB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2" w:hRule="atLeast"/>
        </w:trPr>
        <w:tc>
          <w:tcPr>
            <w:tcW w:w="964" w:type="dxa"/>
            <w:vAlign w:val="top"/>
          </w:tcPr>
          <w:p w14:paraId="7489B7BB">
            <w:pPr>
              <w:spacing w:line="250" w:lineRule="auto"/>
              <w:rPr>
                <w:rFonts w:ascii="Arial"/>
                <w:sz w:val="21"/>
              </w:rPr>
            </w:pPr>
          </w:p>
          <w:p w14:paraId="760D47B5">
            <w:pPr>
              <w:spacing w:line="251" w:lineRule="auto"/>
              <w:rPr>
                <w:rFonts w:ascii="Arial"/>
                <w:sz w:val="21"/>
              </w:rPr>
            </w:pPr>
          </w:p>
          <w:p w14:paraId="17AD8EE0">
            <w:pPr>
              <w:spacing w:line="251" w:lineRule="auto"/>
              <w:rPr>
                <w:rFonts w:ascii="Arial"/>
                <w:sz w:val="21"/>
              </w:rPr>
            </w:pPr>
          </w:p>
          <w:p w14:paraId="38EFDF99">
            <w:pPr>
              <w:spacing w:line="251" w:lineRule="auto"/>
              <w:rPr>
                <w:rFonts w:ascii="Arial"/>
                <w:sz w:val="21"/>
              </w:rPr>
            </w:pPr>
          </w:p>
          <w:p w14:paraId="7272344F">
            <w:pPr>
              <w:pStyle w:val="6"/>
              <w:spacing w:before="65"/>
              <w:ind w:left="425"/>
              <w:rPr>
                <w:sz w:val="20"/>
                <w:szCs w:val="20"/>
              </w:rPr>
            </w:pPr>
            <w:r>
              <w:rPr>
                <w:sz w:val="20"/>
                <w:szCs w:val="20"/>
              </w:rPr>
              <w:t>7</w:t>
            </w:r>
          </w:p>
        </w:tc>
        <w:tc>
          <w:tcPr>
            <w:tcW w:w="1209" w:type="dxa"/>
            <w:vMerge w:val="continue"/>
            <w:tcBorders>
              <w:top w:val="nil"/>
            </w:tcBorders>
            <w:vAlign w:val="top"/>
          </w:tcPr>
          <w:p w14:paraId="692AFCD4">
            <w:pPr>
              <w:rPr>
                <w:rFonts w:ascii="Arial"/>
                <w:sz w:val="21"/>
              </w:rPr>
            </w:pPr>
          </w:p>
        </w:tc>
        <w:tc>
          <w:tcPr>
            <w:tcW w:w="2728" w:type="dxa"/>
            <w:vAlign w:val="top"/>
          </w:tcPr>
          <w:p w14:paraId="58EF40B4">
            <w:pPr>
              <w:pStyle w:val="6"/>
              <w:spacing w:before="204" w:line="511" w:lineRule="auto"/>
              <w:ind w:left="11" w:firstLine="10"/>
              <w:rPr>
                <w:sz w:val="20"/>
                <w:szCs w:val="20"/>
              </w:rPr>
            </w:pPr>
            <w:r>
              <w:rPr>
                <w:spacing w:val="7"/>
                <w:sz w:val="20"/>
                <w:szCs w:val="20"/>
              </w:rPr>
              <w:t>企业主要负责人、企业名称、</w:t>
            </w:r>
            <w:r>
              <w:rPr>
                <w:spacing w:val="3"/>
                <w:sz w:val="20"/>
                <w:szCs w:val="20"/>
              </w:rPr>
              <w:t xml:space="preserve"> </w:t>
            </w:r>
            <w:r>
              <w:rPr>
                <w:spacing w:val="-1"/>
                <w:sz w:val="20"/>
                <w:szCs w:val="20"/>
              </w:rPr>
              <w:t>注册地址发生变更的，是否在</w:t>
            </w:r>
          </w:p>
          <w:p w14:paraId="7510FE2A">
            <w:pPr>
              <w:pStyle w:val="6"/>
              <w:spacing w:before="23" w:line="219" w:lineRule="auto"/>
              <w:ind w:left="22"/>
              <w:rPr>
                <w:sz w:val="20"/>
                <w:szCs w:val="20"/>
              </w:rPr>
            </w:pPr>
            <w:r>
              <w:rPr>
                <w:spacing w:val="-1"/>
                <w:sz w:val="20"/>
                <w:szCs w:val="20"/>
              </w:rPr>
              <w:t>法律法规规定时限内办理相关</w:t>
            </w:r>
          </w:p>
          <w:p w14:paraId="40279B6B">
            <w:pPr>
              <w:spacing w:line="266" w:lineRule="auto"/>
              <w:rPr>
                <w:rFonts w:ascii="Arial"/>
                <w:sz w:val="21"/>
              </w:rPr>
            </w:pPr>
          </w:p>
          <w:p w14:paraId="6008AD75">
            <w:pPr>
              <w:pStyle w:val="6"/>
              <w:spacing w:before="65" w:line="220" w:lineRule="auto"/>
              <w:ind w:left="22"/>
              <w:rPr>
                <w:sz w:val="20"/>
                <w:szCs w:val="20"/>
              </w:rPr>
            </w:pPr>
            <w:r>
              <w:rPr>
                <w:spacing w:val="19"/>
                <w:sz w:val="20"/>
                <w:szCs w:val="20"/>
              </w:rPr>
              <w:t>变更手续；</w:t>
            </w:r>
          </w:p>
        </w:tc>
        <w:tc>
          <w:tcPr>
            <w:tcW w:w="960" w:type="dxa"/>
            <w:vMerge w:val="continue"/>
            <w:tcBorders>
              <w:top w:val="nil"/>
            </w:tcBorders>
            <w:vAlign w:val="top"/>
          </w:tcPr>
          <w:p w14:paraId="39714196">
            <w:pPr>
              <w:rPr>
                <w:rFonts w:ascii="Arial"/>
                <w:sz w:val="21"/>
              </w:rPr>
            </w:pPr>
          </w:p>
        </w:tc>
        <w:tc>
          <w:tcPr>
            <w:tcW w:w="590" w:type="dxa"/>
            <w:vMerge w:val="continue"/>
            <w:tcBorders>
              <w:top w:val="nil"/>
            </w:tcBorders>
            <w:vAlign w:val="top"/>
          </w:tcPr>
          <w:p w14:paraId="2F6C16BD">
            <w:pPr>
              <w:rPr>
                <w:rFonts w:ascii="Arial"/>
                <w:sz w:val="21"/>
              </w:rPr>
            </w:pPr>
          </w:p>
        </w:tc>
        <w:tc>
          <w:tcPr>
            <w:tcW w:w="899" w:type="dxa"/>
            <w:vMerge w:val="continue"/>
            <w:tcBorders>
              <w:top w:val="nil"/>
            </w:tcBorders>
            <w:vAlign w:val="top"/>
          </w:tcPr>
          <w:p w14:paraId="4855729D">
            <w:pPr>
              <w:rPr>
                <w:rFonts w:ascii="Arial"/>
                <w:sz w:val="21"/>
              </w:rPr>
            </w:pPr>
          </w:p>
        </w:tc>
        <w:tc>
          <w:tcPr>
            <w:tcW w:w="1049" w:type="dxa"/>
            <w:vMerge w:val="continue"/>
            <w:tcBorders>
              <w:top w:val="nil"/>
            </w:tcBorders>
            <w:vAlign w:val="top"/>
          </w:tcPr>
          <w:p w14:paraId="5236B9EE">
            <w:pPr>
              <w:rPr>
                <w:rFonts w:ascii="Arial"/>
                <w:sz w:val="21"/>
              </w:rPr>
            </w:pPr>
          </w:p>
        </w:tc>
        <w:tc>
          <w:tcPr>
            <w:tcW w:w="7120" w:type="dxa"/>
            <w:vAlign w:val="top"/>
          </w:tcPr>
          <w:p w14:paraId="6F6A36F6">
            <w:pPr>
              <w:pStyle w:val="6"/>
              <w:spacing w:before="195" w:line="219" w:lineRule="auto"/>
              <w:ind w:left="6"/>
              <w:rPr>
                <w:sz w:val="20"/>
                <w:szCs w:val="20"/>
              </w:rPr>
            </w:pPr>
            <w:r>
              <w:rPr>
                <w:sz w:val="20"/>
                <w:szCs w:val="20"/>
              </w:rPr>
              <w:t>《非煤矿矿山企业安全生产许可证实施办法》第二十一条</w:t>
            </w:r>
            <w:r>
              <w:rPr>
                <w:spacing w:val="-1"/>
                <w:sz w:val="20"/>
                <w:szCs w:val="20"/>
              </w:rPr>
              <w:t>非煤矿矿山企业在安全</w:t>
            </w:r>
          </w:p>
          <w:p w14:paraId="6F6068C7">
            <w:pPr>
              <w:spacing w:line="276" w:lineRule="auto"/>
              <w:rPr>
                <w:rFonts w:ascii="Arial"/>
                <w:sz w:val="21"/>
              </w:rPr>
            </w:pPr>
          </w:p>
          <w:p w14:paraId="59E2C9C7">
            <w:pPr>
              <w:pStyle w:val="6"/>
              <w:spacing w:before="65" w:line="219" w:lineRule="auto"/>
              <w:ind w:left="156"/>
              <w:rPr>
                <w:sz w:val="20"/>
                <w:szCs w:val="20"/>
              </w:rPr>
            </w:pPr>
            <w:r>
              <w:rPr>
                <w:sz w:val="20"/>
                <w:szCs w:val="20"/>
              </w:rPr>
              <w:t>生产许可证有效期内有下列情形之一的，应当自工商营</w:t>
            </w:r>
            <w:r>
              <w:rPr>
                <w:spacing w:val="-1"/>
                <w:sz w:val="20"/>
                <w:szCs w:val="20"/>
              </w:rPr>
              <w:t>业执照变更之日起30个</w:t>
            </w:r>
          </w:p>
          <w:p w14:paraId="560A5024">
            <w:pPr>
              <w:spacing w:line="265" w:lineRule="auto"/>
              <w:rPr>
                <w:rFonts w:ascii="Arial"/>
                <w:sz w:val="21"/>
              </w:rPr>
            </w:pPr>
          </w:p>
          <w:p w14:paraId="65D470B4">
            <w:pPr>
              <w:pStyle w:val="6"/>
              <w:spacing w:before="65" w:line="437" w:lineRule="auto"/>
              <w:ind w:left="55" w:right="40"/>
              <w:rPr>
                <w:sz w:val="20"/>
                <w:szCs w:val="20"/>
              </w:rPr>
            </w:pPr>
            <w:r>
              <w:rPr>
                <w:sz w:val="20"/>
                <w:szCs w:val="20"/>
              </w:rPr>
              <w:t>工作日内向原安全生产许可证颁发管理机关申请变更安</w:t>
            </w:r>
            <w:r>
              <w:rPr>
                <w:spacing w:val="-1"/>
                <w:sz w:val="20"/>
                <w:szCs w:val="20"/>
              </w:rPr>
              <w:t>全生产许可证：(一)变更</w:t>
            </w:r>
            <w:r>
              <w:rPr>
                <w:sz w:val="20"/>
                <w:szCs w:val="20"/>
              </w:rPr>
              <w:t xml:space="preserve"> 单位名称的；(二)变更主要负责人的；(三)变更单位地址的；(四)变更经济类型</w:t>
            </w:r>
          </w:p>
        </w:tc>
      </w:tr>
    </w:tbl>
    <w:p w14:paraId="116AF1CA">
      <w:pPr>
        <w:pStyle w:val="2"/>
      </w:pPr>
    </w:p>
    <w:p w14:paraId="5F841587">
      <w:pPr>
        <w:sectPr>
          <w:footerReference r:id="rId14" w:type="default"/>
          <w:pgSz w:w="16820" w:h="11900"/>
          <w:pgMar w:top="400" w:right="695" w:bottom="1814" w:left="594" w:header="0" w:footer="1399" w:gutter="0"/>
          <w:cols w:space="720" w:num="1"/>
        </w:sectPr>
      </w:pPr>
    </w:p>
    <w:p w14:paraId="3A1EB9EE">
      <w:pPr>
        <w:spacing w:before="28"/>
      </w:pPr>
    </w:p>
    <w:p w14:paraId="17920FBC">
      <w:pPr>
        <w:spacing w:before="28"/>
      </w:pPr>
    </w:p>
    <w:p w14:paraId="31D5AB51">
      <w:pPr>
        <w:spacing w:before="27"/>
      </w:pPr>
    </w:p>
    <w:p w14:paraId="0BFC0FD5">
      <w:pPr>
        <w:spacing w:before="27"/>
      </w:pPr>
    </w:p>
    <w:p w14:paraId="47DE060D">
      <w:pPr>
        <w:spacing w:before="27"/>
      </w:pPr>
    </w:p>
    <w:tbl>
      <w:tblPr>
        <w:tblStyle w:val="5"/>
        <w:tblW w:w="155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4"/>
        <w:gridCol w:w="1219"/>
        <w:gridCol w:w="2718"/>
        <w:gridCol w:w="969"/>
        <w:gridCol w:w="590"/>
        <w:gridCol w:w="899"/>
        <w:gridCol w:w="1029"/>
        <w:gridCol w:w="7141"/>
      </w:tblGrid>
      <w:tr w14:paraId="45AAD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trPr>
        <w:tc>
          <w:tcPr>
            <w:tcW w:w="954" w:type="dxa"/>
            <w:vAlign w:val="top"/>
          </w:tcPr>
          <w:p w14:paraId="613AE3AF">
            <w:pPr>
              <w:rPr>
                <w:rFonts w:ascii="Arial"/>
                <w:sz w:val="21"/>
              </w:rPr>
            </w:pPr>
          </w:p>
        </w:tc>
        <w:tc>
          <w:tcPr>
            <w:tcW w:w="1219" w:type="dxa"/>
            <w:vMerge w:val="restart"/>
            <w:tcBorders>
              <w:bottom w:val="nil"/>
            </w:tcBorders>
            <w:vAlign w:val="top"/>
          </w:tcPr>
          <w:p w14:paraId="048ABB6C">
            <w:pPr>
              <w:pStyle w:val="6"/>
              <w:spacing w:before="193" w:line="220" w:lineRule="auto"/>
              <w:ind w:left="11"/>
              <w:rPr>
                <w:sz w:val="20"/>
                <w:szCs w:val="20"/>
              </w:rPr>
            </w:pPr>
            <w:r>
              <w:rPr>
                <w:spacing w:val="4"/>
                <w:sz w:val="20"/>
                <w:szCs w:val="20"/>
              </w:rPr>
              <w:t>危险化学品</w:t>
            </w:r>
          </w:p>
          <w:p w14:paraId="64C053C3">
            <w:pPr>
              <w:spacing w:line="265" w:lineRule="auto"/>
              <w:rPr>
                <w:rFonts w:ascii="Arial"/>
                <w:sz w:val="21"/>
              </w:rPr>
            </w:pPr>
          </w:p>
          <w:p w14:paraId="43E13E55">
            <w:pPr>
              <w:pStyle w:val="6"/>
              <w:spacing w:before="65" w:line="220" w:lineRule="auto"/>
              <w:jc w:val="right"/>
              <w:rPr>
                <w:sz w:val="20"/>
                <w:szCs w:val="20"/>
              </w:rPr>
            </w:pPr>
            <w:r>
              <w:rPr>
                <w:spacing w:val="-4"/>
                <w:sz w:val="20"/>
                <w:szCs w:val="20"/>
              </w:rPr>
              <w:t>企业、工贸行</w:t>
            </w:r>
          </w:p>
          <w:p w14:paraId="5A5CBCED">
            <w:pPr>
              <w:spacing w:line="264" w:lineRule="auto"/>
              <w:rPr>
                <w:rFonts w:ascii="Arial"/>
                <w:sz w:val="21"/>
              </w:rPr>
            </w:pPr>
          </w:p>
          <w:p w14:paraId="23D168D7">
            <w:pPr>
              <w:pStyle w:val="6"/>
              <w:spacing w:before="65" w:line="219" w:lineRule="auto"/>
              <w:ind w:left="11"/>
              <w:rPr>
                <w:sz w:val="20"/>
                <w:szCs w:val="20"/>
              </w:rPr>
            </w:pPr>
            <w:r>
              <w:rPr>
                <w:spacing w:val="-2"/>
                <w:sz w:val="20"/>
                <w:szCs w:val="20"/>
              </w:rPr>
              <w:t>业检查</w:t>
            </w:r>
          </w:p>
        </w:tc>
        <w:tc>
          <w:tcPr>
            <w:tcW w:w="2718" w:type="dxa"/>
            <w:vAlign w:val="top"/>
          </w:tcPr>
          <w:p w14:paraId="29B37CBF">
            <w:pPr>
              <w:rPr>
                <w:rFonts w:ascii="Arial"/>
                <w:sz w:val="21"/>
              </w:rPr>
            </w:pPr>
          </w:p>
        </w:tc>
        <w:tc>
          <w:tcPr>
            <w:tcW w:w="969" w:type="dxa"/>
            <w:vMerge w:val="restart"/>
            <w:tcBorders>
              <w:bottom w:val="nil"/>
            </w:tcBorders>
            <w:vAlign w:val="top"/>
          </w:tcPr>
          <w:p w14:paraId="757CDC9C">
            <w:pPr>
              <w:pStyle w:val="6"/>
              <w:spacing w:before="203" w:line="220" w:lineRule="auto"/>
              <w:ind w:left="13"/>
              <w:rPr>
                <w:sz w:val="20"/>
                <w:szCs w:val="20"/>
              </w:rPr>
            </w:pPr>
            <w:r>
              <w:rPr>
                <w:spacing w:val="-2"/>
                <w:sz w:val="20"/>
                <w:szCs w:val="20"/>
              </w:rPr>
              <w:t>业、危险</w:t>
            </w:r>
          </w:p>
          <w:p w14:paraId="7BA8F27D">
            <w:pPr>
              <w:spacing w:line="255" w:lineRule="auto"/>
              <w:rPr>
                <w:rFonts w:ascii="Arial"/>
                <w:sz w:val="21"/>
              </w:rPr>
            </w:pPr>
          </w:p>
          <w:p w14:paraId="629EBE63">
            <w:pPr>
              <w:pStyle w:val="6"/>
              <w:spacing w:before="65" w:line="221" w:lineRule="auto"/>
              <w:jc w:val="right"/>
              <w:rPr>
                <w:sz w:val="20"/>
                <w:szCs w:val="20"/>
              </w:rPr>
            </w:pPr>
            <w:r>
              <w:rPr>
                <w:spacing w:val="36"/>
                <w:sz w:val="20"/>
                <w:szCs w:val="20"/>
              </w:rPr>
              <w:t>化学品企</w:t>
            </w:r>
          </w:p>
          <w:p w14:paraId="78F4008C">
            <w:pPr>
              <w:spacing w:line="263" w:lineRule="auto"/>
              <w:rPr>
                <w:rFonts w:ascii="Arial"/>
                <w:sz w:val="21"/>
              </w:rPr>
            </w:pPr>
          </w:p>
          <w:p w14:paraId="0F674C87">
            <w:pPr>
              <w:pStyle w:val="6"/>
              <w:spacing w:before="65" w:line="220" w:lineRule="auto"/>
              <w:jc w:val="right"/>
              <w:rPr>
                <w:sz w:val="20"/>
                <w:szCs w:val="20"/>
              </w:rPr>
            </w:pPr>
            <w:r>
              <w:rPr>
                <w:spacing w:val="-16"/>
                <w:sz w:val="20"/>
                <w:szCs w:val="20"/>
              </w:rPr>
              <w:t>业</w:t>
            </w:r>
            <w:r>
              <w:rPr>
                <w:spacing w:val="-25"/>
                <w:sz w:val="20"/>
                <w:szCs w:val="20"/>
              </w:rPr>
              <w:t xml:space="preserve"> </w:t>
            </w:r>
            <w:r>
              <w:rPr>
                <w:spacing w:val="-16"/>
                <w:sz w:val="20"/>
                <w:szCs w:val="20"/>
              </w:rPr>
              <w:t>、</w:t>
            </w:r>
            <w:r>
              <w:rPr>
                <w:spacing w:val="-37"/>
                <w:sz w:val="20"/>
                <w:szCs w:val="20"/>
              </w:rPr>
              <w:t xml:space="preserve"> </w:t>
            </w:r>
            <w:r>
              <w:rPr>
                <w:spacing w:val="-16"/>
                <w:sz w:val="20"/>
                <w:szCs w:val="20"/>
              </w:rPr>
              <w:t>工</w:t>
            </w:r>
            <w:r>
              <w:rPr>
                <w:spacing w:val="-30"/>
                <w:sz w:val="20"/>
                <w:szCs w:val="20"/>
              </w:rPr>
              <w:t xml:space="preserve"> </w:t>
            </w:r>
            <w:r>
              <w:rPr>
                <w:spacing w:val="-16"/>
                <w:sz w:val="20"/>
                <w:szCs w:val="20"/>
              </w:rPr>
              <w:t>贸</w:t>
            </w:r>
          </w:p>
          <w:p w14:paraId="438C837A">
            <w:pPr>
              <w:spacing w:line="265" w:lineRule="auto"/>
              <w:rPr>
                <w:rFonts w:ascii="Arial"/>
                <w:sz w:val="21"/>
              </w:rPr>
            </w:pPr>
          </w:p>
          <w:p w14:paraId="7851638A">
            <w:pPr>
              <w:pStyle w:val="6"/>
              <w:spacing w:before="65" w:line="220" w:lineRule="auto"/>
              <w:ind w:left="13"/>
              <w:rPr>
                <w:sz w:val="20"/>
                <w:szCs w:val="20"/>
              </w:rPr>
            </w:pPr>
            <w:r>
              <w:rPr>
                <w:spacing w:val="-3"/>
                <w:sz w:val="20"/>
                <w:szCs w:val="20"/>
              </w:rPr>
              <w:t>行业企业</w:t>
            </w:r>
          </w:p>
        </w:tc>
        <w:tc>
          <w:tcPr>
            <w:tcW w:w="590" w:type="dxa"/>
            <w:vMerge w:val="restart"/>
            <w:tcBorders>
              <w:bottom w:val="nil"/>
            </w:tcBorders>
            <w:vAlign w:val="top"/>
          </w:tcPr>
          <w:p w14:paraId="64A237E0">
            <w:pPr>
              <w:pStyle w:val="6"/>
              <w:spacing w:before="204" w:line="221" w:lineRule="auto"/>
              <w:jc w:val="right"/>
              <w:rPr>
                <w:sz w:val="20"/>
                <w:szCs w:val="20"/>
              </w:rPr>
            </w:pPr>
            <w:r>
              <w:rPr>
                <w:spacing w:val="-13"/>
                <w:sz w:val="20"/>
                <w:szCs w:val="20"/>
              </w:rPr>
              <w:t>一</w:t>
            </w:r>
            <w:r>
              <w:rPr>
                <w:spacing w:val="86"/>
                <w:sz w:val="20"/>
                <w:szCs w:val="20"/>
              </w:rPr>
              <w:t xml:space="preserve"> </w:t>
            </w:r>
            <w:r>
              <w:rPr>
                <w:spacing w:val="-9"/>
                <w:sz w:val="20"/>
                <w:szCs w:val="20"/>
              </w:rPr>
              <w:t>般</w:t>
            </w:r>
          </w:p>
          <w:p w14:paraId="7C18B638">
            <w:pPr>
              <w:spacing w:line="253" w:lineRule="auto"/>
              <w:rPr>
                <w:rFonts w:ascii="Arial"/>
                <w:sz w:val="21"/>
              </w:rPr>
            </w:pPr>
          </w:p>
          <w:p w14:paraId="660D82E9">
            <w:pPr>
              <w:pStyle w:val="6"/>
              <w:spacing w:before="65" w:line="219" w:lineRule="auto"/>
              <w:jc w:val="right"/>
              <w:rPr>
                <w:sz w:val="20"/>
                <w:szCs w:val="20"/>
              </w:rPr>
            </w:pPr>
            <w:r>
              <w:rPr>
                <w:spacing w:val="-11"/>
                <w:sz w:val="20"/>
                <w:szCs w:val="20"/>
              </w:rPr>
              <w:t>检</w:t>
            </w:r>
            <w:r>
              <w:rPr>
                <w:spacing w:val="86"/>
                <w:sz w:val="20"/>
                <w:szCs w:val="20"/>
              </w:rPr>
              <w:t xml:space="preserve"> </w:t>
            </w:r>
            <w:r>
              <w:rPr>
                <w:spacing w:val="-11"/>
                <w:sz w:val="20"/>
                <w:szCs w:val="20"/>
              </w:rPr>
              <w:t>查</w:t>
            </w:r>
          </w:p>
          <w:p w14:paraId="1BCC4F54">
            <w:pPr>
              <w:spacing w:line="266" w:lineRule="auto"/>
              <w:rPr>
                <w:rFonts w:ascii="Arial"/>
                <w:sz w:val="21"/>
              </w:rPr>
            </w:pPr>
          </w:p>
          <w:p w14:paraId="09565AF4">
            <w:pPr>
              <w:pStyle w:val="6"/>
              <w:spacing w:before="65" w:line="220" w:lineRule="auto"/>
              <w:ind w:left="24"/>
              <w:rPr>
                <w:sz w:val="20"/>
                <w:szCs w:val="20"/>
              </w:rPr>
            </w:pPr>
            <w:r>
              <w:rPr>
                <w:spacing w:val="6"/>
                <w:sz w:val="20"/>
                <w:szCs w:val="20"/>
              </w:rPr>
              <w:t>事项</w:t>
            </w:r>
          </w:p>
        </w:tc>
        <w:tc>
          <w:tcPr>
            <w:tcW w:w="899" w:type="dxa"/>
            <w:vMerge w:val="restart"/>
            <w:tcBorders>
              <w:bottom w:val="nil"/>
            </w:tcBorders>
            <w:vAlign w:val="top"/>
          </w:tcPr>
          <w:p w14:paraId="4C544E89">
            <w:pPr>
              <w:pStyle w:val="6"/>
              <w:spacing w:before="203" w:line="219" w:lineRule="auto"/>
              <w:jc w:val="right"/>
              <w:rPr>
                <w:sz w:val="20"/>
                <w:szCs w:val="20"/>
              </w:rPr>
            </w:pPr>
            <w:r>
              <w:rPr>
                <w:spacing w:val="-14"/>
                <w:sz w:val="20"/>
                <w:szCs w:val="20"/>
              </w:rPr>
              <w:t>现</w:t>
            </w:r>
            <w:r>
              <w:rPr>
                <w:spacing w:val="54"/>
                <w:sz w:val="20"/>
                <w:szCs w:val="20"/>
              </w:rPr>
              <w:t xml:space="preserve"> </w:t>
            </w:r>
            <w:r>
              <w:rPr>
                <w:spacing w:val="-13"/>
                <w:sz w:val="20"/>
                <w:szCs w:val="20"/>
              </w:rPr>
              <w:t>场</w:t>
            </w:r>
            <w:r>
              <w:rPr>
                <w:spacing w:val="55"/>
                <w:sz w:val="20"/>
                <w:szCs w:val="20"/>
              </w:rPr>
              <w:t xml:space="preserve"> </w:t>
            </w:r>
            <w:r>
              <w:rPr>
                <w:spacing w:val="-9"/>
                <w:sz w:val="20"/>
                <w:szCs w:val="20"/>
              </w:rPr>
              <w:t>检</w:t>
            </w:r>
          </w:p>
          <w:p w14:paraId="16F0487E">
            <w:pPr>
              <w:spacing w:line="260" w:lineRule="auto"/>
              <w:rPr>
                <w:rFonts w:ascii="Arial"/>
                <w:sz w:val="21"/>
              </w:rPr>
            </w:pPr>
          </w:p>
          <w:p w14:paraId="407543FF">
            <w:pPr>
              <w:pStyle w:val="6"/>
              <w:spacing w:before="65" w:line="224" w:lineRule="auto"/>
              <w:ind w:left="44"/>
              <w:rPr>
                <w:sz w:val="20"/>
                <w:szCs w:val="20"/>
              </w:rPr>
            </w:pPr>
            <w:r>
              <w:rPr>
                <w:spacing w:val="-2"/>
                <w:sz w:val="20"/>
                <w:szCs w:val="20"/>
              </w:rPr>
              <w:t>查、网络</w:t>
            </w:r>
          </w:p>
          <w:p w14:paraId="3ED42D41">
            <w:pPr>
              <w:pStyle w:val="6"/>
              <w:spacing w:before="303" w:line="219" w:lineRule="auto"/>
              <w:ind w:left="34"/>
              <w:rPr>
                <w:sz w:val="20"/>
                <w:szCs w:val="20"/>
              </w:rPr>
            </w:pPr>
            <w:r>
              <w:rPr>
                <w:spacing w:val="-2"/>
                <w:sz w:val="20"/>
                <w:szCs w:val="20"/>
              </w:rPr>
              <w:t>检查</w:t>
            </w:r>
          </w:p>
        </w:tc>
        <w:tc>
          <w:tcPr>
            <w:tcW w:w="1029" w:type="dxa"/>
            <w:vMerge w:val="restart"/>
            <w:tcBorders>
              <w:bottom w:val="nil"/>
            </w:tcBorders>
            <w:vAlign w:val="top"/>
          </w:tcPr>
          <w:p w14:paraId="7E1231DE">
            <w:pPr>
              <w:pStyle w:val="6"/>
              <w:spacing w:before="203" w:line="219" w:lineRule="auto"/>
              <w:jc w:val="right"/>
              <w:rPr>
                <w:sz w:val="20"/>
                <w:szCs w:val="20"/>
              </w:rPr>
            </w:pPr>
            <w:r>
              <w:rPr>
                <w:spacing w:val="-13"/>
                <w:sz w:val="20"/>
                <w:szCs w:val="20"/>
              </w:rPr>
              <w:t>旗</w:t>
            </w:r>
            <w:r>
              <w:rPr>
                <w:spacing w:val="-21"/>
                <w:sz w:val="20"/>
                <w:szCs w:val="20"/>
              </w:rPr>
              <w:t xml:space="preserve"> </w:t>
            </w:r>
            <w:r>
              <w:rPr>
                <w:spacing w:val="-12"/>
                <w:sz w:val="20"/>
                <w:szCs w:val="20"/>
              </w:rPr>
              <w:t>应</w:t>
            </w:r>
            <w:r>
              <w:rPr>
                <w:spacing w:val="-14"/>
                <w:sz w:val="20"/>
                <w:szCs w:val="20"/>
              </w:rPr>
              <w:t xml:space="preserve"> </w:t>
            </w:r>
            <w:r>
              <w:rPr>
                <w:spacing w:val="-12"/>
                <w:sz w:val="20"/>
                <w:szCs w:val="20"/>
              </w:rPr>
              <w:t>急</w:t>
            </w:r>
            <w:r>
              <w:rPr>
                <w:spacing w:val="-15"/>
                <w:sz w:val="20"/>
                <w:szCs w:val="20"/>
              </w:rPr>
              <w:t xml:space="preserve"> </w:t>
            </w:r>
            <w:r>
              <w:rPr>
                <w:spacing w:val="-11"/>
                <w:sz w:val="20"/>
                <w:szCs w:val="20"/>
              </w:rPr>
              <w:t>管</w:t>
            </w:r>
          </w:p>
          <w:p w14:paraId="2CF569DC">
            <w:pPr>
              <w:spacing w:line="267" w:lineRule="auto"/>
              <w:rPr>
                <w:rFonts w:ascii="Arial"/>
                <w:sz w:val="21"/>
              </w:rPr>
            </w:pPr>
          </w:p>
          <w:p w14:paraId="7ECF6875">
            <w:pPr>
              <w:pStyle w:val="6"/>
              <w:spacing w:before="65" w:line="221" w:lineRule="auto"/>
              <w:ind w:left="15"/>
              <w:rPr>
                <w:sz w:val="20"/>
                <w:szCs w:val="20"/>
              </w:rPr>
            </w:pPr>
            <w:r>
              <w:rPr>
                <w:spacing w:val="9"/>
                <w:sz w:val="20"/>
                <w:szCs w:val="20"/>
              </w:rPr>
              <w:t>理局</w:t>
            </w:r>
          </w:p>
        </w:tc>
        <w:tc>
          <w:tcPr>
            <w:tcW w:w="7141" w:type="dxa"/>
            <w:vAlign w:val="top"/>
          </w:tcPr>
          <w:p w14:paraId="0E61107E">
            <w:pPr>
              <w:pStyle w:val="6"/>
              <w:spacing w:before="213" w:line="220" w:lineRule="auto"/>
              <w:ind w:left="16"/>
              <w:rPr>
                <w:sz w:val="20"/>
                <w:szCs w:val="20"/>
              </w:rPr>
            </w:pPr>
            <w:r>
              <w:rPr>
                <w:sz w:val="20"/>
                <w:szCs w:val="20"/>
              </w:rPr>
              <w:t>的；(五)变更许可范围的。</w:t>
            </w:r>
          </w:p>
        </w:tc>
      </w:tr>
      <w:tr w14:paraId="32D41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6" w:hRule="atLeast"/>
        </w:trPr>
        <w:tc>
          <w:tcPr>
            <w:tcW w:w="954" w:type="dxa"/>
            <w:vAlign w:val="top"/>
          </w:tcPr>
          <w:p w14:paraId="2B7E66D0">
            <w:pPr>
              <w:spacing w:line="257" w:lineRule="auto"/>
              <w:rPr>
                <w:rFonts w:ascii="Arial"/>
                <w:sz w:val="21"/>
              </w:rPr>
            </w:pPr>
          </w:p>
          <w:p w14:paraId="74C41DF6">
            <w:pPr>
              <w:spacing w:line="257" w:lineRule="auto"/>
              <w:rPr>
                <w:rFonts w:ascii="Arial"/>
                <w:sz w:val="21"/>
              </w:rPr>
            </w:pPr>
          </w:p>
          <w:p w14:paraId="59F0B5CD">
            <w:pPr>
              <w:spacing w:line="257" w:lineRule="auto"/>
              <w:rPr>
                <w:rFonts w:ascii="Arial"/>
                <w:sz w:val="21"/>
              </w:rPr>
            </w:pPr>
          </w:p>
          <w:p w14:paraId="39698613">
            <w:pPr>
              <w:spacing w:line="257" w:lineRule="auto"/>
              <w:rPr>
                <w:rFonts w:ascii="Arial"/>
                <w:sz w:val="21"/>
              </w:rPr>
            </w:pPr>
          </w:p>
          <w:p w14:paraId="0DCB2D2D">
            <w:pPr>
              <w:spacing w:line="258" w:lineRule="auto"/>
              <w:rPr>
                <w:rFonts w:ascii="Arial"/>
                <w:sz w:val="21"/>
              </w:rPr>
            </w:pPr>
          </w:p>
          <w:p w14:paraId="325D2113">
            <w:pPr>
              <w:pStyle w:val="6"/>
              <w:spacing w:before="65"/>
              <w:ind w:left="414"/>
              <w:rPr>
                <w:sz w:val="20"/>
                <w:szCs w:val="20"/>
              </w:rPr>
            </w:pPr>
            <w:r>
              <w:rPr>
                <w:sz w:val="20"/>
                <w:szCs w:val="20"/>
              </w:rPr>
              <w:t>8</w:t>
            </w:r>
          </w:p>
        </w:tc>
        <w:tc>
          <w:tcPr>
            <w:tcW w:w="1219" w:type="dxa"/>
            <w:vMerge w:val="continue"/>
            <w:tcBorders>
              <w:top w:val="nil"/>
              <w:bottom w:val="nil"/>
            </w:tcBorders>
            <w:vAlign w:val="top"/>
          </w:tcPr>
          <w:p w14:paraId="0D8F8C4B">
            <w:pPr>
              <w:rPr>
                <w:rFonts w:ascii="Arial"/>
                <w:sz w:val="21"/>
              </w:rPr>
            </w:pPr>
          </w:p>
        </w:tc>
        <w:tc>
          <w:tcPr>
            <w:tcW w:w="2718" w:type="dxa"/>
            <w:vAlign w:val="top"/>
          </w:tcPr>
          <w:p w14:paraId="3AD06056">
            <w:pPr>
              <w:pStyle w:val="6"/>
              <w:spacing w:before="220" w:line="219" w:lineRule="auto"/>
              <w:ind w:left="51"/>
              <w:rPr>
                <w:sz w:val="20"/>
                <w:szCs w:val="20"/>
              </w:rPr>
            </w:pPr>
            <w:r>
              <w:rPr>
                <w:sz w:val="20"/>
                <w:szCs w:val="20"/>
              </w:rPr>
              <w:t>企业主要负责人、安全生产管</w:t>
            </w:r>
          </w:p>
          <w:p w14:paraId="44D2A2AF">
            <w:pPr>
              <w:spacing w:line="256" w:lineRule="auto"/>
              <w:rPr>
                <w:rFonts w:ascii="Arial"/>
                <w:sz w:val="21"/>
              </w:rPr>
            </w:pPr>
          </w:p>
          <w:p w14:paraId="3F9F4407">
            <w:pPr>
              <w:pStyle w:val="6"/>
              <w:spacing w:before="65" w:line="219" w:lineRule="auto"/>
              <w:ind w:left="201"/>
              <w:rPr>
                <w:sz w:val="20"/>
                <w:szCs w:val="20"/>
              </w:rPr>
            </w:pPr>
            <w:r>
              <w:rPr>
                <w:spacing w:val="3"/>
                <w:sz w:val="20"/>
                <w:szCs w:val="20"/>
              </w:rPr>
              <w:t>理人员自任职之日起6个月</w:t>
            </w:r>
          </w:p>
          <w:p w14:paraId="77A86E66">
            <w:pPr>
              <w:spacing w:line="266" w:lineRule="auto"/>
              <w:rPr>
                <w:rFonts w:ascii="Arial"/>
                <w:sz w:val="21"/>
              </w:rPr>
            </w:pPr>
          </w:p>
          <w:p w14:paraId="0F19E8B6">
            <w:pPr>
              <w:pStyle w:val="6"/>
              <w:spacing w:before="65" w:line="219" w:lineRule="auto"/>
              <w:ind w:left="51"/>
              <w:rPr>
                <w:sz w:val="20"/>
                <w:szCs w:val="20"/>
              </w:rPr>
            </w:pPr>
            <w:r>
              <w:rPr>
                <w:sz w:val="20"/>
                <w:szCs w:val="20"/>
              </w:rPr>
              <w:t>内，是否经主管部门对其安全</w:t>
            </w:r>
          </w:p>
          <w:p w14:paraId="39F6A8ED">
            <w:pPr>
              <w:spacing w:line="256" w:lineRule="auto"/>
              <w:rPr>
                <w:rFonts w:ascii="Arial"/>
                <w:sz w:val="21"/>
              </w:rPr>
            </w:pPr>
          </w:p>
          <w:p w14:paraId="37F6C976">
            <w:pPr>
              <w:pStyle w:val="6"/>
              <w:spacing w:before="65" w:line="219" w:lineRule="auto"/>
              <w:ind w:left="151"/>
              <w:rPr>
                <w:sz w:val="20"/>
                <w:szCs w:val="20"/>
              </w:rPr>
            </w:pPr>
            <w:r>
              <w:rPr>
                <w:spacing w:val="-1"/>
                <w:sz w:val="20"/>
                <w:szCs w:val="20"/>
              </w:rPr>
              <w:t>生产知识和管理能力考核合</w:t>
            </w:r>
          </w:p>
          <w:p w14:paraId="2EC8FEA4">
            <w:pPr>
              <w:spacing w:line="246" w:lineRule="auto"/>
              <w:rPr>
                <w:rFonts w:ascii="Arial"/>
                <w:sz w:val="21"/>
              </w:rPr>
            </w:pPr>
          </w:p>
          <w:p w14:paraId="059D38C6">
            <w:pPr>
              <w:pStyle w:val="6"/>
              <w:spacing w:before="65" w:line="219" w:lineRule="auto"/>
              <w:ind w:left="11"/>
              <w:rPr>
                <w:sz w:val="20"/>
                <w:szCs w:val="20"/>
              </w:rPr>
            </w:pPr>
            <w:r>
              <w:rPr>
                <w:spacing w:val="-4"/>
                <w:sz w:val="20"/>
                <w:szCs w:val="20"/>
              </w:rPr>
              <w:t>格</w:t>
            </w:r>
            <w:r>
              <w:rPr>
                <w:spacing w:val="54"/>
                <w:sz w:val="20"/>
                <w:szCs w:val="20"/>
              </w:rPr>
              <w:t xml:space="preserve"> </w:t>
            </w:r>
            <w:r>
              <w:rPr>
                <w:spacing w:val="-4"/>
                <w:sz w:val="20"/>
                <w:szCs w:val="20"/>
              </w:rPr>
              <w:t>；</w:t>
            </w:r>
          </w:p>
        </w:tc>
        <w:tc>
          <w:tcPr>
            <w:tcW w:w="969" w:type="dxa"/>
            <w:vMerge w:val="continue"/>
            <w:tcBorders>
              <w:top w:val="nil"/>
              <w:bottom w:val="nil"/>
            </w:tcBorders>
            <w:vAlign w:val="top"/>
          </w:tcPr>
          <w:p w14:paraId="03FEE842">
            <w:pPr>
              <w:rPr>
                <w:rFonts w:ascii="Arial"/>
                <w:sz w:val="21"/>
              </w:rPr>
            </w:pPr>
          </w:p>
        </w:tc>
        <w:tc>
          <w:tcPr>
            <w:tcW w:w="590" w:type="dxa"/>
            <w:vMerge w:val="continue"/>
            <w:tcBorders>
              <w:top w:val="nil"/>
              <w:bottom w:val="nil"/>
            </w:tcBorders>
            <w:vAlign w:val="top"/>
          </w:tcPr>
          <w:p w14:paraId="2B7FA800">
            <w:pPr>
              <w:rPr>
                <w:rFonts w:ascii="Arial"/>
                <w:sz w:val="21"/>
              </w:rPr>
            </w:pPr>
          </w:p>
        </w:tc>
        <w:tc>
          <w:tcPr>
            <w:tcW w:w="899" w:type="dxa"/>
            <w:vMerge w:val="continue"/>
            <w:tcBorders>
              <w:top w:val="nil"/>
              <w:bottom w:val="nil"/>
            </w:tcBorders>
            <w:vAlign w:val="top"/>
          </w:tcPr>
          <w:p w14:paraId="69DAC001">
            <w:pPr>
              <w:rPr>
                <w:rFonts w:ascii="Arial"/>
                <w:sz w:val="21"/>
              </w:rPr>
            </w:pPr>
          </w:p>
        </w:tc>
        <w:tc>
          <w:tcPr>
            <w:tcW w:w="1029" w:type="dxa"/>
            <w:vMerge w:val="continue"/>
            <w:tcBorders>
              <w:top w:val="nil"/>
              <w:bottom w:val="nil"/>
            </w:tcBorders>
            <w:vAlign w:val="top"/>
          </w:tcPr>
          <w:p w14:paraId="3623CCCF">
            <w:pPr>
              <w:rPr>
                <w:rFonts w:ascii="Arial"/>
                <w:sz w:val="21"/>
              </w:rPr>
            </w:pPr>
          </w:p>
        </w:tc>
        <w:tc>
          <w:tcPr>
            <w:tcW w:w="7141" w:type="dxa"/>
            <w:vAlign w:val="top"/>
          </w:tcPr>
          <w:p w14:paraId="63FB1F40">
            <w:pPr>
              <w:spacing w:line="355" w:lineRule="auto"/>
              <w:rPr>
                <w:rFonts w:ascii="Arial"/>
                <w:sz w:val="21"/>
              </w:rPr>
            </w:pPr>
          </w:p>
          <w:p w14:paraId="0E963FC6">
            <w:pPr>
              <w:spacing w:line="355" w:lineRule="auto"/>
              <w:rPr>
                <w:rFonts w:ascii="Arial"/>
                <w:sz w:val="21"/>
              </w:rPr>
            </w:pPr>
          </w:p>
          <w:p w14:paraId="08D0DCE2">
            <w:pPr>
              <w:pStyle w:val="6"/>
              <w:spacing w:before="65" w:line="517" w:lineRule="auto"/>
              <w:ind w:left="16" w:right="51" w:firstLine="79"/>
              <w:rPr>
                <w:sz w:val="20"/>
                <w:szCs w:val="20"/>
              </w:rPr>
            </w:pPr>
            <w:r>
              <w:rPr>
                <w:spacing w:val="-1"/>
                <w:sz w:val="20"/>
                <w:szCs w:val="20"/>
              </w:rPr>
              <w:t>《生产经营单位安全培训规定》第二十四条煤矿、非煤矿山、危险化学品、烟花</w:t>
            </w:r>
            <w:r>
              <w:rPr>
                <w:spacing w:val="16"/>
                <w:sz w:val="20"/>
                <w:szCs w:val="20"/>
              </w:rPr>
              <w:t xml:space="preserve"> </w:t>
            </w:r>
            <w:r>
              <w:rPr>
                <w:sz w:val="20"/>
                <w:szCs w:val="20"/>
              </w:rPr>
              <w:t>爆竹、金属冶炼等生产经营单位主要负责人和安全生产管理</w:t>
            </w:r>
            <w:r>
              <w:rPr>
                <w:spacing w:val="-1"/>
                <w:sz w:val="20"/>
                <w:szCs w:val="20"/>
              </w:rPr>
              <w:t>人员，自任职之日起</w:t>
            </w:r>
          </w:p>
          <w:p w14:paraId="15C59804">
            <w:pPr>
              <w:pStyle w:val="6"/>
              <w:spacing w:before="10" w:line="219" w:lineRule="auto"/>
              <w:jc w:val="right"/>
              <w:rPr>
                <w:sz w:val="20"/>
                <w:szCs w:val="20"/>
              </w:rPr>
            </w:pPr>
            <w:r>
              <w:rPr>
                <w:spacing w:val="-2"/>
                <w:sz w:val="20"/>
                <w:szCs w:val="20"/>
              </w:rPr>
              <w:t>6个月内，必须经安全生产监管监察部门对其安全生产知识和管理能力考核合格。</w:t>
            </w:r>
          </w:p>
        </w:tc>
      </w:tr>
      <w:tr w14:paraId="374B0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8" w:hRule="atLeast"/>
        </w:trPr>
        <w:tc>
          <w:tcPr>
            <w:tcW w:w="954" w:type="dxa"/>
            <w:vAlign w:val="top"/>
          </w:tcPr>
          <w:p w14:paraId="6F940BFF">
            <w:pPr>
              <w:spacing w:line="248" w:lineRule="auto"/>
              <w:rPr>
                <w:rFonts w:ascii="Arial"/>
                <w:sz w:val="21"/>
              </w:rPr>
            </w:pPr>
          </w:p>
          <w:p w14:paraId="4AA9107C">
            <w:pPr>
              <w:spacing w:line="248" w:lineRule="auto"/>
              <w:rPr>
                <w:rFonts w:ascii="Arial"/>
                <w:sz w:val="21"/>
              </w:rPr>
            </w:pPr>
          </w:p>
          <w:p w14:paraId="727848D4">
            <w:pPr>
              <w:spacing w:line="248" w:lineRule="auto"/>
              <w:rPr>
                <w:rFonts w:ascii="Arial"/>
                <w:sz w:val="21"/>
              </w:rPr>
            </w:pPr>
          </w:p>
          <w:p w14:paraId="71B8A183">
            <w:pPr>
              <w:pStyle w:val="6"/>
              <w:spacing w:before="65"/>
              <w:ind w:left="414"/>
              <w:rPr>
                <w:sz w:val="20"/>
                <w:szCs w:val="20"/>
              </w:rPr>
            </w:pPr>
            <w:r>
              <w:rPr>
                <w:sz w:val="20"/>
                <w:szCs w:val="20"/>
              </w:rPr>
              <w:t>9</w:t>
            </w:r>
          </w:p>
        </w:tc>
        <w:tc>
          <w:tcPr>
            <w:tcW w:w="1219" w:type="dxa"/>
            <w:vMerge w:val="continue"/>
            <w:tcBorders>
              <w:top w:val="nil"/>
              <w:bottom w:val="nil"/>
            </w:tcBorders>
            <w:vAlign w:val="top"/>
          </w:tcPr>
          <w:p w14:paraId="00714342">
            <w:pPr>
              <w:rPr>
                <w:rFonts w:ascii="Arial"/>
                <w:sz w:val="21"/>
              </w:rPr>
            </w:pPr>
          </w:p>
        </w:tc>
        <w:tc>
          <w:tcPr>
            <w:tcW w:w="2718" w:type="dxa"/>
            <w:vAlign w:val="top"/>
          </w:tcPr>
          <w:p w14:paraId="09487D94">
            <w:pPr>
              <w:spacing w:line="426" w:lineRule="auto"/>
              <w:rPr>
                <w:rFonts w:ascii="Arial"/>
                <w:sz w:val="21"/>
              </w:rPr>
            </w:pPr>
          </w:p>
          <w:p w14:paraId="139CC6F5">
            <w:pPr>
              <w:pStyle w:val="6"/>
              <w:spacing w:before="65" w:line="219" w:lineRule="auto"/>
              <w:ind w:left="51"/>
              <w:rPr>
                <w:sz w:val="20"/>
                <w:szCs w:val="20"/>
              </w:rPr>
            </w:pPr>
            <w:r>
              <w:rPr>
                <w:spacing w:val="1"/>
                <w:sz w:val="20"/>
                <w:szCs w:val="20"/>
              </w:rPr>
              <w:t>危险化学品企业是否按照规定</w:t>
            </w:r>
          </w:p>
          <w:p w14:paraId="2AB8BDB2">
            <w:pPr>
              <w:spacing w:line="266" w:lineRule="auto"/>
              <w:rPr>
                <w:rFonts w:ascii="Arial"/>
                <w:sz w:val="21"/>
              </w:rPr>
            </w:pPr>
          </w:p>
          <w:p w14:paraId="2910C740">
            <w:pPr>
              <w:pStyle w:val="6"/>
              <w:spacing w:before="65" w:line="219" w:lineRule="auto"/>
              <w:jc w:val="right"/>
              <w:rPr>
                <w:sz w:val="20"/>
                <w:szCs w:val="20"/>
              </w:rPr>
            </w:pPr>
            <w:r>
              <w:rPr>
                <w:spacing w:val="4"/>
                <w:sz w:val="20"/>
                <w:szCs w:val="20"/>
              </w:rPr>
              <w:t>对重大危险源进行登记建档；</w:t>
            </w:r>
          </w:p>
        </w:tc>
        <w:tc>
          <w:tcPr>
            <w:tcW w:w="969" w:type="dxa"/>
            <w:vMerge w:val="continue"/>
            <w:tcBorders>
              <w:top w:val="nil"/>
              <w:bottom w:val="nil"/>
            </w:tcBorders>
            <w:vAlign w:val="top"/>
          </w:tcPr>
          <w:p w14:paraId="1322BAB4">
            <w:pPr>
              <w:rPr>
                <w:rFonts w:ascii="Arial"/>
                <w:sz w:val="21"/>
              </w:rPr>
            </w:pPr>
          </w:p>
        </w:tc>
        <w:tc>
          <w:tcPr>
            <w:tcW w:w="590" w:type="dxa"/>
            <w:vMerge w:val="continue"/>
            <w:tcBorders>
              <w:top w:val="nil"/>
              <w:bottom w:val="nil"/>
            </w:tcBorders>
            <w:vAlign w:val="top"/>
          </w:tcPr>
          <w:p w14:paraId="3A19E437">
            <w:pPr>
              <w:rPr>
                <w:rFonts w:ascii="Arial"/>
                <w:sz w:val="21"/>
              </w:rPr>
            </w:pPr>
          </w:p>
        </w:tc>
        <w:tc>
          <w:tcPr>
            <w:tcW w:w="899" w:type="dxa"/>
            <w:vMerge w:val="continue"/>
            <w:tcBorders>
              <w:top w:val="nil"/>
              <w:bottom w:val="nil"/>
            </w:tcBorders>
            <w:vAlign w:val="top"/>
          </w:tcPr>
          <w:p w14:paraId="5F4822E2">
            <w:pPr>
              <w:rPr>
                <w:rFonts w:ascii="Arial"/>
                <w:sz w:val="21"/>
              </w:rPr>
            </w:pPr>
          </w:p>
        </w:tc>
        <w:tc>
          <w:tcPr>
            <w:tcW w:w="1029" w:type="dxa"/>
            <w:vMerge w:val="continue"/>
            <w:tcBorders>
              <w:top w:val="nil"/>
              <w:bottom w:val="nil"/>
            </w:tcBorders>
            <w:vAlign w:val="top"/>
          </w:tcPr>
          <w:p w14:paraId="561F485C">
            <w:pPr>
              <w:rPr>
                <w:rFonts w:ascii="Arial"/>
                <w:sz w:val="21"/>
              </w:rPr>
            </w:pPr>
          </w:p>
        </w:tc>
        <w:tc>
          <w:tcPr>
            <w:tcW w:w="7141" w:type="dxa"/>
            <w:vAlign w:val="top"/>
          </w:tcPr>
          <w:p w14:paraId="040A76ED">
            <w:pPr>
              <w:pStyle w:val="6"/>
              <w:spacing w:before="224" w:line="219" w:lineRule="auto"/>
              <w:ind w:right="34"/>
              <w:jc w:val="right"/>
              <w:rPr>
                <w:sz w:val="20"/>
                <w:szCs w:val="20"/>
              </w:rPr>
            </w:pPr>
            <w:r>
              <w:rPr>
                <w:rFonts w:hint="eastAsia"/>
                <w:sz w:val="20"/>
                <w:szCs w:val="20"/>
                <w:lang w:eastAsia="zh-CN"/>
              </w:rPr>
              <w:t>《中华人民共和国安全生产法》</w:t>
            </w:r>
            <w:r>
              <w:rPr>
                <w:sz w:val="20"/>
                <w:szCs w:val="20"/>
              </w:rPr>
              <w:t>第四十条生产经营单位对重大危险源应当登记建档，进行</w:t>
            </w:r>
            <w:r>
              <w:rPr>
                <w:spacing w:val="-1"/>
                <w:sz w:val="20"/>
                <w:szCs w:val="20"/>
              </w:rPr>
              <w:t>定期</w:t>
            </w:r>
          </w:p>
          <w:p w14:paraId="7B7D561B">
            <w:pPr>
              <w:spacing w:line="264" w:lineRule="auto"/>
              <w:rPr>
                <w:rFonts w:ascii="Arial"/>
                <w:sz w:val="21"/>
              </w:rPr>
            </w:pPr>
          </w:p>
          <w:p w14:paraId="54D2FA20">
            <w:pPr>
              <w:pStyle w:val="6"/>
              <w:spacing w:before="65" w:line="218" w:lineRule="auto"/>
              <w:ind w:left="36"/>
              <w:rPr>
                <w:sz w:val="20"/>
                <w:szCs w:val="20"/>
              </w:rPr>
            </w:pPr>
            <w:r>
              <w:rPr>
                <w:sz w:val="20"/>
                <w:szCs w:val="20"/>
              </w:rPr>
              <w:t>检测、评估、监控，并制定应急预案，告知从业人员和相关</w:t>
            </w:r>
            <w:r>
              <w:rPr>
                <w:spacing w:val="-1"/>
                <w:sz w:val="20"/>
                <w:szCs w:val="20"/>
              </w:rPr>
              <w:t>人员在紧急情况下应</w:t>
            </w:r>
          </w:p>
          <w:p w14:paraId="33CEA57D">
            <w:pPr>
              <w:spacing w:line="247" w:lineRule="auto"/>
              <w:rPr>
                <w:rFonts w:ascii="Arial"/>
                <w:sz w:val="21"/>
              </w:rPr>
            </w:pPr>
          </w:p>
          <w:p w14:paraId="7A6261DC">
            <w:pPr>
              <w:pStyle w:val="6"/>
              <w:spacing w:before="65" w:line="219" w:lineRule="auto"/>
              <w:ind w:left="16"/>
              <w:rPr>
                <w:sz w:val="20"/>
                <w:szCs w:val="20"/>
              </w:rPr>
            </w:pPr>
            <w:r>
              <w:rPr>
                <w:sz w:val="20"/>
                <w:szCs w:val="20"/>
              </w:rPr>
              <w:t>当采取的应急措施。</w:t>
            </w:r>
          </w:p>
        </w:tc>
      </w:tr>
      <w:tr w14:paraId="54619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2" w:hRule="atLeast"/>
        </w:trPr>
        <w:tc>
          <w:tcPr>
            <w:tcW w:w="954" w:type="dxa"/>
            <w:vAlign w:val="top"/>
          </w:tcPr>
          <w:p w14:paraId="23CB9836">
            <w:pPr>
              <w:spacing w:line="251" w:lineRule="auto"/>
              <w:rPr>
                <w:rFonts w:ascii="Arial"/>
                <w:sz w:val="21"/>
              </w:rPr>
            </w:pPr>
          </w:p>
          <w:p w14:paraId="6B128EF6">
            <w:pPr>
              <w:spacing w:line="251" w:lineRule="auto"/>
              <w:rPr>
                <w:rFonts w:ascii="Arial"/>
                <w:sz w:val="21"/>
              </w:rPr>
            </w:pPr>
          </w:p>
          <w:p w14:paraId="5FB6A1B9">
            <w:pPr>
              <w:spacing w:line="251" w:lineRule="auto"/>
              <w:rPr>
                <w:rFonts w:ascii="Arial"/>
                <w:sz w:val="21"/>
              </w:rPr>
            </w:pPr>
          </w:p>
          <w:p w14:paraId="16B87BB2">
            <w:pPr>
              <w:spacing w:line="251" w:lineRule="auto"/>
              <w:rPr>
                <w:rFonts w:ascii="Arial"/>
                <w:sz w:val="21"/>
              </w:rPr>
            </w:pPr>
          </w:p>
          <w:p w14:paraId="19B6E337">
            <w:pPr>
              <w:pStyle w:val="6"/>
              <w:spacing w:before="65"/>
              <w:ind w:left="364"/>
              <w:rPr>
                <w:sz w:val="20"/>
                <w:szCs w:val="20"/>
              </w:rPr>
            </w:pPr>
            <w:r>
              <w:rPr>
                <w:spacing w:val="-6"/>
                <w:sz w:val="20"/>
                <w:szCs w:val="20"/>
              </w:rPr>
              <w:t>10</w:t>
            </w:r>
          </w:p>
        </w:tc>
        <w:tc>
          <w:tcPr>
            <w:tcW w:w="1219" w:type="dxa"/>
            <w:vMerge w:val="continue"/>
            <w:tcBorders>
              <w:top w:val="nil"/>
            </w:tcBorders>
            <w:vAlign w:val="top"/>
          </w:tcPr>
          <w:p w14:paraId="25FEB0A7">
            <w:pPr>
              <w:rPr>
                <w:rFonts w:ascii="Arial"/>
                <w:sz w:val="21"/>
              </w:rPr>
            </w:pPr>
          </w:p>
        </w:tc>
        <w:tc>
          <w:tcPr>
            <w:tcW w:w="2718" w:type="dxa"/>
            <w:vAlign w:val="top"/>
          </w:tcPr>
          <w:p w14:paraId="45263D76">
            <w:pPr>
              <w:pStyle w:val="6"/>
              <w:spacing w:before="196" w:line="219" w:lineRule="auto"/>
              <w:ind w:left="51"/>
              <w:rPr>
                <w:sz w:val="20"/>
                <w:szCs w:val="20"/>
              </w:rPr>
            </w:pPr>
            <w:r>
              <w:rPr>
                <w:sz w:val="20"/>
                <w:szCs w:val="20"/>
              </w:rPr>
              <w:t>工贸行业主要负责人安全生产</w:t>
            </w:r>
          </w:p>
          <w:p w14:paraId="440B6AED">
            <w:pPr>
              <w:spacing w:line="256" w:lineRule="auto"/>
              <w:rPr>
                <w:rFonts w:ascii="Arial"/>
                <w:sz w:val="21"/>
              </w:rPr>
            </w:pPr>
          </w:p>
          <w:p w14:paraId="0F8311E5">
            <w:pPr>
              <w:pStyle w:val="6"/>
              <w:spacing w:before="65" w:line="219" w:lineRule="auto"/>
              <w:ind w:left="101"/>
              <w:rPr>
                <w:sz w:val="20"/>
                <w:szCs w:val="20"/>
              </w:rPr>
            </w:pPr>
            <w:r>
              <w:rPr>
                <w:spacing w:val="3"/>
                <w:sz w:val="20"/>
                <w:szCs w:val="20"/>
              </w:rPr>
              <w:t>管理人员自任职之日起6个月</w:t>
            </w:r>
          </w:p>
          <w:p w14:paraId="1AF94579">
            <w:pPr>
              <w:spacing w:line="276" w:lineRule="auto"/>
              <w:rPr>
                <w:rFonts w:ascii="Arial"/>
                <w:sz w:val="21"/>
              </w:rPr>
            </w:pPr>
          </w:p>
          <w:p w14:paraId="73DF0672">
            <w:pPr>
              <w:pStyle w:val="6"/>
              <w:spacing w:before="65" w:line="219" w:lineRule="auto"/>
              <w:ind w:left="51"/>
              <w:rPr>
                <w:sz w:val="20"/>
                <w:szCs w:val="20"/>
              </w:rPr>
            </w:pPr>
            <w:r>
              <w:rPr>
                <w:sz w:val="20"/>
                <w:szCs w:val="20"/>
              </w:rPr>
              <w:t>内，是否经主管部门对其安全</w:t>
            </w:r>
          </w:p>
          <w:p w14:paraId="3ECEB8C6">
            <w:pPr>
              <w:spacing w:line="256" w:lineRule="auto"/>
              <w:rPr>
                <w:rFonts w:ascii="Arial"/>
                <w:sz w:val="21"/>
              </w:rPr>
            </w:pPr>
          </w:p>
          <w:p w14:paraId="0F9F4701">
            <w:pPr>
              <w:pStyle w:val="6"/>
              <w:spacing w:before="65" w:line="219" w:lineRule="auto"/>
              <w:ind w:left="151"/>
              <w:rPr>
                <w:sz w:val="20"/>
                <w:szCs w:val="20"/>
              </w:rPr>
            </w:pPr>
            <w:r>
              <w:rPr>
                <w:spacing w:val="-1"/>
                <w:sz w:val="20"/>
                <w:szCs w:val="20"/>
              </w:rPr>
              <w:t>生产知识和管理能力考核合</w:t>
            </w:r>
          </w:p>
        </w:tc>
        <w:tc>
          <w:tcPr>
            <w:tcW w:w="969" w:type="dxa"/>
            <w:vMerge w:val="continue"/>
            <w:tcBorders>
              <w:top w:val="nil"/>
            </w:tcBorders>
            <w:vAlign w:val="top"/>
          </w:tcPr>
          <w:p w14:paraId="13D8F691">
            <w:pPr>
              <w:rPr>
                <w:rFonts w:ascii="Arial"/>
                <w:sz w:val="21"/>
              </w:rPr>
            </w:pPr>
          </w:p>
        </w:tc>
        <w:tc>
          <w:tcPr>
            <w:tcW w:w="590" w:type="dxa"/>
            <w:vMerge w:val="continue"/>
            <w:tcBorders>
              <w:top w:val="nil"/>
            </w:tcBorders>
            <w:vAlign w:val="top"/>
          </w:tcPr>
          <w:p w14:paraId="268DF09E">
            <w:pPr>
              <w:rPr>
                <w:rFonts w:ascii="Arial"/>
                <w:sz w:val="21"/>
              </w:rPr>
            </w:pPr>
          </w:p>
        </w:tc>
        <w:tc>
          <w:tcPr>
            <w:tcW w:w="899" w:type="dxa"/>
            <w:vMerge w:val="continue"/>
            <w:tcBorders>
              <w:top w:val="nil"/>
            </w:tcBorders>
            <w:vAlign w:val="top"/>
          </w:tcPr>
          <w:p w14:paraId="7014CC3A">
            <w:pPr>
              <w:rPr>
                <w:rFonts w:ascii="Arial"/>
                <w:sz w:val="21"/>
              </w:rPr>
            </w:pPr>
          </w:p>
        </w:tc>
        <w:tc>
          <w:tcPr>
            <w:tcW w:w="1029" w:type="dxa"/>
            <w:vMerge w:val="continue"/>
            <w:tcBorders>
              <w:top w:val="nil"/>
            </w:tcBorders>
            <w:vAlign w:val="top"/>
          </w:tcPr>
          <w:p w14:paraId="14E4BC06">
            <w:pPr>
              <w:rPr>
                <w:rFonts w:ascii="Arial"/>
                <w:sz w:val="21"/>
              </w:rPr>
            </w:pPr>
          </w:p>
        </w:tc>
        <w:tc>
          <w:tcPr>
            <w:tcW w:w="7141" w:type="dxa"/>
            <w:vAlign w:val="top"/>
          </w:tcPr>
          <w:p w14:paraId="4B002D4D">
            <w:pPr>
              <w:spacing w:line="418" w:lineRule="auto"/>
              <w:rPr>
                <w:rFonts w:ascii="Arial"/>
                <w:sz w:val="21"/>
              </w:rPr>
            </w:pPr>
          </w:p>
          <w:p w14:paraId="385BC4CD">
            <w:pPr>
              <w:pStyle w:val="6"/>
              <w:spacing w:before="65" w:line="219" w:lineRule="auto"/>
              <w:ind w:left="96"/>
              <w:rPr>
                <w:sz w:val="20"/>
                <w:szCs w:val="20"/>
              </w:rPr>
            </w:pPr>
            <w:r>
              <w:rPr>
                <w:spacing w:val="-1"/>
                <w:sz w:val="20"/>
                <w:szCs w:val="20"/>
              </w:rPr>
              <w:t>《生产经营单位安全培训规定》第二十四条煤矿、非煤矿山、危险化学品、烟花</w:t>
            </w:r>
          </w:p>
          <w:p w14:paraId="7B7641DF">
            <w:pPr>
              <w:spacing w:line="264" w:lineRule="auto"/>
              <w:rPr>
                <w:rFonts w:ascii="Arial"/>
                <w:sz w:val="21"/>
              </w:rPr>
            </w:pPr>
          </w:p>
          <w:p w14:paraId="15708939">
            <w:pPr>
              <w:pStyle w:val="6"/>
              <w:spacing w:before="65" w:line="218" w:lineRule="auto"/>
              <w:ind w:left="36"/>
              <w:rPr>
                <w:sz w:val="20"/>
                <w:szCs w:val="20"/>
              </w:rPr>
            </w:pPr>
            <w:r>
              <w:rPr>
                <w:sz w:val="20"/>
                <w:szCs w:val="20"/>
              </w:rPr>
              <w:t>爆竹、金属冶炼等生产经营单位主要负责人和安全生产管理</w:t>
            </w:r>
            <w:r>
              <w:rPr>
                <w:spacing w:val="-1"/>
                <w:sz w:val="20"/>
                <w:szCs w:val="20"/>
              </w:rPr>
              <w:t>人员，自任职之日起</w:t>
            </w:r>
          </w:p>
          <w:p w14:paraId="3D7B5C56">
            <w:pPr>
              <w:spacing w:line="249" w:lineRule="auto"/>
              <w:rPr>
                <w:rFonts w:ascii="Arial"/>
                <w:sz w:val="21"/>
              </w:rPr>
            </w:pPr>
          </w:p>
          <w:p w14:paraId="49063DF7">
            <w:pPr>
              <w:pStyle w:val="6"/>
              <w:spacing w:before="65" w:line="219" w:lineRule="auto"/>
              <w:jc w:val="right"/>
              <w:rPr>
                <w:sz w:val="20"/>
                <w:szCs w:val="20"/>
              </w:rPr>
            </w:pPr>
            <w:r>
              <w:rPr>
                <w:spacing w:val="-2"/>
                <w:sz w:val="20"/>
                <w:szCs w:val="20"/>
              </w:rPr>
              <w:t>6个月内，必须经安全生产监管监察部门对其安全生产知识和管理能力考核合格。</w:t>
            </w:r>
          </w:p>
        </w:tc>
      </w:tr>
    </w:tbl>
    <w:p w14:paraId="180E05CC">
      <w:pPr>
        <w:pStyle w:val="2"/>
      </w:pPr>
    </w:p>
    <w:p w14:paraId="5D567EBC">
      <w:pPr>
        <w:sectPr>
          <w:footerReference r:id="rId15" w:type="default"/>
          <w:pgSz w:w="16820" w:h="11900"/>
          <w:pgMar w:top="400" w:right="774" w:bottom="1659" w:left="515" w:header="0" w:footer="1282" w:gutter="0"/>
          <w:cols w:space="720" w:num="1"/>
        </w:sectPr>
      </w:pPr>
    </w:p>
    <w:p w14:paraId="0BB48EA3">
      <w:pPr>
        <w:spacing w:before="10"/>
      </w:pPr>
    </w:p>
    <w:p w14:paraId="6DC8B721">
      <w:pPr>
        <w:spacing w:before="10"/>
      </w:pPr>
    </w:p>
    <w:p w14:paraId="70A1F026">
      <w:pPr>
        <w:spacing w:before="9"/>
      </w:pPr>
    </w:p>
    <w:p w14:paraId="4B95487E">
      <w:pPr>
        <w:spacing w:before="9"/>
      </w:pPr>
    </w:p>
    <w:p w14:paraId="27249898">
      <w:pPr>
        <w:spacing w:before="9"/>
      </w:pPr>
    </w:p>
    <w:tbl>
      <w:tblPr>
        <w:tblStyle w:val="5"/>
        <w:tblW w:w="155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4"/>
        <w:gridCol w:w="1219"/>
        <w:gridCol w:w="2718"/>
        <w:gridCol w:w="969"/>
        <w:gridCol w:w="590"/>
        <w:gridCol w:w="899"/>
        <w:gridCol w:w="1049"/>
        <w:gridCol w:w="7121"/>
      </w:tblGrid>
      <w:tr w14:paraId="4B878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954" w:type="dxa"/>
            <w:tcBorders>
              <w:top w:val="single" w:color="000000" w:sz="2" w:space="0"/>
            </w:tcBorders>
            <w:vAlign w:val="top"/>
          </w:tcPr>
          <w:p w14:paraId="0AA042C1">
            <w:pPr>
              <w:rPr>
                <w:rFonts w:ascii="Arial"/>
                <w:sz w:val="21"/>
              </w:rPr>
            </w:pPr>
          </w:p>
        </w:tc>
        <w:tc>
          <w:tcPr>
            <w:tcW w:w="1219" w:type="dxa"/>
            <w:vMerge w:val="restart"/>
            <w:tcBorders>
              <w:top w:val="single" w:color="000000" w:sz="2" w:space="0"/>
              <w:bottom w:val="nil"/>
            </w:tcBorders>
            <w:vAlign w:val="top"/>
          </w:tcPr>
          <w:p w14:paraId="3D77E738">
            <w:pPr>
              <w:rPr>
                <w:rFonts w:ascii="Arial"/>
                <w:sz w:val="21"/>
              </w:rPr>
            </w:pPr>
          </w:p>
        </w:tc>
        <w:tc>
          <w:tcPr>
            <w:tcW w:w="2718" w:type="dxa"/>
            <w:tcBorders>
              <w:top w:val="single" w:color="000000" w:sz="2" w:space="0"/>
            </w:tcBorders>
            <w:vAlign w:val="top"/>
          </w:tcPr>
          <w:p w14:paraId="34D4070B">
            <w:pPr>
              <w:pStyle w:val="6"/>
              <w:spacing w:before="188" w:line="219" w:lineRule="auto"/>
              <w:ind w:left="1"/>
              <w:rPr>
                <w:sz w:val="20"/>
                <w:szCs w:val="20"/>
              </w:rPr>
            </w:pPr>
            <w:r>
              <w:rPr>
                <w:spacing w:val="-4"/>
                <w:sz w:val="20"/>
                <w:szCs w:val="20"/>
              </w:rPr>
              <w:t>格</w:t>
            </w:r>
            <w:r>
              <w:rPr>
                <w:spacing w:val="54"/>
                <w:sz w:val="20"/>
                <w:szCs w:val="20"/>
              </w:rPr>
              <w:t xml:space="preserve"> </w:t>
            </w:r>
            <w:r>
              <w:rPr>
                <w:spacing w:val="-4"/>
                <w:sz w:val="20"/>
                <w:szCs w:val="20"/>
              </w:rPr>
              <w:t>；</w:t>
            </w:r>
          </w:p>
        </w:tc>
        <w:tc>
          <w:tcPr>
            <w:tcW w:w="969" w:type="dxa"/>
            <w:vMerge w:val="restart"/>
            <w:tcBorders>
              <w:top w:val="single" w:color="000000" w:sz="2" w:space="0"/>
              <w:bottom w:val="nil"/>
            </w:tcBorders>
            <w:vAlign w:val="top"/>
          </w:tcPr>
          <w:p w14:paraId="4C0EEA5E">
            <w:pPr>
              <w:rPr>
                <w:rFonts w:ascii="Arial"/>
                <w:sz w:val="21"/>
              </w:rPr>
            </w:pPr>
          </w:p>
        </w:tc>
        <w:tc>
          <w:tcPr>
            <w:tcW w:w="590" w:type="dxa"/>
            <w:vMerge w:val="restart"/>
            <w:tcBorders>
              <w:top w:val="single" w:color="000000" w:sz="2" w:space="0"/>
              <w:bottom w:val="nil"/>
            </w:tcBorders>
            <w:vAlign w:val="top"/>
          </w:tcPr>
          <w:p w14:paraId="303238F5">
            <w:pPr>
              <w:rPr>
                <w:rFonts w:ascii="Arial"/>
                <w:sz w:val="21"/>
              </w:rPr>
            </w:pPr>
          </w:p>
        </w:tc>
        <w:tc>
          <w:tcPr>
            <w:tcW w:w="899" w:type="dxa"/>
            <w:vMerge w:val="restart"/>
            <w:tcBorders>
              <w:top w:val="single" w:color="000000" w:sz="2" w:space="0"/>
              <w:bottom w:val="nil"/>
            </w:tcBorders>
            <w:vAlign w:val="top"/>
          </w:tcPr>
          <w:p w14:paraId="68C24D51">
            <w:pPr>
              <w:rPr>
                <w:rFonts w:ascii="Arial"/>
                <w:sz w:val="21"/>
              </w:rPr>
            </w:pPr>
          </w:p>
        </w:tc>
        <w:tc>
          <w:tcPr>
            <w:tcW w:w="1049" w:type="dxa"/>
            <w:vMerge w:val="restart"/>
            <w:tcBorders>
              <w:top w:val="single" w:color="000000" w:sz="2" w:space="0"/>
              <w:bottom w:val="nil"/>
            </w:tcBorders>
            <w:vAlign w:val="top"/>
          </w:tcPr>
          <w:p w14:paraId="1F15183B">
            <w:pPr>
              <w:rPr>
                <w:rFonts w:ascii="Arial"/>
                <w:sz w:val="21"/>
              </w:rPr>
            </w:pPr>
          </w:p>
        </w:tc>
        <w:tc>
          <w:tcPr>
            <w:tcW w:w="7121" w:type="dxa"/>
            <w:tcBorders>
              <w:top w:val="single" w:color="000000" w:sz="2" w:space="0"/>
            </w:tcBorders>
            <w:vAlign w:val="top"/>
          </w:tcPr>
          <w:p w14:paraId="679983E3">
            <w:pPr>
              <w:rPr>
                <w:rFonts w:ascii="Arial"/>
                <w:sz w:val="21"/>
              </w:rPr>
            </w:pPr>
          </w:p>
        </w:tc>
      </w:tr>
      <w:tr w14:paraId="49441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954" w:type="dxa"/>
            <w:vAlign w:val="top"/>
          </w:tcPr>
          <w:p w14:paraId="37C8E220">
            <w:pPr>
              <w:spacing w:line="441" w:lineRule="auto"/>
              <w:rPr>
                <w:rFonts w:ascii="Arial"/>
                <w:sz w:val="21"/>
              </w:rPr>
            </w:pPr>
          </w:p>
          <w:p w14:paraId="08D51B65">
            <w:pPr>
              <w:pStyle w:val="6"/>
              <w:spacing w:before="65" w:line="241" w:lineRule="auto"/>
              <w:ind w:left="364"/>
              <w:rPr>
                <w:sz w:val="20"/>
                <w:szCs w:val="20"/>
              </w:rPr>
            </w:pPr>
            <w:r>
              <w:rPr>
                <w:spacing w:val="-6"/>
                <w:sz w:val="20"/>
                <w:szCs w:val="20"/>
              </w:rPr>
              <w:t>11</w:t>
            </w:r>
          </w:p>
        </w:tc>
        <w:tc>
          <w:tcPr>
            <w:tcW w:w="1219" w:type="dxa"/>
            <w:vMerge w:val="continue"/>
            <w:tcBorders>
              <w:top w:val="nil"/>
              <w:bottom w:val="nil"/>
            </w:tcBorders>
            <w:vAlign w:val="top"/>
          </w:tcPr>
          <w:p w14:paraId="522B61CE">
            <w:pPr>
              <w:rPr>
                <w:rFonts w:ascii="Arial"/>
                <w:sz w:val="21"/>
              </w:rPr>
            </w:pPr>
          </w:p>
        </w:tc>
        <w:tc>
          <w:tcPr>
            <w:tcW w:w="2718" w:type="dxa"/>
            <w:vAlign w:val="top"/>
          </w:tcPr>
          <w:p w14:paraId="2E8CFEEB">
            <w:pPr>
              <w:pStyle w:val="6"/>
              <w:spacing w:before="209" w:line="219" w:lineRule="auto"/>
              <w:ind w:left="11"/>
              <w:rPr>
                <w:sz w:val="20"/>
                <w:szCs w:val="20"/>
              </w:rPr>
            </w:pPr>
            <w:r>
              <w:rPr>
                <w:sz w:val="20"/>
                <w:szCs w:val="20"/>
              </w:rPr>
              <w:t>工贸企业特种作业人员是否按</w:t>
            </w:r>
          </w:p>
          <w:p w14:paraId="07F5C2FB">
            <w:pPr>
              <w:spacing w:line="256" w:lineRule="auto"/>
              <w:rPr>
                <w:rFonts w:ascii="Arial"/>
                <w:sz w:val="21"/>
              </w:rPr>
            </w:pPr>
          </w:p>
          <w:p w14:paraId="35755952">
            <w:pPr>
              <w:pStyle w:val="6"/>
              <w:spacing w:before="65" w:line="219" w:lineRule="auto"/>
              <w:ind w:left="1"/>
              <w:rPr>
                <w:sz w:val="20"/>
                <w:szCs w:val="20"/>
              </w:rPr>
            </w:pPr>
            <w:r>
              <w:rPr>
                <w:spacing w:val="12"/>
                <w:sz w:val="20"/>
                <w:szCs w:val="20"/>
              </w:rPr>
              <w:t>照要求持证上岗；</w:t>
            </w:r>
          </w:p>
        </w:tc>
        <w:tc>
          <w:tcPr>
            <w:tcW w:w="969" w:type="dxa"/>
            <w:vMerge w:val="continue"/>
            <w:tcBorders>
              <w:top w:val="nil"/>
              <w:bottom w:val="nil"/>
            </w:tcBorders>
            <w:vAlign w:val="top"/>
          </w:tcPr>
          <w:p w14:paraId="46335D00">
            <w:pPr>
              <w:rPr>
                <w:rFonts w:ascii="Arial"/>
                <w:sz w:val="21"/>
              </w:rPr>
            </w:pPr>
          </w:p>
        </w:tc>
        <w:tc>
          <w:tcPr>
            <w:tcW w:w="590" w:type="dxa"/>
            <w:vMerge w:val="continue"/>
            <w:tcBorders>
              <w:top w:val="nil"/>
              <w:bottom w:val="nil"/>
            </w:tcBorders>
            <w:vAlign w:val="top"/>
          </w:tcPr>
          <w:p w14:paraId="2B912D54">
            <w:pPr>
              <w:rPr>
                <w:rFonts w:ascii="Arial"/>
                <w:sz w:val="21"/>
              </w:rPr>
            </w:pPr>
          </w:p>
        </w:tc>
        <w:tc>
          <w:tcPr>
            <w:tcW w:w="899" w:type="dxa"/>
            <w:vMerge w:val="continue"/>
            <w:tcBorders>
              <w:top w:val="nil"/>
              <w:bottom w:val="nil"/>
            </w:tcBorders>
            <w:vAlign w:val="top"/>
          </w:tcPr>
          <w:p w14:paraId="1D15FD6A">
            <w:pPr>
              <w:rPr>
                <w:rFonts w:ascii="Arial"/>
                <w:sz w:val="21"/>
              </w:rPr>
            </w:pPr>
          </w:p>
        </w:tc>
        <w:tc>
          <w:tcPr>
            <w:tcW w:w="1049" w:type="dxa"/>
            <w:vMerge w:val="continue"/>
            <w:tcBorders>
              <w:top w:val="nil"/>
              <w:bottom w:val="nil"/>
            </w:tcBorders>
            <w:vAlign w:val="top"/>
          </w:tcPr>
          <w:p w14:paraId="4A960ADD">
            <w:pPr>
              <w:rPr>
                <w:rFonts w:ascii="Arial"/>
                <w:sz w:val="21"/>
              </w:rPr>
            </w:pPr>
          </w:p>
        </w:tc>
        <w:tc>
          <w:tcPr>
            <w:tcW w:w="7121" w:type="dxa"/>
            <w:vAlign w:val="top"/>
          </w:tcPr>
          <w:p w14:paraId="75B96951">
            <w:pPr>
              <w:pStyle w:val="6"/>
              <w:spacing w:before="179" w:line="219" w:lineRule="auto"/>
              <w:rPr>
                <w:sz w:val="20"/>
                <w:szCs w:val="20"/>
              </w:rPr>
            </w:pPr>
            <w:r>
              <w:rPr>
                <w:sz w:val="20"/>
                <w:szCs w:val="20"/>
              </w:rPr>
              <w:t>《中华人民共和国安全生产法》第三十条第一款生产经营单位的特种作业人员必</w:t>
            </w:r>
          </w:p>
          <w:p w14:paraId="5BAB933D">
            <w:pPr>
              <w:spacing w:line="295" w:lineRule="auto"/>
              <w:rPr>
                <w:rFonts w:ascii="Arial"/>
                <w:sz w:val="21"/>
              </w:rPr>
            </w:pPr>
          </w:p>
          <w:p w14:paraId="4B45C702">
            <w:pPr>
              <w:pStyle w:val="6"/>
              <w:spacing w:before="65" w:line="219" w:lineRule="auto"/>
              <w:ind w:left="16"/>
              <w:rPr>
                <w:sz w:val="20"/>
                <w:szCs w:val="20"/>
              </w:rPr>
            </w:pPr>
            <w:r>
              <w:rPr>
                <w:sz w:val="20"/>
                <w:szCs w:val="20"/>
              </w:rPr>
              <w:t>须按照国家有关规定经专门的安全作业培训，取得相应资格，方可上岗作业。</w:t>
            </w:r>
          </w:p>
        </w:tc>
      </w:tr>
      <w:tr w14:paraId="45635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954" w:type="dxa"/>
            <w:vAlign w:val="top"/>
          </w:tcPr>
          <w:p w14:paraId="6FBC2A83">
            <w:pPr>
              <w:spacing w:line="254" w:lineRule="auto"/>
              <w:rPr>
                <w:rFonts w:ascii="Arial"/>
                <w:sz w:val="21"/>
              </w:rPr>
            </w:pPr>
          </w:p>
          <w:p w14:paraId="2E985211">
            <w:pPr>
              <w:spacing w:line="255" w:lineRule="auto"/>
              <w:rPr>
                <w:rFonts w:ascii="Arial"/>
                <w:sz w:val="21"/>
              </w:rPr>
            </w:pPr>
          </w:p>
          <w:p w14:paraId="770E2FBE">
            <w:pPr>
              <w:spacing w:line="255" w:lineRule="auto"/>
              <w:rPr>
                <w:rFonts w:ascii="Arial"/>
                <w:sz w:val="21"/>
              </w:rPr>
            </w:pPr>
          </w:p>
          <w:p w14:paraId="2B1917CA">
            <w:pPr>
              <w:spacing w:line="255" w:lineRule="auto"/>
              <w:rPr>
                <w:rFonts w:ascii="Arial"/>
                <w:sz w:val="21"/>
              </w:rPr>
            </w:pPr>
          </w:p>
          <w:p w14:paraId="7B245748">
            <w:pPr>
              <w:pStyle w:val="6"/>
              <w:spacing w:before="65" w:line="241" w:lineRule="auto"/>
              <w:ind w:left="364"/>
              <w:rPr>
                <w:sz w:val="20"/>
                <w:szCs w:val="20"/>
              </w:rPr>
            </w:pPr>
            <w:r>
              <w:rPr>
                <w:spacing w:val="-6"/>
                <w:sz w:val="20"/>
                <w:szCs w:val="20"/>
              </w:rPr>
              <w:t>12</w:t>
            </w:r>
          </w:p>
        </w:tc>
        <w:tc>
          <w:tcPr>
            <w:tcW w:w="1219" w:type="dxa"/>
            <w:vMerge w:val="continue"/>
            <w:tcBorders>
              <w:top w:val="nil"/>
              <w:bottom w:val="nil"/>
            </w:tcBorders>
            <w:vAlign w:val="top"/>
          </w:tcPr>
          <w:p w14:paraId="583DA623">
            <w:pPr>
              <w:rPr>
                <w:rFonts w:ascii="Arial"/>
                <w:sz w:val="21"/>
              </w:rPr>
            </w:pPr>
          </w:p>
        </w:tc>
        <w:tc>
          <w:tcPr>
            <w:tcW w:w="2718" w:type="dxa"/>
            <w:vAlign w:val="top"/>
          </w:tcPr>
          <w:p w14:paraId="7BC7A5F0">
            <w:pPr>
              <w:spacing w:line="355" w:lineRule="auto"/>
              <w:rPr>
                <w:rFonts w:ascii="Arial"/>
                <w:sz w:val="21"/>
              </w:rPr>
            </w:pPr>
          </w:p>
          <w:p w14:paraId="6D5AFEE6">
            <w:pPr>
              <w:spacing w:line="356" w:lineRule="auto"/>
              <w:rPr>
                <w:rFonts w:ascii="Arial"/>
                <w:sz w:val="21"/>
              </w:rPr>
            </w:pPr>
          </w:p>
          <w:p w14:paraId="5ADF3118">
            <w:pPr>
              <w:pStyle w:val="6"/>
              <w:spacing w:before="65" w:line="511" w:lineRule="auto"/>
              <w:ind w:left="1" w:right="85" w:firstLine="10"/>
              <w:rPr>
                <w:sz w:val="20"/>
                <w:szCs w:val="20"/>
              </w:rPr>
            </w:pPr>
            <w:r>
              <w:rPr>
                <w:sz w:val="20"/>
                <w:szCs w:val="20"/>
              </w:rPr>
              <w:t>工贸企业有限空间作业是否按</w:t>
            </w:r>
            <w:r>
              <w:rPr>
                <w:spacing w:val="9"/>
                <w:sz w:val="20"/>
                <w:szCs w:val="20"/>
              </w:rPr>
              <w:t xml:space="preserve"> </w:t>
            </w:r>
            <w:r>
              <w:rPr>
                <w:spacing w:val="-1"/>
                <w:sz w:val="20"/>
                <w:szCs w:val="20"/>
              </w:rPr>
              <w:t>照要求进行审批。</w:t>
            </w:r>
          </w:p>
        </w:tc>
        <w:tc>
          <w:tcPr>
            <w:tcW w:w="969" w:type="dxa"/>
            <w:vMerge w:val="continue"/>
            <w:tcBorders>
              <w:top w:val="nil"/>
              <w:bottom w:val="nil"/>
            </w:tcBorders>
            <w:vAlign w:val="top"/>
          </w:tcPr>
          <w:p w14:paraId="7AFFF6B3">
            <w:pPr>
              <w:rPr>
                <w:rFonts w:ascii="Arial"/>
                <w:sz w:val="21"/>
              </w:rPr>
            </w:pPr>
          </w:p>
        </w:tc>
        <w:tc>
          <w:tcPr>
            <w:tcW w:w="590" w:type="dxa"/>
            <w:vMerge w:val="continue"/>
            <w:tcBorders>
              <w:top w:val="nil"/>
              <w:bottom w:val="nil"/>
            </w:tcBorders>
            <w:vAlign w:val="top"/>
          </w:tcPr>
          <w:p w14:paraId="535124F8">
            <w:pPr>
              <w:rPr>
                <w:rFonts w:ascii="Arial"/>
                <w:sz w:val="21"/>
              </w:rPr>
            </w:pPr>
          </w:p>
        </w:tc>
        <w:tc>
          <w:tcPr>
            <w:tcW w:w="899" w:type="dxa"/>
            <w:vMerge w:val="continue"/>
            <w:tcBorders>
              <w:top w:val="nil"/>
              <w:bottom w:val="nil"/>
            </w:tcBorders>
            <w:vAlign w:val="top"/>
          </w:tcPr>
          <w:p w14:paraId="548D1C09">
            <w:pPr>
              <w:rPr>
                <w:rFonts w:ascii="Arial"/>
                <w:sz w:val="21"/>
              </w:rPr>
            </w:pPr>
          </w:p>
        </w:tc>
        <w:tc>
          <w:tcPr>
            <w:tcW w:w="1049" w:type="dxa"/>
            <w:vMerge w:val="continue"/>
            <w:tcBorders>
              <w:top w:val="nil"/>
              <w:bottom w:val="nil"/>
            </w:tcBorders>
            <w:vAlign w:val="top"/>
          </w:tcPr>
          <w:p w14:paraId="06F1A1D6">
            <w:pPr>
              <w:rPr>
                <w:rFonts w:ascii="Arial"/>
                <w:sz w:val="21"/>
              </w:rPr>
            </w:pPr>
          </w:p>
        </w:tc>
        <w:tc>
          <w:tcPr>
            <w:tcW w:w="7121" w:type="dxa"/>
            <w:vAlign w:val="top"/>
          </w:tcPr>
          <w:p w14:paraId="493920BD">
            <w:pPr>
              <w:pStyle w:val="6"/>
              <w:spacing w:before="221" w:line="219" w:lineRule="auto"/>
              <w:ind w:left="6"/>
              <w:rPr>
                <w:sz w:val="20"/>
                <w:szCs w:val="20"/>
              </w:rPr>
            </w:pPr>
            <w:r>
              <w:rPr>
                <w:spacing w:val="-1"/>
                <w:sz w:val="20"/>
                <w:szCs w:val="20"/>
              </w:rPr>
              <w:t>《工贸企业有限空间作业安全管理与监督暂行规定》第八条工贸企业实施有限</w:t>
            </w:r>
          </w:p>
          <w:p w14:paraId="0A611772">
            <w:pPr>
              <w:spacing w:line="254" w:lineRule="auto"/>
              <w:rPr>
                <w:rFonts w:ascii="Arial"/>
                <w:sz w:val="21"/>
              </w:rPr>
            </w:pPr>
          </w:p>
          <w:p w14:paraId="394D9594">
            <w:pPr>
              <w:pStyle w:val="6"/>
              <w:spacing w:before="65" w:line="510" w:lineRule="auto"/>
              <w:ind w:left="16"/>
              <w:rPr>
                <w:sz w:val="20"/>
                <w:szCs w:val="20"/>
              </w:rPr>
            </w:pPr>
            <w:r>
              <w:rPr>
                <w:spacing w:val="3"/>
                <w:sz w:val="20"/>
                <w:szCs w:val="20"/>
              </w:rPr>
              <w:t>空间作业前，应当对作业环境进行评估，分析存在的</w:t>
            </w:r>
            <w:r>
              <w:rPr>
                <w:spacing w:val="2"/>
                <w:sz w:val="20"/>
                <w:szCs w:val="20"/>
              </w:rPr>
              <w:t>危险有害因素，提出消除、</w:t>
            </w:r>
            <w:r>
              <w:rPr>
                <w:sz w:val="20"/>
                <w:szCs w:val="20"/>
              </w:rPr>
              <w:t xml:space="preserve"> 控制危害的措施，制定有限空间作业方案，并经本企业安全生产</w:t>
            </w:r>
            <w:r>
              <w:rPr>
                <w:spacing w:val="-1"/>
                <w:sz w:val="20"/>
                <w:szCs w:val="20"/>
              </w:rPr>
              <w:t>管理人员审核，</w:t>
            </w:r>
          </w:p>
          <w:p w14:paraId="16AFC91F">
            <w:pPr>
              <w:pStyle w:val="6"/>
              <w:spacing w:before="16" w:line="219" w:lineRule="auto"/>
              <w:ind w:left="16"/>
              <w:rPr>
                <w:sz w:val="20"/>
                <w:szCs w:val="20"/>
              </w:rPr>
            </w:pPr>
            <w:r>
              <w:rPr>
                <w:sz w:val="20"/>
                <w:szCs w:val="20"/>
              </w:rPr>
              <w:t>负责人批准。</w:t>
            </w:r>
          </w:p>
        </w:tc>
      </w:tr>
      <w:tr w14:paraId="3D45B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0" w:hRule="atLeast"/>
        </w:trPr>
        <w:tc>
          <w:tcPr>
            <w:tcW w:w="954" w:type="dxa"/>
            <w:vAlign w:val="top"/>
          </w:tcPr>
          <w:p w14:paraId="6CE668B7">
            <w:pPr>
              <w:spacing w:line="263" w:lineRule="auto"/>
              <w:rPr>
                <w:rFonts w:ascii="Arial"/>
                <w:sz w:val="21"/>
              </w:rPr>
            </w:pPr>
          </w:p>
          <w:p w14:paraId="13B7A735">
            <w:pPr>
              <w:spacing w:line="264" w:lineRule="auto"/>
              <w:rPr>
                <w:rFonts w:ascii="Arial"/>
                <w:sz w:val="21"/>
              </w:rPr>
            </w:pPr>
          </w:p>
          <w:p w14:paraId="429B4E39">
            <w:pPr>
              <w:spacing w:line="264" w:lineRule="auto"/>
              <w:rPr>
                <w:rFonts w:ascii="Arial"/>
                <w:sz w:val="21"/>
              </w:rPr>
            </w:pPr>
          </w:p>
          <w:p w14:paraId="55144954">
            <w:pPr>
              <w:spacing w:line="264" w:lineRule="auto"/>
              <w:rPr>
                <w:rFonts w:ascii="Arial"/>
                <w:sz w:val="21"/>
              </w:rPr>
            </w:pPr>
          </w:p>
          <w:p w14:paraId="07ADC5D6">
            <w:pPr>
              <w:spacing w:line="264" w:lineRule="auto"/>
              <w:rPr>
                <w:rFonts w:ascii="Arial"/>
                <w:sz w:val="21"/>
              </w:rPr>
            </w:pPr>
          </w:p>
          <w:p w14:paraId="292124F3">
            <w:pPr>
              <w:spacing w:line="264" w:lineRule="auto"/>
              <w:rPr>
                <w:rFonts w:ascii="Arial"/>
                <w:sz w:val="21"/>
              </w:rPr>
            </w:pPr>
          </w:p>
          <w:p w14:paraId="534DC475">
            <w:pPr>
              <w:spacing w:line="264" w:lineRule="auto"/>
              <w:rPr>
                <w:rFonts w:ascii="Arial"/>
                <w:sz w:val="21"/>
              </w:rPr>
            </w:pPr>
          </w:p>
          <w:p w14:paraId="6C37E5BB">
            <w:pPr>
              <w:pStyle w:val="6"/>
              <w:spacing w:before="65"/>
              <w:ind w:left="364"/>
              <w:rPr>
                <w:sz w:val="20"/>
                <w:szCs w:val="20"/>
              </w:rPr>
            </w:pPr>
            <w:r>
              <w:rPr>
                <w:spacing w:val="-6"/>
                <w:sz w:val="20"/>
                <w:szCs w:val="20"/>
              </w:rPr>
              <w:t>13</w:t>
            </w:r>
          </w:p>
        </w:tc>
        <w:tc>
          <w:tcPr>
            <w:tcW w:w="1219" w:type="dxa"/>
            <w:vMerge w:val="continue"/>
            <w:tcBorders>
              <w:top w:val="nil"/>
            </w:tcBorders>
            <w:vAlign w:val="top"/>
          </w:tcPr>
          <w:p w14:paraId="15AE481B">
            <w:pPr>
              <w:rPr>
                <w:rFonts w:ascii="Arial"/>
                <w:sz w:val="21"/>
              </w:rPr>
            </w:pPr>
          </w:p>
        </w:tc>
        <w:tc>
          <w:tcPr>
            <w:tcW w:w="2718" w:type="dxa"/>
            <w:vAlign w:val="top"/>
          </w:tcPr>
          <w:p w14:paraId="5D3C7067">
            <w:pPr>
              <w:spacing w:line="256" w:lineRule="auto"/>
              <w:rPr>
                <w:rFonts w:ascii="Arial"/>
                <w:sz w:val="21"/>
              </w:rPr>
            </w:pPr>
          </w:p>
          <w:p w14:paraId="1DFEB4B8">
            <w:pPr>
              <w:spacing w:line="256" w:lineRule="auto"/>
              <w:rPr>
                <w:rFonts w:ascii="Arial"/>
                <w:sz w:val="21"/>
              </w:rPr>
            </w:pPr>
          </w:p>
          <w:p w14:paraId="612F941A">
            <w:pPr>
              <w:spacing w:line="256" w:lineRule="auto"/>
              <w:rPr>
                <w:rFonts w:ascii="Arial"/>
                <w:sz w:val="21"/>
              </w:rPr>
            </w:pPr>
          </w:p>
          <w:p w14:paraId="728B8701">
            <w:pPr>
              <w:spacing w:line="257" w:lineRule="auto"/>
              <w:rPr>
                <w:rFonts w:ascii="Arial"/>
                <w:sz w:val="21"/>
              </w:rPr>
            </w:pPr>
          </w:p>
          <w:p w14:paraId="602DFC86">
            <w:pPr>
              <w:spacing w:line="257" w:lineRule="auto"/>
              <w:rPr>
                <w:rFonts w:ascii="Arial"/>
                <w:sz w:val="21"/>
              </w:rPr>
            </w:pPr>
          </w:p>
          <w:p w14:paraId="2AAB76D4">
            <w:pPr>
              <w:spacing w:line="257" w:lineRule="auto"/>
              <w:rPr>
                <w:rFonts w:ascii="Arial"/>
                <w:sz w:val="21"/>
              </w:rPr>
            </w:pPr>
          </w:p>
          <w:p w14:paraId="1B93B292">
            <w:pPr>
              <w:pStyle w:val="6"/>
              <w:spacing w:before="65" w:line="219" w:lineRule="auto"/>
              <w:ind w:left="31"/>
              <w:rPr>
                <w:sz w:val="20"/>
                <w:szCs w:val="20"/>
              </w:rPr>
            </w:pPr>
            <w:r>
              <w:rPr>
                <w:spacing w:val="-1"/>
                <w:sz w:val="20"/>
                <w:szCs w:val="20"/>
              </w:rPr>
              <w:t>工贸企业安全生产事故应急救</w:t>
            </w:r>
          </w:p>
          <w:p w14:paraId="61366CB6">
            <w:pPr>
              <w:spacing w:line="256" w:lineRule="auto"/>
              <w:rPr>
                <w:rFonts w:ascii="Arial"/>
                <w:sz w:val="21"/>
              </w:rPr>
            </w:pPr>
          </w:p>
          <w:p w14:paraId="76E5246E">
            <w:pPr>
              <w:pStyle w:val="6"/>
              <w:spacing w:before="65" w:line="220" w:lineRule="auto"/>
              <w:ind w:left="1"/>
              <w:rPr>
                <w:sz w:val="20"/>
                <w:szCs w:val="20"/>
              </w:rPr>
            </w:pPr>
            <w:r>
              <w:rPr>
                <w:spacing w:val="-1"/>
                <w:sz w:val="20"/>
                <w:szCs w:val="20"/>
              </w:rPr>
              <w:t>援预案备案情况</w:t>
            </w:r>
          </w:p>
        </w:tc>
        <w:tc>
          <w:tcPr>
            <w:tcW w:w="969" w:type="dxa"/>
            <w:vMerge w:val="continue"/>
            <w:tcBorders>
              <w:top w:val="nil"/>
            </w:tcBorders>
            <w:vAlign w:val="top"/>
          </w:tcPr>
          <w:p w14:paraId="760D4E43">
            <w:pPr>
              <w:rPr>
                <w:rFonts w:ascii="Arial"/>
                <w:sz w:val="21"/>
              </w:rPr>
            </w:pPr>
          </w:p>
        </w:tc>
        <w:tc>
          <w:tcPr>
            <w:tcW w:w="590" w:type="dxa"/>
            <w:vMerge w:val="continue"/>
            <w:tcBorders>
              <w:top w:val="nil"/>
            </w:tcBorders>
            <w:vAlign w:val="top"/>
          </w:tcPr>
          <w:p w14:paraId="4A105600">
            <w:pPr>
              <w:rPr>
                <w:rFonts w:ascii="Arial"/>
                <w:sz w:val="21"/>
              </w:rPr>
            </w:pPr>
          </w:p>
        </w:tc>
        <w:tc>
          <w:tcPr>
            <w:tcW w:w="899" w:type="dxa"/>
            <w:vMerge w:val="continue"/>
            <w:tcBorders>
              <w:top w:val="nil"/>
            </w:tcBorders>
            <w:vAlign w:val="top"/>
          </w:tcPr>
          <w:p w14:paraId="5D5FEEE5">
            <w:pPr>
              <w:rPr>
                <w:rFonts w:ascii="Arial"/>
                <w:sz w:val="21"/>
              </w:rPr>
            </w:pPr>
          </w:p>
        </w:tc>
        <w:tc>
          <w:tcPr>
            <w:tcW w:w="1049" w:type="dxa"/>
            <w:vMerge w:val="continue"/>
            <w:tcBorders>
              <w:top w:val="nil"/>
            </w:tcBorders>
            <w:vAlign w:val="top"/>
          </w:tcPr>
          <w:p w14:paraId="105F8DE9">
            <w:pPr>
              <w:rPr>
                <w:rFonts w:ascii="Arial"/>
                <w:sz w:val="21"/>
              </w:rPr>
            </w:pPr>
          </w:p>
        </w:tc>
        <w:tc>
          <w:tcPr>
            <w:tcW w:w="7121" w:type="dxa"/>
            <w:vAlign w:val="top"/>
          </w:tcPr>
          <w:p w14:paraId="17C03C81">
            <w:pPr>
              <w:pStyle w:val="6"/>
              <w:spacing w:before="184" w:line="219" w:lineRule="auto"/>
              <w:rPr>
                <w:sz w:val="20"/>
                <w:szCs w:val="20"/>
              </w:rPr>
            </w:pPr>
            <w:r>
              <w:rPr>
                <w:spacing w:val="-1"/>
                <w:sz w:val="20"/>
                <w:szCs w:val="20"/>
              </w:rPr>
              <w:t>《生产安全事故应急预案管理办法》第二十六条生产经营单位应当在应急预案</w:t>
            </w:r>
          </w:p>
          <w:p w14:paraId="4903513B">
            <w:pPr>
              <w:spacing w:line="264" w:lineRule="auto"/>
              <w:rPr>
                <w:rFonts w:ascii="Arial"/>
                <w:sz w:val="21"/>
              </w:rPr>
            </w:pPr>
          </w:p>
          <w:p w14:paraId="0D7DF210">
            <w:pPr>
              <w:pStyle w:val="6"/>
              <w:spacing w:before="65" w:line="219" w:lineRule="auto"/>
              <w:ind w:left="16"/>
              <w:rPr>
                <w:sz w:val="20"/>
                <w:szCs w:val="20"/>
              </w:rPr>
            </w:pPr>
            <w:r>
              <w:rPr>
                <w:sz w:val="20"/>
                <w:szCs w:val="20"/>
              </w:rPr>
              <w:t>公布之日起20个工作日内，按照分级属地原则，向安全生产监督管理部门和有关</w:t>
            </w:r>
          </w:p>
          <w:p w14:paraId="604BE9DE">
            <w:pPr>
              <w:spacing w:line="275" w:lineRule="auto"/>
              <w:rPr>
                <w:rFonts w:ascii="Arial"/>
                <w:sz w:val="21"/>
              </w:rPr>
            </w:pPr>
          </w:p>
          <w:p w14:paraId="58F11EE6">
            <w:pPr>
              <w:pStyle w:val="6"/>
              <w:spacing w:before="65" w:line="218" w:lineRule="auto"/>
              <w:jc w:val="right"/>
              <w:rPr>
                <w:sz w:val="20"/>
                <w:szCs w:val="20"/>
              </w:rPr>
            </w:pPr>
            <w:r>
              <w:rPr>
                <w:spacing w:val="3"/>
                <w:sz w:val="20"/>
                <w:szCs w:val="20"/>
              </w:rPr>
              <w:t>部门进行告知性备案。前款规定以外的非煤矿山、金</w:t>
            </w:r>
            <w:r>
              <w:rPr>
                <w:spacing w:val="2"/>
                <w:sz w:val="20"/>
                <w:szCs w:val="20"/>
              </w:rPr>
              <w:t>属冶炼和危险化学品生产、</w:t>
            </w:r>
          </w:p>
          <w:p w14:paraId="7F800F7C">
            <w:pPr>
              <w:spacing w:line="267" w:lineRule="auto"/>
              <w:rPr>
                <w:rFonts w:ascii="Arial"/>
                <w:sz w:val="21"/>
              </w:rPr>
            </w:pPr>
          </w:p>
          <w:p w14:paraId="060BE047">
            <w:pPr>
              <w:pStyle w:val="6"/>
              <w:spacing w:before="65" w:line="218" w:lineRule="auto"/>
              <w:ind w:left="16"/>
              <w:rPr>
                <w:sz w:val="20"/>
                <w:szCs w:val="20"/>
              </w:rPr>
            </w:pPr>
            <w:r>
              <w:rPr>
                <w:sz w:val="20"/>
                <w:szCs w:val="20"/>
              </w:rPr>
              <w:t>经营、储存企业，以及使用危险化学品达到国家规定数</w:t>
            </w:r>
            <w:r>
              <w:rPr>
                <w:spacing w:val="-1"/>
                <w:sz w:val="20"/>
                <w:szCs w:val="20"/>
              </w:rPr>
              <w:t>量的化工企业、烟花爆竹</w:t>
            </w:r>
          </w:p>
          <w:p w14:paraId="55B8AADF">
            <w:pPr>
              <w:spacing w:line="257" w:lineRule="auto"/>
              <w:rPr>
                <w:rFonts w:ascii="Arial"/>
                <w:sz w:val="21"/>
              </w:rPr>
            </w:pPr>
          </w:p>
          <w:p w14:paraId="40A2B83B">
            <w:pPr>
              <w:pStyle w:val="6"/>
              <w:spacing w:before="65" w:line="219" w:lineRule="auto"/>
              <w:ind w:left="16"/>
              <w:rPr>
                <w:sz w:val="20"/>
                <w:szCs w:val="20"/>
              </w:rPr>
            </w:pPr>
            <w:r>
              <w:rPr>
                <w:sz w:val="20"/>
                <w:szCs w:val="20"/>
              </w:rPr>
              <w:t>生产、批发经营企业的应急预案，按照隶属关系报所在</w:t>
            </w:r>
            <w:r>
              <w:rPr>
                <w:spacing w:val="-1"/>
                <w:sz w:val="20"/>
                <w:szCs w:val="20"/>
              </w:rPr>
              <w:t>地县级以上地方人民政府</w:t>
            </w:r>
          </w:p>
          <w:p w14:paraId="4454949F">
            <w:pPr>
              <w:spacing w:line="247" w:lineRule="auto"/>
              <w:rPr>
                <w:rFonts w:ascii="Arial"/>
                <w:sz w:val="21"/>
              </w:rPr>
            </w:pPr>
          </w:p>
          <w:p w14:paraId="266CCF33">
            <w:pPr>
              <w:pStyle w:val="6"/>
              <w:spacing w:before="66" w:line="219" w:lineRule="auto"/>
              <w:jc w:val="right"/>
              <w:rPr>
                <w:sz w:val="20"/>
                <w:szCs w:val="20"/>
              </w:rPr>
            </w:pPr>
            <w:r>
              <w:rPr>
                <w:spacing w:val="-3"/>
                <w:sz w:val="20"/>
                <w:szCs w:val="20"/>
              </w:rPr>
              <w:t>安全生产监督管理部门备案；其他生产经营单位应急预案的备案，由省、自治区、</w:t>
            </w:r>
          </w:p>
          <w:p w14:paraId="7125883F">
            <w:pPr>
              <w:spacing w:line="274" w:lineRule="auto"/>
              <w:rPr>
                <w:rFonts w:ascii="Arial"/>
                <w:sz w:val="21"/>
              </w:rPr>
            </w:pPr>
          </w:p>
          <w:p w14:paraId="265CF4FF">
            <w:pPr>
              <w:pStyle w:val="6"/>
              <w:spacing w:before="65" w:line="219" w:lineRule="auto"/>
              <w:ind w:left="16"/>
              <w:rPr>
                <w:sz w:val="20"/>
                <w:szCs w:val="20"/>
              </w:rPr>
            </w:pPr>
            <w:r>
              <w:rPr>
                <w:sz w:val="20"/>
                <w:szCs w:val="20"/>
              </w:rPr>
              <w:t>直辖市人民政府负有安全生产监督管理职责的部门确定。</w:t>
            </w:r>
          </w:p>
        </w:tc>
      </w:tr>
    </w:tbl>
    <w:p w14:paraId="33872DA9">
      <w:pPr>
        <w:spacing w:before="104" w:line="241" w:lineRule="auto"/>
        <w:rPr>
          <w:rFonts w:ascii="宋体" w:hAnsi="宋体" w:eastAsia="宋体" w:cs="宋体"/>
          <w:sz w:val="32"/>
          <w:szCs w:val="32"/>
        </w:rPr>
      </w:pPr>
    </w:p>
    <w:sectPr>
      <w:footerReference r:id="rId16" w:type="default"/>
      <w:pgSz w:w="16820" w:h="11900" w:orient="landscape"/>
      <w:pgMar w:top="1589" w:right="400" w:bottom="1647" w:left="4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6332D">
    <w:pPr>
      <w:spacing w:line="234" w:lineRule="auto"/>
      <w:ind w:left="7890"/>
      <w:rPr>
        <w:rFonts w:ascii="宋体" w:hAnsi="宋体" w:eastAsia="宋体" w:cs="宋体"/>
        <w:sz w:val="29"/>
        <w:szCs w:val="29"/>
      </w:rPr>
    </w:pPr>
    <w:r>
      <w:rPr>
        <w:rFonts w:ascii="宋体" w:hAnsi="宋体" w:eastAsia="宋体" w:cs="宋体"/>
        <w:spacing w:val="-3"/>
        <w:sz w:val="29"/>
        <w:szCs w:val="29"/>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24736">
    <w:pPr>
      <w:pStyle w:val="2"/>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2C797">
    <w:pPr>
      <w:spacing w:line="234" w:lineRule="auto"/>
      <w:ind w:left="270"/>
      <w:rPr>
        <w:rFonts w:ascii="宋体" w:hAnsi="宋体" w:eastAsia="宋体" w:cs="宋体"/>
        <w:sz w:val="29"/>
        <w:szCs w:val="29"/>
      </w:rPr>
    </w:pPr>
    <w:r>
      <w:rPr>
        <w:rFonts w:ascii="宋体" w:hAnsi="宋体" w:eastAsia="宋体" w:cs="宋体"/>
        <w:spacing w:val="-3"/>
        <w:sz w:val="29"/>
        <w:szCs w:val="29"/>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874BA">
    <w:pPr>
      <w:spacing w:line="233" w:lineRule="auto"/>
      <w:ind w:left="7259"/>
      <w:rPr>
        <w:rFonts w:ascii="宋体" w:hAnsi="宋体" w:eastAsia="宋体" w:cs="宋体"/>
        <w:sz w:val="30"/>
        <w:szCs w:val="30"/>
      </w:rPr>
    </w:pPr>
    <w:r>
      <w:rPr>
        <w:rFonts w:ascii="宋体" w:hAnsi="宋体" w:eastAsia="宋体" w:cs="宋体"/>
        <w:spacing w:val="-4"/>
        <w:sz w:val="30"/>
        <w:szCs w:val="30"/>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54FD7">
    <w:pPr>
      <w:spacing w:line="235" w:lineRule="auto"/>
      <w:ind w:left="264"/>
      <w:rPr>
        <w:rFonts w:ascii="宋体" w:hAnsi="宋体" w:eastAsia="宋体" w:cs="宋体"/>
        <w:sz w:val="31"/>
        <w:szCs w:val="31"/>
      </w:rPr>
    </w:pPr>
    <w:r>
      <w:rPr>
        <w:rFonts w:ascii="宋体" w:hAnsi="宋体" w:eastAsia="宋体" w:cs="宋体"/>
        <w:spacing w:val="-4"/>
        <w:sz w:val="31"/>
        <w:szCs w:val="31"/>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EE407">
    <w:pPr>
      <w:spacing w:line="233" w:lineRule="auto"/>
      <w:ind w:left="7264"/>
      <w:rPr>
        <w:rFonts w:ascii="宋体" w:hAnsi="宋体" w:eastAsia="宋体" w:cs="宋体"/>
        <w:sz w:val="30"/>
        <w:szCs w:val="30"/>
      </w:rPr>
    </w:pPr>
    <w:r>
      <w:rPr>
        <w:rFonts w:ascii="宋体" w:hAnsi="宋体" w:eastAsia="宋体" w:cs="宋体"/>
        <w:spacing w:val="-4"/>
        <w:sz w:val="30"/>
        <w:szCs w:val="30"/>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07A9">
    <w:pPr>
      <w:spacing w:line="233" w:lineRule="auto"/>
      <w:ind w:left="1855"/>
      <w:rPr>
        <w:rFonts w:ascii="宋体" w:hAnsi="宋体" w:eastAsia="宋体" w:cs="宋体"/>
        <w:sz w:val="30"/>
        <w:szCs w:val="30"/>
      </w:rPr>
    </w:pPr>
    <w:r>
      <w:rPr>
        <w:rFonts w:ascii="宋体" w:hAnsi="宋体" w:eastAsia="宋体" w:cs="宋体"/>
        <w:spacing w:val="-4"/>
        <w:sz w:val="30"/>
        <w:szCs w:val="30"/>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B592D">
    <w:pPr>
      <w:spacing w:line="233" w:lineRule="auto"/>
      <w:ind w:left="8844"/>
      <w:rPr>
        <w:rFonts w:ascii="宋体" w:hAnsi="宋体" w:eastAsia="宋体" w:cs="宋体"/>
        <w:sz w:val="30"/>
        <w:szCs w:val="30"/>
      </w:rPr>
    </w:pPr>
    <w:r>
      <w:rPr>
        <w:rFonts w:ascii="宋体" w:hAnsi="宋体" w:eastAsia="宋体" w:cs="宋体"/>
        <w:spacing w:val="-4"/>
        <w:sz w:val="30"/>
        <w:szCs w:val="30"/>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23164">
    <w:pPr>
      <w:spacing w:before="1" w:line="233" w:lineRule="auto"/>
      <w:ind w:left="1845"/>
      <w:rPr>
        <w:rFonts w:ascii="宋体" w:hAnsi="宋体" w:eastAsia="宋体" w:cs="宋体"/>
        <w:sz w:val="32"/>
        <w:szCs w:val="32"/>
      </w:rPr>
    </w:pPr>
    <w:r>
      <w:rPr>
        <w:rFonts w:ascii="宋体" w:hAnsi="宋体" w:eastAsia="宋体" w:cs="宋体"/>
        <w:spacing w:val="-4"/>
        <w:sz w:val="32"/>
        <w:szCs w:val="32"/>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FCD8B">
    <w:pPr>
      <w:spacing w:line="233" w:lineRule="auto"/>
      <w:ind w:left="8834"/>
      <w:rPr>
        <w:rFonts w:ascii="宋体" w:hAnsi="宋体" w:eastAsia="宋体" w:cs="宋体"/>
        <w:sz w:val="29"/>
        <w:szCs w:val="29"/>
      </w:rPr>
    </w:pPr>
    <w:r>
      <w:rPr>
        <w:rFonts w:ascii="宋体" w:hAnsi="宋体" w:eastAsia="宋体" w:cs="宋体"/>
        <w:spacing w:val="-3"/>
        <w:sz w:val="29"/>
        <w:szCs w:val="29"/>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751E2">
    <w:pPr>
      <w:pStyle w:val="2"/>
      <w:spacing w:line="14" w:lineRule="auto"/>
      <w:rPr>
        <w:sz w:val="2"/>
      </w:rPr>
    </w:pPr>
    <w:r>
      <w:pict>
        <v:shape id="WordPictureWatermark2" o:spid="_x0000_s4097" o:spt="75" type="#_x0000_t75" style="position:absolute;left:0pt;margin-left:98pt;margin-top:638.5pt;height:107.5pt;width:127pt;mso-position-horizontal-relative:page;mso-position-vertical-relative:page;z-index:-251657216;mso-width-relative:page;mso-height-relative:page;" filled="f" stroked="f" coordsize="21600,21600" o:allowincell="f">
          <v:path/>
          <v:fill on="f" focussize="0,0"/>
          <v:stroke on="f"/>
          <v:imagedata r:id="rId1" o:title=""/>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F123D">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3,4"/>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3CB149F"/>
    <w:rsid w:val="1AA423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4228</Words>
  <Characters>4282</Characters>
  <TotalTime>1</TotalTime>
  <ScaleCrop>false</ScaleCrop>
  <LinksUpToDate>false</LinksUpToDate>
  <CharactersWithSpaces>4386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2025-12-01T12:06:00Z</dcterms:created>
  <dc:creator>Administrator</dc:creator>
  <cp:lastModifiedBy>WPS_1535080285</cp:lastModifiedBy>
  <dcterms:modified xsi:type="dcterms:W3CDTF">2026-06-29T09:00:45Z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2025-12-01T12:06:38Z</vt:filetime>
  </property>
  <property fmtid="{D5CDD505-2E9C-101B-9397-08002B2CF9AE}" pid="4" name="UsrData">
    <vt:lpwstr>692d144a0025b3001f116c1fwl</vt:lpwstr>
  </property>
  <property fmtid="{D5CDD505-2E9C-101B-9397-08002B2CF9AE}" pid="5" name="KSOTemplateDocerSaveRecord">
    <vt:lpwstr>eyJoZGlkIjoiMTk2OTI4YmMxMzc2MjEzYjIzZmVmZjM5OTliMjZkZjEiLCJ1c2VySWQiOiIzOTczOTY3MjYifQ==</vt:lpwstr>
  </property>
  <property fmtid="{D5CDD505-2E9C-101B-9397-08002B2CF9AE}" pid="6" name="KSOProductBuildVer">
    <vt:lpwstr>2052-12.1.0.26895</vt:lpwstr>
  </property>
  <property fmtid="{D5CDD505-2E9C-101B-9397-08002B2CF9AE}" pid="7" name="ICV">
    <vt:lpwstr>D2212D47A67747A1961E2C4D14B32597_12</vt:lpwstr>
  </property>
</Properties>
</file>