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F255E">
      <w:pPr>
        <w:spacing w:before="131" w:line="239" w:lineRule="auto"/>
        <w:jc w:val="right"/>
        <w:rPr>
          <w:rFonts w:ascii="华文行楷" w:hAnsi="华文行楷" w:eastAsia="华文行楷" w:cs="华文行楷"/>
          <w:sz w:val="61"/>
          <w:szCs w:val="61"/>
        </w:rPr>
      </w:pPr>
      <w:r>
        <w:rPr>
          <w:rFonts w:ascii="华文行楷" w:hAnsi="华文行楷" w:eastAsia="华文行楷" w:cs="华文行楷"/>
          <w:spacing w:val="-74"/>
          <w:sz w:val="61"/>
          <w:szCs w:val="61"/>
        </w:rPr>
        <w:t>厚</w:t>
      </w:r>
    </w:p>
    <w:p w14:paraId="55C7DE7A">
      <w:pPr>
        <w:pStyle w:val="2"/>
        <w:spacing w:line="246" w:lineRule="auto"/>
      </w:pPr>
    </w:p>
    <w:p w14:paraId="7AB2BE5A">
      <w:pPr>
        <w:pStyle w:val="2"/>
        <w:spacing w:line="246" w:lineRule="auto"/>
      </w:pPr>
    </w:p>
    <w:p w14:paraId="656F4D08">
      <w:pPr>
        <w:pStyle w:val="2"/>
        <w:spacing w:line="246" w:lineRule="auto"/>
      </w:pPr>
    </w:p>
    <w:p w14:paraId="1551A25C">
      <w:pPr>
        <w:pStyle w:val="2"/>
        <w:spacing w:line="247" w:lineRule="auto"/>
      </w:pPr>
    </w:p>
    <w:p w14:paraId="08D80F55">
      <w:pPr>
        <w:pStyle w:val="2"/>
        <w:spacing w:line="247" w:lineRule="auto"/>
      </w:pPr>
    </w:p>
    <w:p w14:paraId="38D94980">
      <w:pPr>
        <w:pStyle w:val="2"/>
        <w:spacing w:line="247" w:lineRule="auto"/>
      </w:pPr>
    </w:p>
    <w:p w14:paraId="758C22FB">
      <w:pPr>
        <w:pStyle w:val="2"/>
        <w:spacing w:line="247" w:lineRule="auto"/>
      </w:pPr>
    </w:p>
    <w:p w14:paraId="481E6D54">
      <w:pPr>
        <w:pStyle w:val="2"/>
        <w:spacing w:line="247" w:lineRule="auto"/>
      </w:pPr>
    </w:p>
    <w:p w14:paraId="790707B0">
      <w:pPr>
        <w:pStyle w:val="2"/>
        <w:spacing w:line="247" w:lineRule="auto"/>
      </w:pPr>
    </w:p>
    <w:p w14:paraId="2ACDFA9F">
      <w:pPr>
        <w:pStyle w:val="2"/>
        <w:spacing w:line="247" w:lineRule="auto"/>
      </w:pPr>
    </w:p>
    <w:p w14:paraId="71BA01EF">
      <w:pPr>
        <w:pStyle w:val="2"/>
        <w:spacing w:line="247" w:lineRule="auto"/>
      </w:pPr>
    </w:p>
    <w:p w14:paraId="4C527216">
      <w:pPr>
        <w:pStyle w:val="2"/>
        <w:spacing w:line="247" w:lineRule="auto"/>
      </w:pPr>
    </w:p>
    <w:p w14:paraId="316E8B8D">
      <w:pPr>
        <w:spacing w:before="312" w:line="219" w:lineRule="auto"/>
        <w:jc w:val="right"/>
        <w:rPr>
          <w:rFonts w:ascii="宋体" w:hAnsi="宋体" w:eastAsia="宋体" w:cs="宋体"/>
          <w:sz w:val="96"/>
          <w:szCs w:val="96"/>
        </w:rPr>
      </w:pPr>
      <w:r>
        <w:rPr>
          <w:rFonts w:ascii="宋体" w:hAnsi="宋体" w:eastAsia="宋体" w:cs="宋体"/>
          <w:color w:val="F02010"/>
          <w:spacing w:val="-68"/>
          <w:w w:val="76"/>
          <w:sz w:val="96"/>
          <w:szCs w:val="96"/>
        </w:rPr>
        <w:t>准格尔旗市场监督管理局文</w:t>
      </w:r>
      <w:r>
        <w:rPr>
          <w:rFonts w:ascii="宋体" w:hAnsi="宋体" w:eastAsia="宋体" w:cs="宋体"/>
          <w:color w:val="F02010"/>
          <w:spacing w:val="-42"/>
          <w:w w:val="76"/>
          <w:sz w:val="96"/>
          <w:szCs w:val="96"/>
        </w:rPr>
        <w:t>件</w:t>
      </w:r>
    </w:p>
    <w:p w14:paraId="0D1909A2">
      <w:pPr>
        <w:spacing w:before="21" w:line="1030" w:lineRule="exact"/>
        <w:ind w:firstLine="1799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26035</wp:posOffset>
            </wp:positionV>
            <wp:extent cx="628650" cy="50800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8699" cy="5080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0"/>
        </w:rPr>
        <w:drawing>
          <wp:inline distT="0" distB="0" distL="0" distR="0">
            <wp:extent cx="4495800" cy="65405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95811" cy="65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E9909">
      <w:pPr>
        <w:pStyle w:val="2"/>
        <w:spacing w:line="241" w:lineRule="auto"/>
      </w:pPr>
    </w:p>
    <w:p w14:paraId="0E23C56D">
      <w:pPr>
        <w:pStyle w:val="2"/>
        <w:spacing w:line="242" w:lineRule="auto"/>
      </w:pPr>
    </w:p>
    <w:p w14:paraId="423941E1">
      <w:pPr>
        <w:pStyle w:val="2"/>
        <w:spacing w:line="242" w:lineRule="auto"/>
      </w:pPr>
    </w:p>
    <w:p w14:paraId="4F8DA88C">
      <w:pPr>
        <w:spacing w:before="101" w:line="222" w:lineRule="auto"/>
        <w:ind w:left="29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准市监发〔2025〕36号</w:t>
      </w:r>
    </w:p>
    <w:p w14:paraId="2E24FF14">
      <w:pPr>
        <w:spacing w:before="66" w:line="60" w:lineRule="exact"/>
      </w:pPr>
      <w:r>
        <w:rPr>
          <w:position w:val="-1"/>
        </w:rPr>
        <w:drawing>
          <wp:inline distT="0" distB="0" distL="0" distR="0">
            <wp:extent cx="5702300" cy="3810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02312" cy="38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B3921">
      <w:pPr>
        <w:pStyle w:val="2"/>
        <w:spacing w:line="258" w:lineRule="auto"/>
      </w:pPr>
    </w:p>
    <w:p w14:paraId="1CCFC45D">
      <w:pPr>
        <w:pStyle w:val="2"/>
        <w:spacing w:line="259" w:lineRule="auto"/>
      </w:pPr>
    </w:p>
    <w:p w14:paraId="07407B25">
      <w:pPr>
        <w:pStyle w:val="2"/>
        <w:spacing w:line="259" w:lineRule="auto"/>
      </w:pPr>
    </w:p>
    <w:p w14:paraId="239564FD">
      <w:pPr>
        <w:spacing w:before="139" w:line="246" w:lineRule="auto"/>
        <w:ind w:left="1100" w:right="297" w:hanging="83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1"/>
          <w:sz w:val="43"/>
          <w:szCs w:val="43"/>
        </w:rPr>
        <w:t>准格尔旗市场监督管理局关于印发2025年度</w:t>
      </w:r>
      <w:r>
        <w:rPr>
          <w:rFonts w:ascii="宋体" w:hAnsi="宋体" w:eastAsia="宋体" w:cs="宋体"/>
          <w:spacing w:val="6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“双随机、</w:t>
      </w:r>
      <w:r>
        <w:rPr>
          <w:rFonts w:ascii="宋体" w:hAnsi="宋体" w:eastAsia="宋体" w:cs="宋体"/>
          <w:spacing w:val="-101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3"/>
          <w:sz w:val="43"/>
          <w:szCs w:val="43"/>
        </w:rPr>
        <w:t>一公开”抽查计划的通知</w:t>
      </w:r>
    </w:p>
    <w:p w14:paraId="4E40667C">
      <w:pPr>
        <w:pStyle w:val="2"/>
        <w:spacing w:line="278" w:lineRule="auto"/>
      </w:pPr>
    </w:p>
    <w:p w14:paraId="0A6EB78D">
      <w:pPr>
        <w:pStyle w:val="2"/>
        <w:spacing w:line="278" w:lineRule="auto"/>
      </w:pPr>
    </w:p>
    <w:p w14:paraId="5384076C">
      <w:pPr>
        <w:spacing w:before="102" w:line="221" w:lineRule="auto"/>
        <w:ind w:left="1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开发区分局，市场监管综合行政执法大队，各股、办、所、中心：</w:t>
      </w:r>
    </w:p>
    <w:p w14:paraId="617CE482">
      <w:pPr>
        <w:spacing w:before="242" w:line="345" w:lineRule="auto"/>
        <w:ind w:left="104" w:right="51" w:firstLine="71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为深入推进“双随机、一公开”监管，贯彻落实《国务院办公</w:t>
      </w:r>
      <w:bookmarkStart w:id="0" w:name="_GoBack"/>
      <w:bookmarkEnd w:id="0"/>
      <w:r>
        <w:rPr>
          <w:rFonts w:ascii="仿宋" w:hAnsi="仿宋" w:eastAsia="仿宋" w:cs="仿宋"/>
          <w:spacing w:val="12"/>
          <w:sz w:val="31"/>
          <w:szCs w:val="31"/>
        </w:rPr>
        <w:t>厅关于严格规范涉企行政检查的意见》的精神，按照《自治</w:t>
      </w:r>
      <w:r>
        <w:rPr>
          <w:rFonts w:ascii="仿宋" w:hAnsi="仿宋" w:eastAsia="仿宋" w:cs="仿宋"/>
          <w:spacing w:val="11"/>
          <w:sz w:val="31"/>
          <w:szCs w:val="31"/>
        </w:rPr>
        <w:t>区市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场监管局关于印发〈内蒙古自治区市场监督管理局2025年度“双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 随机、一公开”抽查计划〉的通知》(内市监信字〔2025〕3</w:t>
      </w:r>
      <w:r>
        <w:rPr>
          <w:rFonts w:ascii="仿宋" w:hAnsi="仿宋" w:eastAsia="仿宋" w:cs="仿宋"/>
          <w:spacing w:val="3"/>
          <w:sz w:val="31"/>
          <w:szCs w:val="31"/>
        </w:rPr>
        <w:t>0号)、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《自治区市场监管系统随机抽查事项清单(第二版)》</w:t>
      </w:r>
      <w:r>
        <w:rPr>
          <w:rFonts w:ascii="仿宋" w:hAnsi="仿宋" w:eastAsia="仿宋" w:cs="仿宋"/>
          <w:spacing w:val="10"/>
          <w:sz w:val="31"/>
          <w:szCs w:val="31"/>
        </w:rPr>
        <w:t>《鄂尔多斯</w:t>
      </w:r>
    </w:p>
    <w:p w14:paraId="0C4F3DE8">
      <w:pPr>
        <w:spacing w:line="345" w:lineRule="auto"/>
        <w:rPr>
          <w:rFonts w:ascii="仿宋" w:hAnsi="仿宋" w:eastAsia="仿宋" w:cs="仿宋"/>
          <w:sz w:val="31"/>
          <w:szCs w:val="31"/>
        </w:rPr>
        <w:sectPr>
          <w:pgSz w:w="11910" w:h="16840"/>
          <w:pgMar w:top="897" w:right="1513" w:bottom="0" w:left="1120" w:header="0" w:footer="0" w:gutter="0"/>
          <w:cols w:space="720" w:num="1"/>
        </w:sectPr>
      </w:pPr>
    </w:p>
    <w:p w14:paraId="6D415110">
      <w:pPr>
        <w:pStyle w:val="2"/>
        <w:spacing w:line="348" w:lineRule="auto"/>
      </w:pPr>
    </w:p>
    <w:p w14:paraId="6E4DAAB2">
      <w:pPr>
        <w:pStyle w:val="2"/>
        <w:spacing w:line="348" w:lineRule="auto"/>
      </w:pPr>
    </w:p>
    <w:p w14:paraId="41F9F61A">
      <w:pPr>
        <w:spacing w:before="97" w:line="338" w:lineRule="auto"/>
        <w:ind w:left="89" w:right="152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市市场监督管理局关于印发2025年度“双随机、</w:t>
      </w:r>
      <w:r>
        <w:rPr>
          <w:rFonts w:ascii="仿宋" w:hAnsi="仿宋" w:eastAsia="仿宋" w:cs="仿宋"/>
          <w:spacing w:val="-88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一公</w:t>
      </w:r>
      <w:r>
        <w:rPr>
          <w:rFonts w:ascii="仿宋" w:hAnsi="仿宋" w:eastAsia="仿宋" w:cs="仿宋"/>
          <w:spacing w:val="-1"/>
          <w:sz w:val="30"/>
          <w:szCs w:val="30"/>
        </w:rPr>
        <w:t>开”抽查计划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1"/>
          <w:sz w:val="30"/>
          <w:szCs w:val="30"/>
        </w:rPr>
        <w:t>的通知》(鄂市监发〔2025〕18号)要求，</w:t>
      </w:r>
      <w:r>
        <w:rPr>
          <w:rFonts w:ascii="仿宋" w:hAnsi="仿宋" w:eastAsia="仿宋" w:cs="仿宋"/>
          <w:spacing w:val="20"/>
          <w:sz w:val="30"/>
          <w:szCs w:val="30"/>
        </w:rPr>
        <w:t>结合本局实际，并通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2"/>
          <w:sz w:val="30"/>
          <w:szCs w:val="30"/>
        </w:rPr>
        <w:t>过向各相关股室征求意见后，现制定印发《准格尔旗市场监督管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理局2025年度“双随机、</w:t>
      </w:r>
      <w:r>
        <w:rPr>
          <w:rFonts w:ascii="仿宋" w:hAnsi="仿宋" w:eastAsia="仿宋" w:cs="仿宋"/>
          <w:spacing w:val="-3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一公开”抽查计划》,并提出以下要求，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请一并抓好落实。</w:t>
      </w:r>
    </w:p>
    <w:p w14:paraId="76E97C66">
      <w:pPr>
        <w:spacing w:before="30" w:line="331" w:lineRule="auto"/>
        <w:ind w:left="89" w:right="69" w:firstLine="72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9"/>
          <w:sz w:val="30"/>
          <w:szCs w:val="30"/>
        </w:rPr>
        <w:t>一</w:t>
      </w:r>
      <w:r>
        <w:rPr>
          <w:rFonts w:ascii="仿宋" w:hAnsi="仿宋" w:eastAsia="仿宋" w:cs="仿宋"/>
          <w:spacing w:val="-7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9"/>
          <w:sz w:val="30"/>
          <w:szCs w:val="30"/>
        </w:rPr>
        <w:t>、行政检查是市场监管部门履职尽责的重要</w:t>
      </w:r>
      <w:r>
        <w:rPr>
          <w:rFonts w:ascii="仿宋" w:hAnsi="仿宋" w:eastAsia="仿宋" w:cs="仿宋"/>
          <w:spacing w:val="8"/>
          <w:sz w:val="30"/>
          <w:szCs w:val="30"/>
        </w:rPr>
        <w:t>方式，对引导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规范企业合法经营、预防纠正违法行为具有重要</w:t>
      </w:r>
      <w:r>
        <w:rPr>
          <w:rFonts w:ascii="仿宋" w:hAnsi="仿宋" w:eastAsia="仿宋" w:cs="仿宋"/>
          <w:spacing w:val="13"/>
          <w:sz w:val="30"/>
          <w:szCs w:val="30"/>
        </w:rPr>
        <w:t>作用。但是过度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依赖现场检查的惯性思维，内部各条线各自为政，缺乏</w:t>
      </w:r>
      <w:r>
        <w:rPr>
          <w:rFonts w:ascii="仿宋" w:hAnsi="仿宋" w:eastAsia="仿宋" w:cs="仿宋"/>
          <w:spacing w:val="13"/>
          <w:sz w:val="30"/>
          <w:szCs w:val="30"/>
        </w:rPr>
        <w:t>统一行动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带来的多头检查、重复检查、任性检查也广受诟</w:t>
      </w:r>
      <w:r>
        <w:rPr>
          <w:rFonts w:ascii="仿宋" w:hAnsi="仿宋" w:eastAsia="仿宋" w:cs="仿宋"/>
          <w:spacing w:val="12"/>
          <w:sz w:val="30"/>
          <w:szCs w:val="30"/>
        </w:rPr>
        <w:t>病。因此，旗局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结合本地实际，根据企业信用风险分类结果，结合</w:t>
      </w:r>
      <w:r>
        <w:rPr>
          <w:rFonts w:ascii="仿宋" w:hAnsi="仿宋" w:eastAsia="仿宋" w:cs="仿宋"/>
          <w:spacing w:val="13"/>
          <w:sz w:val="30"/>
          <w:szCs w:val="30"/>
        </w:rPr>
        <w:t>各相关股室意</w:t>
      </w:r>
      <w:r>
        <w:rPr>
          <w:rFonts w:ascii="仿宋" w:hAnsi="仿宋" w:eastAsia="仿宋" w:cs="仿宋"/>
          <w:sz w:val="30"/>
          <w:szCs w:val="30"/>
        </w:rPr>
        <w:t xml:space="preserve"> 见，统筹制定2025年度“双随机、</w:t>
      </w:r>
      <w:r>
        <w:rPr>
          <w:rFonts w:ascii="仿宋" w:hAnsi="仿宋" w:eastAsia="仿宋" w:cs="仿宋"/>
          <w:spacing w:val="-42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 xml:space="preserve">一公开”抽查计划，合理确定、 </w:t>
      </w:r>
      <w:r>
        <w:rPr>
          <w:rFonts w:ascii="仿宋" w:hAnsi="仿宋" w:eastAsia="仿宋" w:cs="仿宋"/>
          <w:spacing w:val="15"/>
          <w:sz w:val="30"/>
          <w:szCs w:val="30"/>
        </w:rPr>
        <w:t>动态调整抽查比例和频次，提高应用企业信用风险分类占比率，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30"/>
          <w:szCs w:val="30"/>
        </w:rPr>
        <w:t>实现差异化精准监管。年度抽查计划要通过国家企业信用信息公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7"/>
          <w:sz w:val="30"/>
          <w:szCs w:val="30"/>
        </w:rPr>
        <w:t>示系统(内蒙古)向社会公示。</w:t>
      </w:r>
    </w:p>
    <w:p w14:paraId="698315AA">
      <w:pPr>
        <w:spacing w:before="265" w:line="331" w:lineRule="auto"/>
        <w:ind w:left="49" w:firstLine="7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二、各相关股室按照检查对象相同或相近的原则，能联尽联，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不同业务条线对同一检查对象，能联合的则尽量横向联合，无法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30"/>
          <w:szCs w:val="30"/>
        </w:rPr>
        <w:t>横向联合的，则申请与市局同一业务条线采取“纵向发起</w:t>
      </w:r>
      <w:r>
        <w:rPr>
          <w:rFonts w:ascii="仿宋" w:hAnsi="仿宋" w:eastAsia="仿宋" w:cs="仿宋"/>
          <w:spacing w:val="14"/>
          <w:sz w:val="30"/>
          <w:szCs w:val="30"/>
        </w:rPr>
        <w:t>、市旗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5"/>
          <w:sz w:val="30"/>
          <w:szCs w:val="30"/>
        </w:rPr>
        <w:t>联查”的模式，尽最大可能减少对企业的打扰，实现“进一次门，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查多项事”。除法律法规另有规定外，市场监管部门在</w:t>
      </w:r>
      <w:r>
        <w:rPr>
          <w:rFonts w:ascii="仿宋" w:hAnsi="仿宋" w:eastAsia="仿宋" w:cs="仿宋"/>
          <w:spacing w:val="15"/>
          <w:sz w:val="30"/>
          <w:szCs w:val="30"/>
        </w:rPr>
        <w:t>同一年度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8"/>
          <w:sz w:val="30"/>
          <w:szCs w:val="30"/>
        </w:rPr>
        <w:t>内对信用风险低的同一经营主体，原则上不得重复抽查。</w:t>
      </w:r>
    </w:p>
    <w:p w14:paraId="5254598C">
      <w:pPr>
        <w:spacing w:before="269" w:line="291" w:lineRule="auto"/>
        <w:ind w:left="49" w:right="91" w:firstLine="66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1"/>
          <w:sz w:val="30"/>
          <w:szCs w:val="30"/>
        </w:rPr>
        <w:t>三</w:t>
      </w:r>
      <w:r>
        <w:rPr>
          <w:rFonts w:ascii="仿宋" w:hAnsi="仿宋" w:eastAsia="仿宋" w:cs="仿宋"/>
          <w:spacing w:val="-6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1"/>
          <w:sz w:val="30"/>
          <w:szCs w:val="30"/>
        </w:rPr>
        <w:t>、各相关股室要探索远程监管、移动监管、预警防控等非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6"/>
          <w:sz w:val="30"/>
          <w:szCs w:val="30"/>
        </w:rPr>
        <w:t>现场监管方式，提高非现场检查率，推动双随机监管向移动端延</w:t>
      </w:r>
    </w:p>
    <w:p w14:paraId="6CA38AA5">
      <w:pPr>
        <w:spacing w:line="291" w:lineRule="auto"/>
        <w:rPr>
          <w:rFonts w:ascii="仿宋" w:hAnsi="仿宋" w:eastAsia="仿宋" w:cs="仿宋"/>
          <w:sz w:val="30"/>
          <w:szCs w:val="30"/>
        </w:rPr>
        <w:sectPr>
          <w:footerReference r:id="rId5" w:type="default"/>
          <w:pgSz w:w="11910" w:h="16840"/>
          <w:pgMar w:top="1431" w:right="1430" w:bottom="977" w:left="1480" w:header="0" w:footer="586" w:gutter="0"/>
          <w:cols w:space="720" w:num="1"/>
        </w:sectPr>
      </w:pPr>
    </w:p>
    <w:p w14:paraId="63463457">
      <w:pPr>
        <w:pStyle w:val="2"/>
        <w:spacing w:line="323" w:lineRule="auto"/>
      </w:pPr>
    </w:p>
    <w:p w14:paraId="4CF1E631">
      <w:pPr>
        <w:pStyle w:val="2"/>
        <w:spacing w:line="323" w:lineRule="auto"/>
      </w:pPr>
    </w:p>
    <w:p w14:paraId="532EECB6">
      <w:pPr>
        <w:spacing w:before="97" w:line="332" w:lineRule="auto"/>
        <w:ind w:right="252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6"/>
          <w:sz w:val="30"/>
          <w:szCs w:val="30"/>
        </w:rPr>
        <w:t>伸。同时，要在检查过程中要细致深入，杜绝应付、走</w:t>
      </w:r>
      <w:r>
        <w:rPr>
          <w:rFonts w:ascii="仿宋" w:hAnsi="仿宋" w:eastAsia="仿宋" w:cs="仿宋"/>
          <w:spacing w:val="5"/>
          <w:sz w:val="30"/>
          <w:szCs w:val="30"/>
        </w:rPr>
        <w:t>过场现象，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3"/>
          <w:sz w:val="30"/>
          <w:szCs w:val="30"/>
        </w:rPr>
        <w:t>不断提高发现问题的能力，针对抽查中发现的各类问题，应当采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取及时有效的处理措施，按照“谁监管、谁负责</w:t>
      </w:r>
      <w:r>
        <w:rPr>
          <w:rFonts w:ascii="仿宋" w:hAnsi="仿宋" w:eastAsia="仿宋" w:cs="仿宋"/>
          <w:spacing w:val="2"/>
          <w:sz w:val="30"/>
          <w:szCs w:val="30"/>
        </w:rPr>
        <w:t>”的原则实施后续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监管。发现涉嫌违法的案源线索及时移交执法办案机构，做到抽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4"/>
          <w:sz w:val="30"/>
          <w:szCs w:val="30"/>
        </w:rPr>
        <w:t>查任务单号、检查对象名称与相关行政处罚决定精准关联，实现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5"/>
          <w:sz w:val="30"/>
          <w:szCs w:val="30"/>
        </w:rPr>
        <w:t>监督检查与执法办案双向联动，有效形成监管闭环。</w:t>
      </w:r>
    </w:p>
    <w:p w14:paraId="1433821C">
      <w:pPr>
        <w:tabs>
          <w:tab w:val="left" w:pos="160"/>
        </w:tabs>
        <w:spacing w:before="58" w:line="339" w:lineRule="auto"/>
        <w:ind w:right="213" w:firstLine="67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四</w:t>
      </w:r>
      <w:r>
        <w:rPr>
          <w:rFonts w:ascii="仿宋" w:hAnsi="仿宋" w:eastAsia="仿宋" w:cs="仿宋"/>
          <w:spacing w:val="-2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、按照“谁检查、谁录入、谁公开”的原则，各相关股室在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sz w:val="30"/>
          <w:szCs w:val="30"/>
        </w:rPr>
        <w:t>完成检查之日起20个工作日内，要按照《市场监管领域“双随</w:t>
      </w:r>
      <w:r>
        <w:rPr>
          <w:rFonts w:ascii="仿宋" w:hAnsi="仿宋" w:eastAsia="仿宋" w:cs="仿宋"/>
          <w:spacing w:val="6"/>
          <w:sz w:val="30"/>
          <w:szCs w:val="30"/>
        </w:rPr>
        <w:t>机、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一公开”抽查检查工作规范》</w:t>
      </w:r>
      <w:r>
        <w:rPr>
          <w:rFonts w:ascii="宋体" w:hAnsi="宋体" w:eastAsia="宋体" w:cs="宋体"/>
          <w:spacing w:val="4"/>
          <w:sz w:val="30"/>
          <w:szCs w:val="30"/>
        </w:rPr>
        <w:t>(</w:t>
      </w:r>
      <w:r>
        <w:rPr>
          <w:rFonts w:ascii="宋体" w:hAnsi="宋体" w:eastAsia="宋体" w:cs="宋体"/>
          <w:sz w:val="30"/>
          <w:szCs w:val="30"/>
        </w:rPr>
        <w:t>DB</w:t>
      </w:r>
      <w:r>
        <w:rPr>
          <w:rFonts w:ascii="宋体" w:hAnsi="宋体" w:eastAsia="宋体" w:cs="宋体"/>
          <w:spacing w:val="4"/>
          <w:sz w:val="30"/>
          <w:szCs w:val="30"/>
        </w:rPr>
        <w:t>15/T2463-2021)</w:t>
      </w:r>
      <w:r>
        <w:rPr>
          <w:rFonts w:ascii="宋体" w:hAnsi="宋体" w:eastAsia="宋体" w:cs="宋体"/>
          <w:spacing w:val="51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4"/>
          <w:sz w:val="30"/>
          <w:szCs w:val="30"/>
        </w:rPr>
        <w:t>及时将检查结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6"/>
          <w:sz w:val="30"/>
          <w:szCs w:val="30"/>
        </w:rPr>
        <w:t>果录入部门协同监管平台，并通过国家企业信用信息公示系统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ab/>
      </w:r>
      <w:r>
        <w:rPr>
          <w:rFonts w:ascii="仿宋" w:hAnsi="仿宋" w:eastAsia="仿宋" w:cs="仿宋"/>
          <w:spacing w:val="26"/>
          <w:sz w:val="30"/>
          <w:szCs w:val="30"/>
        </w:rPr>
        <w:t>(内蒙古)依法向社会公示。</w:t>
      </w:r>
    </w:p>
    <w:p w14:paraId="67263892">
      <w:pPr>
        <w:pStyle w:val="2"/>
        <w:spacing w:line="479" w:lineRule="auto"/>
      </w:pPr>
    </w:p>
    <w:p w14:paraId="6A94D084">
      <w:pPr>
        <w:spacing w:before="98" w:line="352" w:lineRule="auto"/>
        <w:ind w:left="1609" w:hanging="93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附件：准格尔旗市场监督管理局2025年度“双随机、</w:t>
      </w:r>
      <w:r>
        <w:rPr>
          <w:rFonts w:ascii="仿宋" w:hAnsi="仿宋" w:eastAsia="仿宋" w:cs="仿宋"/>
          <w:spacing w:val="8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一公开”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9"/>
          <w:sz w:val="30"/>
          <w:szCs w:val="30"/>
        </w:rPr>
        <w:t>抽查计划</w:t>
      </w:r>
    </w:p>
    <w:p w14:paraId="40D3932A">
      <w:pPr>
        <w:pStyle w:val="2"/>
        <w:spacing w:line="317" w:lineRule="auto"/>
      </w:pPr>
    </w:p>
    <w:p w14:paraId="75FAC8D2">
      <w:pPr>
        <w:pStyle w:val="2"/>
        <w:spacing w:line="318" w:lineRule="auto"/>
      </w:pPr>
    </w:p>
    <w:p w14:paraId="7C625321">
      <w:pPr>
        <w:pStyle w:val="2"/>
        <w:spacing w:line="318" w:lineRule="auto"/>
      </w:pPr>
    </w:p>
    <w:p w14:paraId="47C4F14E">
      <w:pPr>
        <w:spacing w:before="98" w:line="222" w:lineRule="auto"/>
        <w:ind w:left="4809"/>
        <w:rPr>
          <w:rFonts w:ascii="仿宋" w:hAnsi="仿宋" w:eastAsia="仿宋" w:cs="仿宋"/>
          <w:sz w:val="30"/>
          <w:szCs w:val="30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3479800</wp:posOffset>
            </wp:positionH>
            <wp:positionV relativeFrom="paragraph">
              <wp:posOffset>-616585</wp:posOffset>
            </wp:positionV>
            <wp:extent cx="1549400" cy="153670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15367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18"/>
          <w:sz w:val="30"/>
          <w:szCs w:val="30"/>
        </w:rPr>
        <w:t>准格尔旗市场监督营理局</w:t>
      </w:r>
    </w:p>
    <w:p w14:paraId="6E048D3F">
      <w:pPr>
        <w:spacing w:before="239" w:line="222" w:lineRule="auto"/>
        <w:ind w:left="576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6"/>
          <w:sz w:val="30"/>
          <w:szCs w:val="30"/>
        </w:rPr>
        <w:t>2024年3月7日</w:t>
      </w:r>
    </w:p>
    <w:sectPr>
      <w:footerReference r:id="rId6" w:type="default"/>
      <w:pgSz w:w="11910" w:h="16840"/>
      <w:pgMar w:top="1431" w:right="1226" w:bottom="1267" w:left="1559" w:header="0" w:footer="87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287FA8">
    <w:pPr>
      <w:spacing w:before="1" w:line="234" w:lineRule="auto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spacing w:val="-4"/>
        <w:sz w:val="30"/>
        <w:szCs w:val="30"/>
      </w:rPr>
      <w:t>—2—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7B3EC">
    <w:pPr>
      <w:spacing w:line="233" w:lineRule="auto"/>
      <w:ind w:left="8190"/>
      <w:rPr>
        <w:rFonts w:ascii="宋体" w:hAnsi="宋体" w:eastAsia="宋体" w:cs="宋体"/>
        <w:sz w:val="30"/>
        <w:szCs w:val="30"/>
      </w:rPr>
    </w:pPr>
    <w:r>
      <w:rPr>
        <w:rFonts w:ascii="宋体" w:hAnsi="宋体" w:eastAsia="宋体" w:cs="宋体"/>
        <w:spacing w:val="-10"/>
        <w:sz w:val="30"/>
        <w:szCs w:val="30"/>
      </w:rPr>
      <w:t>—3—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93C1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1128</Words>
  <Characters>1178</Characters>
  <TotalTime>0</TotalTime>
  <ScaleCrop>false</ScaleCrop>
  <LinksUpToDate>false</LinksUpToDate>
  <CharactersWithSpaces>1223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2025-12-01T15:55:00Z</dcterms:created>
  <dc:creator>Administrator</dc:creator>
  <cp:lastModifiedBy>WPS_1535080285</cp:lastModifiedBy>
  <dcterms:modified xsi:type="dcterms:W3CDTF">2026-06-29T08:58:55Z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2025-12-01T15:55:00Z</vt:filetime>
  </property>
  <property fmtid="{D5CDD505-2E9C-101B-9397-08002B2CF9AE}" pid="4" name="UsrData">
    <vt:lpwstr>692d49cf0c9584001fe11c04wl</vt:lpwstr>
  </property>
  <property fmtid="{D5CDD505-2E9C-101B-9397-08002B2CF9AE}" pid="5" name="KSOTemplateDocerSaveRecord">
    <vt:lpwstr>eyJoZGlkIjoiMTk2OTI4YmMxMzc2MjEzYjIzZmVmZjM5OTliMjZkZjEiLCJ1c2VySWQiOiIzOTczOTY3MjYifQ==</vt:lpwstr>
  </property>
  <property fmtid="{D5CDD505-2E9C-101B-9397-08002B2CF9AE}" pid="6" name="KSOProductBuildVer">
    <vt:lpwstr>2052-12.1.0.26895</vt:lpwstr>
  </property>
  <property fmtid="{D5CDD505-2E9C-101B-9397-08002B2CF9AE}" pid="7" name="ICV">
    <vt:lpwstr>B75AAA07A7FE4375B5C9D02A43E3A321_12</vt:lpwstr>
  </property>
</Properties>
</file>