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E9CB4A4">
      <w:pPr>
        <w:ind w:firstLine="0" w:firstLineChars="0"/>
        <w:jc w:val="left"/>
        <w:rPr>
          <w:rFonts w:hint="eastAsia" w:ascii="黑体" w:hAnsi="黑体" w:eastAsia="黑体" w:cs="黑体"/>
          <w:sz w:val="32"/>
          <w:szCs w:val="32"/>
          <w:lang w:val="en-US" w:eastAsia="zh-CN"/>
        </w:rPr>
      </w:pPr>
      <w:bookmarkStart w:id="0" w:name="_GoBack"/>
      <w:bookmarkEnd w:id="0"/>
      <w:r>
        <w:rPr>
          <w:rFonts w:hint="eastAsia" w:ascii="黑体" w:hAnsi="黑体" w:eastAsia="黑体" w:cs="黑体"/>
          <w:sz w:val="32"/>
          <w:szCs w:val="32"/>
          <w:lang w:val="en-US" w:eastAsia="zh-CN"/>
        </w:rPr>
        <w:t>附件</w:t>
      </w:r>
    </w:p>
    <w:tbl>
      <w:tblPr>
        <w:tblStyle w:val="4"/>
        <w:tblW w:w="15614" w:type="dxa"/>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656"/>
        <w:gridCol w:w="1114"/>
        <w:gridCol w:w="1500"/>
        <w:gridCol w:w="1050"/>
        <w:gridCol w:w="690"/>
        <w:gridCol w:w="1170"/>
        <w:gridCol w:w="1035"/>
        <w:gridCol w:w="795"/>
        <w:gridCol w:w="1035"/>
        <w:gridCol w:w="2130"/>
        <w:gridCol w:w="4439"/>
      </w:tblGrid>
      <w:tr w14:paraId="4EF11BD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tblHeader/>
          <w:jc w:val="center"/>
        </w:trPr>
        <w:tc>
          <w:tcPr>
            <w:tcW w:w="15614" w:type="dxa"/>
            <w:gridSpan w:val="11"/>
            <w:tcBorders>
              <w:top w:val="single" w:color="000000" w:sz="4" w:space="0"/>
              <w:left w:val="single" w:color="000000" w:sz="4" w:space="0"/>
              <w:bottom w:val="single" w:color="000000" w:sz="4" w:space="0"/>
              <w:right w:val="single" w:color="000000" w:sz="4" w:space="0"/>
            </w:tcBorders>
            <w:shd w:val="clear" w:color="auto" w:fill="auto"/>
            <w:noWrap/>
            <w:vAlign w:val="center"/>
          </w:tcPr>
          <w:p w14:paraId="2A322BD8">
            <w:pPr>
              <w:keepNext w:val="0"/>
              <w:keepLines w:val="0"/>
              <w:widowControl/>
              <w:suppressLineNumbers w:val="0"/>
              <w:snapToGrid w:val="0"/>
              <w:ind w:left="0" w:leftChars="0" w:right="0" w:rightChars="0" w:firstLine="0" w:firstLineChars="0"/>
              <w:jc w:val="center"/>
              <w:textAlignment w:val="center"/>
              <w:rPr>
                <w:rFonts w:ascii="方正小标宋简体" w:hAnsi="方正小标宋简体" w:eastAsia="方正小标宋简体" w:cs="方正小标宋简体"/>
                <w:i w:val="0"/>
                <w:iCs w:val="0"/>
                <w:color w:val="000000"/>
                <w:sz w:val="36"/>
                <w:szCs w:val="36"/>
                <w:u w:val="none"/>
              </w:rPr>
            </w:pPr>
            <w:r>
              <w:rPr>
                <w:rFonts w:hint="eastAsia" w:ascii="方正小标宋简体" w:hAnsi="方正小标宋简体" w:eastAsia="方正小标宋简体" w:cs="方正小标宋简体"/>
                <w:i w:val="0"/>
                <w:iCs w:val="0"/>
                <w:color w:val="000000"/>
                <w:kern w:val="0"/>
                <w:sz w:val="36"/>
                <w:szCs w:val="36"/>
                <w:u w:val="none"/>
                <w:lang w:val="en-US" w:eastAsia="zh-CN" w:bidi="ar"/>
              </w:rPr>
              <w:t>准格尔旗卫生健康委员会2026年度市场监管领域部门联合“双随机、一公开”随机抽查事项清单</w:t>
            </w:r>
          </w:p>
        </w:tc>
      </w:tr>
      <w:tr w14:paraId="602D1F4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tblHeader/>
          <w:jc w:val="center"/>
        </w:trPr>
        <w:tc>
          <w:tcPr>
            <w:tcW w:w="6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8379AFD">
            <w:pPr>
              <w:keepNext w:val="0"/>
              <w:keepLines w:val="0"/>
              <w:widowControl/>
              <w:suppressLineNumbers w:val="0"/>
              <w:snapToGrid w:val="0"/>
              <w:ind w:left="0" w:leftChars="0" w:right="0" w:rightChars="0" w:firstLine="0" w:firstLineChars="0"/>
              <w:jc w:val="center"/>
              <w:textAlignment w:val="center"/>
              <w:rPr>
                <w:rFonts w:ascii="黑体" w:hAnsi="宋体" w:eastAsia="黑体" w:cs="黑体"/>
                <w:i w:val="0"/>
                <w:iCs w:val="0"/>
                <w:color w:val="000000"/>
                <w:sz w:val="22"/>
                <w:szCs w:val="22"/>
                <w:u w:val="none"/>
              </w:rPr>
            </w:pPr>
            <w:r>
              <w:rPr>
                <w:rFonts w:hint="eastAsia" w:ascii="黑体" w:hAnsi="宋体" w:eastAsia="黑体" w:cs="黑体"/>
                <w:i w:val="0"/>
                <w:iCs w:val="0"/>
                <w:color w:val="000000"/>
                <w:kern w:val="0"/>
                <w:sz w:val="22"/>
                <w:szCs w:val="22"/>
                <w:u w:val="none"/>
                <w:lang w:val="en-US" w:eastAsia="zh-CN" w:bidi="ar"/>
              </w:rPr>
              <w:t>序号</w:t>
            </w:r>
          </w:p>
        </w:tc>
        <w:tc>
          <w:tcPr>
            <w:tcW w:w="11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73EE62E">
            <w:pPr>
              <w:keepNext w:val="0"/>
              <w:keepLines w:val="0"/>
              <w:widowControl/>
              <w:suppressLineNumbers w:val="0"/>
              <w:snapToGrid w:val="0"/>
              <w:ind w:left="0" w:leftChars="0" w:right="0" w:rightChars="0" w:firstLine="0" w:firstLineChars="0"/>
              <w:jc w:val="center"/>
              <w:textAlignment w:val="center"/>
              <w:rPr>
                <w:rFonts w:hint="eastAsia" w:ascii="黑体" w:hAnsi="宋体" w:eastAsia="黑体" w:cs="黑体"/>
                <w:i w:val="0"/>
                <w:iCs w:val="0"/>
                <w:color w:val="000000"/>
                <w:sz w:val="22"/>
                <w:szCs w:val="22"/>
                <w:u w:val="none"/>
              </w:rPr>
            </w:pPr>
            <w:r>
              <w:rPr>
                <w:rFonts w:hint="eastAsia" w:ascii="黑体" w:hAnsi="宋体" w:eastAsia="黑体" w:cs="黑体"/>
                <w:i w:val="0"/>
                <w:iCs w:val="0"/>
                <w:color w:val="000000"/>
                <w:kern w:val="0"/>
                <w:sz w:val="22"/>
                <w:szCs w:val="22"/>
                <w:u w:val="none"/>
                <w:lang w:val="en-US" w:eastAsia="zh-CN" w:bidi="ar"/>
              </w:rPr>
              <w:t>抽查领域</w:t>
            </w:r>
          </w:p>
        </w:tc>
        <w:tc>
          <w:tcPr>
            <w:tcW w:w="15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C703C69">
            <w:pPr>
              <w:keepNext w:val="0"/>
              <w:keepLines w:val="0"/>
              <w:widowControl/>
              <w:suppressLineNumbers w:val="0"/>
              <w:snapToGrid w:val="0"/>
              <w:ind w:left="0" w:leftChars="0" w:right="0" w:rightChars="0" w:firstLine="0" w:firstLineChars="0"/>
              <w:jc w:val="center"/>
              <w:textAlignment w:val="center"/>
              <w:rPr>
                <w:rFonts w:hint="eastAsia" w:ascii="黑体" w:hAnsi="宋体" w:eastAsia="黑体" w:cs="黑体"/>
                <w:i w:val="0"/>
                <w:iCs w:val="0"/>
                <w:color w:val="000000"/>
                <w:sz w:val="22"/>
                <w:szCs w:val="22"/>
                <w:u w:val="none"/>
              </w:rPr>
            </w:pPr>
            <w:r>
              <w:rPr>
                <w:rFonts w:hint="eastAsia" w:ascii="黑体" w:hAnsi="宋体" w:eastAsia="黑体" w:cs="黑体"/>
                <w:i w:val="0"/>
                <w:iCs w:val="0"/>
                <w:color w:val="000000"/>
                <w:kern w:val="0"/>
                <w:sz w:val="22"/>
                <w:szCs w:val="22"/>
                <w:u w:val="none"/>
                <w:lang w:val="en-US" w:eastAsia="zh-CN" w:bidi="ar"/>
              </w:rPr>
              <w:t>抽查对象</w:t>
            </w:r>
          </w:p>
        </w:tc>
        <w:tc>
          <w:tcPr>
            <w:tcW w:w="10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E81DA6D">
            <w:pPr>
              <w:keepNext w:val="0"/>
              <w:keepLines w:val="0"/>
              <w:widowControl/>
              <w:suppressLineNumbers w:val="0"/>
              <w:snapToGrid w:val="0"/>
              <w:ind w:left="0" w:leftChars="0" w:right="0" w:rightChars="0" w:firstLine="0" w:firstLineChars="0"/>
              <w:jc w:val="center"/>
              <w:textAlignment w:val="center"/>
              <w:rPr>
                <w:rFonts w:hint="eastAsia" w:ascii="黑体" w:hAnsi="宋体" w:eastAsia="黑体" w:cs="黑体"/>
                <w:i w:val="0"/>
                <w:iCs w:val="0"/>
                <w:color w:val="000000"/>
                <w:sz w:val="22"/>
                <w:szCs w:val="22"/>
                <w:u w:val="none"/>
              </w:rPr>
            </w:pPr>
            <w:r>
              <w:rPr>
                <w:rFonts w:hint="eastAsia" w:ascii="黑体" w:hAnsi="宋体" w:eastAsia="黑体" w:cs="黑体"/>
                <w:i w:val="0"/>
                <w:iCs w:val="0"/>
                <w:color w:val="000000"/>
                <w:kern w:val="0"/>
                <w:sz w:val="22"/>
                <w:szCs w:val="22"/>
                <w:u w:val="none"/>
                <w:lang w:val="en-US" w:eastAsia="zh-CN" w:bidi="ar"/>
              </w:rPr>
              <w:t>检查方式</w:t>
            </w:r>
          </w:p>
        </w:tc>
        <w:tc>
          <w:tcPr>
            <w:tcW w:w="6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AF9256A">
            <w:pPr>
              <w:keepNext w:val="0"/>
              <w:keepLines w:val="0"/>
              <w:widowControl/>
              <w:suppressLineNumbers w:val="0"/>
              <w:snapToGrid w:val="0"/>
              <w:ind w:left="0" w:leftChars="0" w:right="0" w:rightChars="0" w:firstLine="0" w:firstLineChars="0"/>
              <w:jc w:val="center"/>
              <w:textAlignment w:val="center"/>
              <w:rPr>
                <w:rFonts w:hint="eastAsia" w:ascii="黑体" w:hAnsi="宋体" w:eastAsia="黑体" w:cs="黑体"/>
                <w:i w:val="0"/>
                <w:iCs w:val="0"/>
                <w:color w:val="000000"/>
                <w:sz w:val="22"/>
                <w:szCs w:val="22"/>
                <w:u w:val="none"/>
              </w:rPr>
            </w:pPr>
            <w:r>
              <w:rPr>
                <w:rFonts w:hint="eastAsia" w:ascii="黑体" w:hAnsi="宋体" w:eastAsia="黑体" w:cs="黑体"/>
                <w:i w:val="0"/>
                <w:iCs w:val="0"/>
                <w:color w:val="000000"/>
                <w:kern w:val="0"/>
                <w:sz w:val="22"/>
                <w:szCs w:val="22"/>
                <w:u w:val="none"/>
                <w:lang w:val="en-US" w:eastAsia="zh-CN" w:bidi="ar"/>
              </w:rPr>
              <w:t>实施层级</w:t>
            </w:r>
          </w:p>
        </w:tc>
        <w:tc>
          <w:tcPr>
            <w:tcW w:w="11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F782421">
            <w:pPr>
              <w:keepNext w:val="0"/>
              <w:keepLines w:val="0"/>
              <w:widowControl/>
              <w:suppressLineNumbers w:val="0"/>
              <w:snapToGrid w:val="0"/>
              <w:ind w:left="0" w:leftChars="0" w:right="0" w:rightChars="0" w:firstLine="0" w:firstLineChars="0"/>
              <w:jc w:val="center"/>
              <w:textAlignment w:val="center"/>
              <w:rPr>
                <w:rFonts w:hint="eastAsia" w:ascii="黑体" w:hAnsi="宋体" w:eastAsia="黑体" w:cs="黑体"/>
                <w:i w:val="0"/>
                <w:iCs w:val="0"/>
                <w:color w:val="000000"/>
                <w:sz w:val="22"/>
                <w:szCs w:val="22"/>
                <w:u w:val="none"/>
              </w:rPr>
            </w:pPr>
            <w:r>
              <w:rPr>
                <w:rFonts w:hint="eastAsia" w:ascii="黑体" w:hAnsi="宋体" w:eastAsia="黑体" w:cs="黑体"/>
                <w:i w:val="0"/>
                <w:iCs w:val="0"/>
                <w:color w:val="000000"/>
                <w:kern w:val="0"/>
                <w:sz w:val="22"/>
                <w:szCs w:val="22"/>
                <w:u w:val="none"/>
                <w:lang w:val="en-US" w:eastAsia="zh-CN" w:bidi="ar"/>
              </w:rPr>
              <w:t>抽查比例或户数</w:t>
            </w:r>
          </w:p>
        </w:tc>
        <w:tc>
          <w:tcPr>
            <w:tcW w:w="10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A11A9A0">
            <w:pPr>
              <w:keepNext w:val="0"/>
              <w:keepLines w:val="0"/>
              <w:widowControl/>
              <w:suppressLineNumbers w:val="0"/>
              <w:snapToGrid w:val="0"/>
              <w:ind w:left="0" w:leftChars="0" w:right="0" w:rightChars="0" w:firstLine="0" w:firstLineChars="0"/>
              <w:jc w:val="center"/>
              <w:textAlignment w:val="center"/>
              <w:rPr>
                <w:rFonts w:hint="eastAsia" w:ascii="黑体" w:hAnsi="宋体" w:eastAsia="黑体" w:cs="黑体"/>
                <w:i w:val="0"/>
                <w:iCs w:val="0"/>
                <w:color w:val="000000"/>
                <w:sz w:val="22"/>
                <w:szCs w:val="22"/>
                <w:u w:val="none"/>
              </w:rPr>
            </w:pPr>
            <w:r>
              <w:rPr>
                <w:rFonts w:hint="eastAsia" w:ascii="黑体" w:hAnsi="宋体" w:eastAsia="黑体" w:cs="黑体"/>
                <w:i w:val="0"/>
                <w:iCs w:val="0"/>
                <w:color w:val="000000"/>
                <w:kern w:val="0"/>
                <w:sz w:val="22"/>
                <w:szCs w:val="22"/>
                <w:u w:val="none"/>
                <w:lang w:val="en-US" w:eastAsia="zh-CN" w:bidi="ar"/>
              </w:rPr>
              <w:t>起止时间</w:t>
            </w:r>
          </w:p>
        </w:tc>
        <w:tc>
          <w:tcPr>
            <w:tcW w:w="183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280C3484">
            <w:pPr>
              <w:snapToGrid w:val="0"/>
              <w:ind w:left="0" w:leftChars="0" w:right="0" w:rightChars="0" w:firstLine="0" w:firstLineChars="0"/>
              <w:jc w:val="center"/>
              <w:rPr>
                <w:rFonts w:hint="eastAsia" w:ascii="黑体" w:hAnsi="宋体" w:eastAsia="黑体" w:cs="黑体"/>
                <w:i w:val="0"/>
                <w:iCs w:val="0"/>
                <w:color w:val="000000"/>
                <w:sz w:val="22"/>
                <w:szCs w:val="22"/>
                <w:u w:val="none"/>
              </w:rPr>
            </w:pPr>
            <w:r>
              <w:rPr>
                <w:rFonts w:hint="eastAsia" w:ascii="黑体" w:hAnsi="宋体" w:eastAsia="黑体" w:cs="黑体"/>
                <w:i w:val="0"/>
                <w:iCs w:val="0"/>
                <w:color w:val="000000"/>
                <w:kern w:val="0"/>
                <w:sz w:val="22"/>
                <w:szCs w:val="22"/>
                <w:u w:val="none"/>
                <w:lang w:val="en-US" w:eastAsia="zh-CN" w:bidi="ar"/>
              </w:rPr>
              <w:t>抽查部门</w:t>
            </w:r>
          </w:p>
        </w:tc>
        <w:tc>
          <w:tcPr>
            <w:tcW w:w="21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34C290B">
            <w:pPr>
              <w:keepNext w:val="0"/>
              <w:keepLines w:val="0"/>
              <w:widowControl/>
              <w:suppressLineNumbers w:val="0"/>
              <w:snapToGrid w:val="0"/>
              <w:ind w:left="0" w:leftChars="0" w:right="0" w:rightChars="0" w:firstLine="0" w:firstLineChars="0"/>
              <w:jc w:val="center"/>
              <w:textAlignment w:val="center"/>
              <w:rPr>
                <w:rFonts w:hint="eastAsia" w:ascii="黑体" w:hAnsi="宋体" w:eastAsia="黑体" w:cs="黑体"/>
                <w:i w:val="0"/>
                <w:iCs w:val="0"/>
                <w:color w:val="000000"/>
                <w:sz w:val="22"/>
                <w:szCs w:val="22"/>
                <w:u w:val="none"/>
              </w:rPr>
            </w:pPr>
            <w:r>
              <w:rPr>
                <w:rFonts w:hint="eastAsia" w:ascii="黑体" w:hAnsi="宋体" w:eastAsia="黑体" w:cs="黑体"/>
                <w:i w:val="0"/>
                <w:iCs w:val="0"/>
                <w:color w:val="000000"/>
                <w:kern w:val="0"/>
                <w:sz w:val="22"/>
                <w:szCs w:val="22"/>
                <w:u w:val="none"/>
                <w:lang w:val="en-US" w:eastAsia="zh-CN" w:bidi="ar"/>
              </w:rPr>
              <w:t>抽查事项</w:t>
            </w:r>
          </w:p>
        </w:tc>
        <w:tc>
          <w:tcPr>
            <w:tcW w:w="443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890ECC1">
            <w:pPr>
              <w:keepNext w:val="0"/>
              <w:keepLines w:val="0"/>
              <w:widowControl/>
              <w:suppressLineNumbers w:val="0"/>
              <w:snapToGrid w:val="0"/>
              <w:ind w:left="0" w:leftChars="0" w:right="0" w:rightChars="0" w:firstLine="0" w:firstLineChars="0"/>
              <w:jc w:val="center"/>
              <w:textAlignment w:val="center"/>
              <w:rPr>
                <w:rFonts w:hint="eastAsia" w:ascii="黑体" w:hAnsi="宋体" w:eastAsia="黑体" w:cs="黑体"/>
                <w:i w:val="0"/>
                <w:iCs w:val="0"/>
                <w:color w:val="000000"/>
                <w:sz w:val="22"/>
                <w:szCs w:val="22"/>
                <w:u w:val="none"/>
              </w:rPr>
            </w:pPr>
            <w:r>
              <w:rPr>
                <w:rFonts w:hint="eastAsia" w:ascii="黑体" w:hAnsi="宋体" w:eastAsia="黑体" w:cs="黑体"/>
                <w:i w:val="0"/>
                <w:iCs w:val="0"/>
                <w:color w:val="000000"/>
                <w:kern w:val="0"/>
                <w:sz w:val="22"/>
                <w:szCs w:val="22"/>
                <w:u w:val="none"/>
                <w:lang w:val="en-US" w:eastAsia="zh-CN" w:bidi="ar"/>
              </w:rPr>
              <w:t>检查内容</w:t>
            </w:r>
          </w:p>
        </w:tc>
      </w:tr>
      <w:tr w14:paraId="1F5517D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47" w:hRule="atLeast"/>
          <w:jc w:val="center"/>
        </w:trPr>
        <w:tc>
          <w:tcPr>
            <w:tcW w:w="656"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529E5DC8">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w:t>
            </w:r>
          </w:p>
        </w:tc>
        <w:tc>
          <w:tcPr>
            <w:tcW w:w="1114"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01B6CB9E">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宾馆、旅店业监督检查</w:t>
            </w:r>
          </w:p>
        </w:tc>
        <w:tc>
          <w:tcPr>
            <w:tcW w:w="150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1815310F">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全旗各类宾馆、旅店</w:t>
            </w:r>
          </w:p>
        </w:tc>
        <w:tc>
          <w:tcPr>
            <w:tcW w:w="105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7E588FD8">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现场检查</w:t>
            </w:r>
          </w:p>
        </w:tc>
        <w:tc>
          <w:tcPr>
            <w:tcW w:w="69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1921AC8B">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旗级</w:t>
            </w:r>
          </w:p>
        </w:tc>
        <w:tc>
          <w:tcPr>
            <w:tcW w:w="117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38190B6C">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5%</w:t>
            </w:r>
          </w:p>
        </w:tc>
        <w:tc>
          <w:tcPr>
            <w:tcW w:w="1035"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60AA0BA4">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6月-8月</w:t>
            </w:r>
          </w:p>
        </w:tc>
        <w:tc>
          <w:tcPr>
            <w:tcW w:w="7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501ECD9">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牵头</w:t>
            </w:r>
          </w:p>
        </w:tc>
        <w:tc>
          <w:tcPr>
            <w:tcW w:w="10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8AE466B">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旗公安局</w:t>
            </w:r>
          </w:p>
        </w:tc>
        <w:tc>
          <w:tcPr>
            <w:tcW w:w="21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3D1C824">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1.宾馆、旅店业治安状况检查；</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2.宾馆、旅店业实名登记情况。</w:t>
            </w:r>
          </w:p>
        </w:tc>
        <w:tc>
          <w:tcPr>
            <w:tcW w:w="443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E60C402">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1.旅馆业工作人员对住宿的旅客姓名、身份证号码等信息的登记情况；</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2.旅馆接待旅客住宿登记情况是否按照规定的项目如实登记。</w:t>
            </w:r>
          </w:p>
        </w:tc>
      </w:tr>
      <w:tr w14:paraId="6935FE3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101" w:hRule="atLeast"/>
          <w:jc w:val="center"/>
        </w:trPr>
        <w:tc>
          <w:tcPr>
            <w:tcW w:w="65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B4CE2E5">
            <w:pPr>
              <w:snapToGrid w:val="0"/>
              <w:ind w:left="0" w:leftChars="0" w:right="0" w:rightChars="0" w:firstLine="0" w:firstLineChars="0"/>
              <w:jc w:val="center"/>
              <w:rPr>
                <w:rFonts w:hint="eastAsia" w:ascii="宋体" w:hAnsi="宋体" w:eastAsia="宋体" w:cs="宋体"/>
                <w:i w:val="0"/>
                <w:iCs w:val="0"/>
                <w:color w:val="000000"/>
                <w:sz w:val="20"/>
                <w:szCs w:val="20"/>
                <w:u w:val="none"/>
              </w:rPr>
            </w:pPr>
          </w:p>
        </w:tc>
        <w:tc>
          <w:tcPr>
            <w:tcW w:w="111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4FAA18E">
            <w:pPr>
              <w:snapToGrid w:val="0"/>
              <w:ind w:left="0" w:leftChars="0" w:right="0" w:rightChars="0" w:firstLine="0" w:firstLineChars="0"/>
              <w:jc w:val="center"/>
              <w:rPr>
                <w:rFonts w:hint="eastAsia" w:ascii="宋体" w:hAnsi="宋体" w:eastAsia="宋体" w:cs="宋体"/>
                <w:i w:val="0"/>
                <w:iCs w:val="0"/>
                <w:color w:val="000000"/>
                <w:sz w:val="20"/>
                <w:szCs w:val="20"/>
                <w:u w:val="none"/>
              </w:rPr>
            </w:pPr>
          </w:p>
        </w:tc>
        <w:tc>
          <w:tcPr>
            <w:tcW w:w="150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F4B7001">
            <w:pPr>
              <w:snapToGrid w:val="0"/>
              <w:ind w:left="0" w:leftChars="0" w:right="0" w:rightChars="0" w:firstLine="0" w:firstLineChars="0"/>
              <w:jc w:val="left"/>
              <w:rPr>
                <w:rFonts w:hint="eastAsia" w:ascii="宋体" w:hAnsi="宋体" w:eastAsia="宋体" w:cs="宋体"/>
                <w:i w:val="0"/>
                <w:iCs w:val="0"/>
                <w:color w:val="000000"/>
                <w:sz w:val="20"/>
                <w:szCs w:val="20"/>
                <w:u w:val="none"/>
              </w:rPr>
            </w:pPr>
          </w:p>
        </w:tc>
        <w:tc>
          <w:tcPr>
            <w:tcW w:w="105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1DC0521">
            <w:pPr>
              <w:snapToGrid w:val="0"/>
              <w:ind w:left="0" w:leftChars="0" w:right="0" w:rightChars="0" w:firstLine="0" w:firstLineChars="0"/>
              <w:jc w:val="left"/>
              <w:rPr>
                <w:rFonts w:hint="eastAsia" w:ascii="宋体" w:hAnsi="宋体" w:eastAsia="宋体" w:cs="宋体"/>
                <w:i w:val="0"/>
                <w:iCs w:val="0"/>
                <w:color w:val="000000"/>
                <w:sz w:val="20"/>
                <w:szCs w:val="20"/>
                <w:u w:val="none"/>
              </w:rPr>
            </w:pPr>
          </w:p>
        </w:tc>
        <w:tc>
          <w:tcPr>
            <w:tcW w:w="69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4F16B8F">
            <w:pPr>
              <w:snapToGrid w:val="0"/>
              <w:ind w:left="0" w:leftChars="0" w:right="0" w:rightChars="0" w:firstLine="0" w:firstLineChars="0"/>
              <w:jc w:val="left"/>
              <w:rPr>
                <w:rFonts w:hint="eastAsia" w:ascii="宋体" w:hAnsi="宋体" w:eastAsia="宋体" w:cs="宋体"/>
                <w:i w:val="0"/>
                <w:iCs w:val="0"/>
                <w:color w:val="000000"/>
                <w:sz w:val="20"/>
                <w:szCs w:val="20"/>
                <w:u w:val="none"/>
              </w:rPr>
            </w:pPr>
          </w:p>
        </w:tc>
        <w:tc>
          <w:tcPr>
            <w:tcW w:w="117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75CE442">
            <w:pPr>
              <w:snapToGrid w:val="0"/>
              <w:ind w:left="0" w:leftChars="0" w:right="0" w:rightChars="0" w:firstLine="0" w:firstLineChars="0"/>
              <w:jc w:val="center"/>
              <w:rPr>
                <w:rFonts w:hint="eastAsia" w:ascii="宋体" w:hAnsi="宋体" w:eastAsia="宋体" w:cs="宋体"/>
                <w:i w:val="0"/>
                <w:iCs w:val="0"/>
                <w:color w:val="000000"/>
                <w:sz w:val="20"/>
                <w:szCs w:val="20"/>
                <w:u w:val="none"/>
              </w:rPr>
            </w:pPr>
          </w:p>
        </w:tc>
        <w:tc>
          <w:tcPr>
            <w:tcW w:w="103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A310BFD">
            <w:pPr>
              <w:snapToGrid w:val="0"/>
              <w:ind w:left="0" w:leftChars="0" w:right="0" w:rightChars="0" w:firstLine="0" w:firstLineChars="0"/>
              <w:jc w:val="center"/>
              <w:rPr>
                <w:rFonts w:hint="eastAsia" w:ascii="宋体" w:hAnsi="宋体" w:eastAsia="宋体" w:cs="宋体"/>
                <w:i w:val="0"/>
                <w:iCs w:val="0"/>
                <w:color w:val="000000"/>
                <w:sz w:val="20"/>
                <w:szCs w:val="20"/>
                <w:u w:val="none"/>
              </w:rPr>
            </w:pPr>
          </w:p>
        </w:tc>
        <w:tc>
          <w:tcPr>
            <w:tcW w:w="7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17428F7">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配合</w:t>
            </w:r>
          </w:p>
        </w:tc>
        <w:tc>
          <w:tcPr>
            <w:tcW w:w="10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BD75EFA">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旗卫健委</w:t>
            </w:r>
          </w:p>
        </w:tc>
        <w:tc>
          <w:tcPr>
            <w:tcW w:w="21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EE8CC57">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宾馆、旅店业取得公共卫生许可证及其他情况检查情况。</w:t>
            </w:r>
          </w:p>
        </w:tc>
        <w:tc>
          <w:tcPr>
            <w:tcW w:w="443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B0B7273">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1.设置卫生管理部门或人员情况、卫生档案管理情况、从业人员健康体检状况、顾客用品等用具清洗、消毒、保洁情况；</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2.宾馆旅馆履行消防安全职责、遵守消防法律法规情况的检查。</w:t>
            </w:r>
          </w:p>
        </w:tc>
      </w:tr>
      <w:tr w14:paraId="7BF74DD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64" w:hRule="atLeast"/>
          <w:jc w:val="center"/>
        </w:trPr>
        <w:tc>
          <w:tcPr>
            <w:tcW w:w="656"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26FC6DC5">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w:t>
            </w:r>
          </w:p>
        </w:tc>
        <w:tc>
          <w:tcPr>
            <w:tcW w:w="1114"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4B9B3285">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煤炭开采领域抽查检查</w:t>
            </w:r>
          </w:p>
        </w:tc>
        <w:tc>
          <w:tcPr>
            <w:tcW w:w="150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3A4BAC74">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全旗煤炭企业</w:t>
            </w:r>
          </w:p>
        </w:tc>
        <w:tc>
          <w:tcPr>
            <w:tcW w:w="105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5C4A15DB">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现场检查</w:t>
            </w:r>
          </w:p>
        </w:tc>
        <w:tc>
          <w:tcPr>
            <w:tcW w:w="69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5BB016EF">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旗级</w:t>
            </w:r>
          </w:p>
        </w:tc>
        <w:tc>
          <w:tcPr>
            <w:tcW w:w="117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652E5F2A">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5%</w:t>
            </w:r>
          </w:p>
        </w:tc>
        <w:tc>
          <w:tcPr>
            <w:tcW w:w="1035"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7FACD9E6">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7月-9月</w:t>
            </w:r>
          </w:p>
        </w:tc>
        <w:tc>
          <w:tcPr>
            <w:tcW w:w="7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F3071FF">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牵头</w:t>
            </w:r>
          </w:p>
        </w:tc>
        <w:tc>
          <w:tcPr>
            <w:tcW w:w="10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92511EE">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旗应急局</w:t>
            </w:r>
          </w:p>
        </w:tc>
        <w:tc>
          <w:tcPr>
            <w:tcW w:w="21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C592F56">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1.煤矿证照有效性、采矿许可证、安全生产许可证、营业执照、矿长资格证。</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2.生产企业投入是否满足安全生产需求。</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3.煤矿安全生产管理制度是否健全且是否按要求进行贯彻落实。</w:t>
            </w:r>
          </w:p>
        </w:tc>
        <w:tc>
          <w:tcPr>
            <w:tcW w:w="443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AC2F7AD">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1.煤矿证照有效性、采矿许可证、安全生产许可证、营业执照、矿长资格证；</w:t>
            </w:r>
          </w:p>
          <w:p w14:paraId="5B36B604">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2.生产企业投入是否满足安全生产需求；</w:t>
            </w:r>
          </w:p>
          <w:p w14:paraId="7A4FE640">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3.煤矿安全生产管理制度是否健全且是否按要求进行贯彻落实。</w:t>
            </w:r>
          </w:p>
        </w:tc>
      </w:tr>
      <w:tr w14:paraId="702D405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425" w:hRule="atLeast"/>
          <w:jc w:val="center"/>
        </w:trPr>
        <w:tc>
          <w:tcPr>
            <w:tcW w:w="65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DF24421">
            <w:pPr>
              <w:snapToGrid w:val="0"/>
              <w:ind w:left="0" w:leftChars="0" w:right="0" w:rightChars="0" w:firstLine="0" w:firstLineChars="0"/>
              <w:jc w:val="center"/>
              <w:rPr>
                <w:rFonts w:hint="eastAsia" w:ascii="宋体" w:hAnsi="宋体" w:eastAsia="宋体" w:cs="宋体"/>
                <w:i w:val="0"/>
                <w:iCs w:val="0"/>
                <w:color w:val="000000"/>
                <w:sz w:val="20"/>
                <w:szCs w:val="20"/>
                <w:u w:val="none"/>
              </w:rPr>
            </w:pPr>
          </w:p>
        </w:tc>
        <w:tc>
          <w:tcPr>
            <w:tcW w:w="111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723956E">
            <w:pPr>
              <w:snapToGrid w:val="0"/>
              <w:ind w:left="0" w:leftChars="0" w:right="0" w:rightChars="0" w:firstLine="0" w:firstLineChars="0"/>
              <w:jc w:val="center"/>
              <w:rPr>
                <w:rFonts w:hint="eastAsia" w:ascii="宋体" w:hAnsi="宋体" w:eastAsia="宋体" w:cs="宋体"/>
                <w:i w:val="0"/>
                <w:iCs w:val="0"/>
                <w:color w:val="000000"/>
                <w:sz w:val="20"/>
                <w:szCs w:val="20"/>
                <w:u w:val="none"/>
              </w:rPr>
            </w:pPr>
          </w:p>
        </w:tc>
        <w:tc>
          <w:tcPr>
            <w:tcW w:w="150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60232B5">
            <w:pPr>
              <w:snapToGrid w:val="0"/>
              <w:ind w:left="0" w:leftChars="0" w:right="0" w:rightChars="0" w:firstLine="0" w:firstLineChars="0"/>
              <w:jc w:val="left"/>
              <w:rPr>
                <w:rFonts w:hint="eastAsia" w:ascii="宋体" w:hAnsi="宋体" w:eastAsia="宋体" w:cs="宋体"/>
                <w:i w:val="0"/>
                <w:iCs w:val="0"/>
                <w:color w:val="000000"/>
                <w:sz w:val="20"/>
                <w:szCs w:val="20"/>
                <w:u w:val="none"/>
              </w:rPr>
            </w:pPr>
          </w:p>
        </w:tc>
        <w:tc>
          <w:tcPr>
            <w:tcW w:w="105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F168827">
            <w:pPr>
              <w:snapToGrid w:val="0"/>
              <w:ind w:left="0" w:leftChars="0" w:right="0" w:rightChars="0" w:firstLine="0" w:firstLineChars="0"/>
              <w:jc w:val="left"/>
              <w:rPr>
                <w:rFonts w:hint="eastAsia" w:ascii="宋体" w:hAnsi="宋体" w:eastAsia="宋体" w:cs="宋体"/>
                <w:i w:val="0"/>
                <w:iCs w:val="0"/>
                <w:color w:val="000000"/>
                <w:sz w:val="20"/>
                <w:szCs w:val="20"/>
                <w:u w:val="none"/>
              </w:rPr>
            </w:pPr>
          </w:p>
        </w:tc>
        <w:tc>
          <w:tcPr>
            <w:tcW w:w="69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3829B8D">
            <w:pPr>
              <w:snapToGrid w:val="0"/>
              <w:ind w:left="0" w:leftChars="0" w:right="0" w:rightChars="0" w:firstLine="0" w:firstLineChars="0"/>
              <w:jc w:val="left"/>
              <w:rPr>
                <w:rFonts w:hint="eastAsia" w:ascii="宋体" w:hAnsi="宋体" w:eastAsia="宋体" w:cs="宋体"/>
                <w:i w:val="0"/>
                <w:iCs w:val="0"/>
                <w:color w:val="000000"/>
                <w:sz w:val="20"/>
                <w:szCs w:val="20"/>
                <w:u w:val="none"/>
              </w:rPr>
            </w:pPr>
          </w:p>
        </w:tc>
        <w:tc>
          <w:tcPr>
            <w:tcW w:w="117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BBD2953">
            <w:pPr>
              <w:snapToGrid w:val="0"/>
              <w:ind w:left="0" w:leftChars="0" w:right="0" w:rightChars="0" w:firstLine="0" w:firstLineChars="0"/>
              <w:jc w:val="center"/>
              <w:rPr>
                <w:rFonts w:hint="eastAsia" w:ascii="宋体" w:hAnsi="宋体" w:eastAsia="宋体" w:cs="宋体"/>
                <w:i w:val="0"/>
                <w:iCs w:val="0"/>
                <w:color w:val="000000"/>
                <w:sz w:val="20"/>
                <w:szCs w:val="20"/>
                <w:u w:val="none"/>
              </w:rPr>
            </w:pPr>
          </w:p>
        </w:tc>
        <w:tc>
          <w:tcPr>
            <w:tcW w:w="103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2E61548">
            <w:pPr>
              <w:snapToGrid w:val="0"/>
              <w:ind w:left="0" w:leftChars="0" w:right="0" w:rightChars="0" w:firstLine="0" w:firstLineChars="0"/>
              <w:jc w:val="center"/>
              <w:rPr>
                <w:rFonts w:hint="eastAsia" w:ascii="宋体" w:hAnsi="宋体" w:eastAsia="宋体" w:cs="宋体"/>
                <w:i w:val="0"/>
                <w:iCs w:val="0"/>
                <w:color w:val="000000"/>
                <w:sz w:val="20"/>
                <w:szCs w:val="20"/>
                <w:u w:val="none"/>
              </w:rPr>
            </w:pPr>
          </w:p>
        </w:tc>
        <w:tc>
          <w:tcPr>
            <w:tcW w:w="7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C1FDD43">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配合</w:t>
            </w:r>
          </w:p>
        </w:tc>
        <w:tc>
          <w:tcPr>
            <w:tcW w:w="10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BA6B76F">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旗卫健委</w:t>
            </w:r>
          </w:p>
        </w:tc>
        <w:tc>
          <w:tcPr>
            <w:tcW w:w="21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E7C48B7">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对产生职业病危害的用人单位职业病防治工作监督检查</w:t>
            </w:r>
          </w:p>
        </w:tc>
        <w:tc>
          <w:tcPr>
            <w:tcW w:w="443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E364218">
            <w:pPr>
              <w:keepNext w:val="0"/>
              <w:keepLines w:val="0"/>
              <w:widowControl/>
              <w:numPr>
                <w:ilvl w:val="0"/>
                <w:numId w:val="0"/>
              </w:numPr>
              <w:suppressLineNumbers w:val="0"/>
              <w:snapToGrid w:val="0"/>
              <w:ind w:left="0" w:leftChars="0" w:right="0" w:rightChars="0" w:firstLine="0" w:firstLineChars="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lang w:val="en-US" w:eastAsia="zh-CN" w:bidi="ar"/>
              </w:rPr>
              <w:t>1.</w:t>
            </w:r>
            <w:r>
              <w:rPr>
                <w:rFonts w:hint="eastAsia" w:ascii="宋体" w:hAnsi="宋体" w:eastAsia="宋体" w:cs="宋体"/>
                <w:i w:val="0"/>
                <w:iCs w:val="0"/>
                <w:color w:val="000000"/>
                <w:kern w:val="0"/>
                <w:sz w:val="20"/>
                <w:szCs w:val="20"/>
                <w:u w:val="none"/>
                <w:lang w:val="en-US" w:eastAsia="zh-CN" w:bidi="ar"/>
              </w:rPr>
              <w:t>职业病防治管理措施建立、健全情况；</w:t>
            </w:r>
          </w:p>
          <w:p w14:paraId="7D496EF5">
            <w:pPr>
              <w:keepNext w:val="0"/>
              <w:keepLines w:val="0"/>
              <w:widowControl/>
              <w:numPr>
                <w:ilvl w:val="0"/>
                <w:numId w:val="0"/>
              </w:numPr>
              <w:suppressLineNumbers w:val="0"/>
              <w:snapToGrid w:val="0"/>
              <w:ind w:left="0" w:leftChars="0" w:right="0" w:rightChars="0" w:firstLine="0" w:firstLineChars="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lang w:val="en-US" w:eastAsia="zh-CN" w:bidi="ar"/>
              </w:rPr>
              <w:t>2.</w:t>
            </w:r>
            <w:r>
              <w:rPr>
                <w:rFonts w:hint="eastAsia" w:ascii="宋体" w:hAnsi="宋体" w:eastAsia="宋体" w:cs="宋体"/>
                <w:i w:val="0"/>
                <w:iCs w:val="0"/>
                <w:color w:val="000000"/>
                <w:kern w:val="0"/>
                <w:sz w:val="20"/>
                <w:szCs w:val="20"/>
                <w:u w:val="none"/>
                <w:lang w:val="en-US" w:eastAsia="zh-CN" w:bidi="ar"/>
              </w:rPr>
              <w:t>建设项目职业病危害评价、职业病防护设施设计及竣工验收情况；</w:t>
            </w:r>
          </w:p>
          <w:p w14:paraId="07440083">
            <w:pPr>
              <w:keepNext w:val="0"/>
              <w:keepLines w:val="0"/>
              <w:widowControl/>
              <w:numPr>
                <w:ilvl w:val="0"/>
                <w:numId w:val="0"/>
              </w:numPr>
              <w:suppressLineNumbers w:val="0"/>
              <w:snapToGrid w:val="0"/>
              <w:ind w:left="0" w:leftChars="0" w:right="0" w:rightChars="0" w:firstLine="0" w:firstLineChars="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lang w:val="en-US" w:eastAsia="zh-CN" w:bidi="ar"/>
              </w:rPr>
              <w:t>3.</w:t>
            </w:r>
            <w:r>
              <w:rPr>
                <w:rFonts w:hint="eastAsia" w:ascii="宋体" w:hAnsi="宋体" w:eastAsia="宋体" w:cs="宋体"/>
                <w:i w:val="0"/>
                <w:iCs w:val="0"/>
                <w:color w:val="000000"/>
                <w:kern w:val="0"/>
                <w:sz w:val="20"/>
                <w:szCs w:val="20"/>
                <w:u w:val="none"/>
                <w:lang w:val="en-US" w:eastAsia="zh-CN" w:bidi="ar"/>
              </w:rPr>
              <w:t>工作场所职业病危害项目申报情况；</w:t>
            </w:r>
          </w:p>
          <w:p w14:paraId="181CE68D">
            <w:pPr>
              <w:keepNext w:val="0"/>
              <w:keepLines w:val="0"/>
              <w:widowControl/>
              <w:numPr>
                <w:ilvl w:val="0"/>
                <w:numId w:val="0"/>
              </w:numPr>
              <w:suppressLineNumbers w:val="0"/>
              <w:snapToGrid w:val="0"/>
              <w:ind w:left="0" w:leftChars="0" w:right="0" w:rightChars="0" w:firstLine="0" w:firstLineChars="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lang w:val="en-US" w:eastAsia="zh-CN" w:bidi="ar"/>
              </w:rPr>
              <w:t>4.</w:t>
            </w:r>
            <w:r>
              <w:rPr>
                <w:rFonts w:hint="eastAsia" w:ascii="宋体" w:hAnsi="宋体" w:eastAsia="宋体" w:cs="宋体"/>
                <w:i w:val="0"/>
                <w:iCs w:val="0"/>
                <w:color w:val="000000"/>
                <w:kern w:val="0"/>
                <w:sz w:val="20"/>
                <w:szCs w:val="20"/>
                <w:u w:val="none"/>
                <w:lang w:val="en-US" w:eastAsia="zh-CN" w:bidi="ar"/>
              </w:rPr>
              <w:t>工作场所职业病危害因素日常监测和定期检测、评价情况；</w:t>
            </w:r>
          </w:p>
          <w:p w14:paraId="76F4499F">
            <w:pPr>
              <w:keepNext w:val="0"/>
              <w:keepLines w:val="0"/>
              <w:widowControl/>
              <w:numPr>
                <w:ilvl w:val="0"/>
                <w:numId w:val="0"/>
              </w:numPr>
              <w:suppressLineNumbers w:val="0"/>
              <w:snapToGrid w:val="0"/>
              <w:ind w:left="0" w:leftChars="0" w:right="0" w:rightChars="0" w:firstLine="0" w:firstLineChars="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lang w:val="en-US" w:eastAsia="zh-CN" w:bidi="ar"/>
              </w:rPr>
              <w:t>5.</w:t>
            </w:r>
            <w:r>
              <w:rPr>
                <w:rFonts w:hint="eastAsia" w:ascii="宋体" w:hAnsi="宋体" w:eastAsia="宋体" w:cs="宋体"/>
                <w:i w:val="0"/>
                <w:iCs w:val="0"/>
                <w:color w:val="000000"/>
                <w:kern w:val="0"/>
                <w:sz w:val="20"/>
                <w:szCs w:val="20"/>
                <w:u w:val="none"/>
                <w:lang w:val="en-US" w:eastAsia="zh-CN" w:bidi="ar"/>
              </w:rPr>
              <w:t>职业病危害告知和警示情况；</w:t>
            </w:r>
          </w:p>
          <w:p w14:paraId="276BA547">
            <w:pPr>
              <w:keepNext w:val="0"/>
              <w:keepLines w:val="0"/>
              <w:widowControl/>
              <w:numPr>
                <w:ilvl w:val="0"/>
                <w:numId w:val="0"/>
              </w:numPr>
              <w:suppressLineNumbers w:val="0"/>
              <w:snapToGrid w:val="0"/>
              <w:ind w:left="0" w:leftChars="0" w:right="0" w:rightChars="0" w:firstLine="0" w:firstLineChars="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lang w:val="en-US" w:eastAsia="zh-CN" w:bidi="ar"/>
              </w:rPr>
              <w:t>6.</w:t>
            </w:r>
            <w:r>
              <w:rPr>
                <w:rFonts w:hint="eastAsia" w:ascii="宋体" w:hAnsi="宋体" w:eastAsia="宋体" w:cs="宋体"/>
                <w:i w:val="0"/>
                <w:iCs w:val="0"/>
                <w:color w:val="000000"/>
                <w:kern w:val="0"/>
                <w:sz w:val="20"/>
                <w:szCs w:val="20"/>
                <w:u w:val="none"/>
                <w:lang w:val="en-US" w:eastAsia="zh-CN" w:bidi="ar"/>
              </w:rPr>
              <w:t>职业病防护设施和个人使用的职业病防护用品配备、使用、管理情况；</w:t>
            </w:r>
          </w:p>
          <w:p w14:paraId="5B6D1B40">
            <w:pPr>
              <w:keepNext w:val="0"/>
              <w:keepLines w:val="0"/>
              <w:widowControl/>
              <w:numPr>
                <w:ilvl w:val="0"/>
                <w:numId w:val="0"/>
              </w:numPr>
              <w:suppressLineNumbers w:val="0"/>
              <w:snapToGrid w:val="0"/>
              <w:ind w:leftChars="0" w:right="0" w:rightChars="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7.职业卫生培训情况；</w:t>
            </w:r>
          </w:p>
          <w:p w14:paraId="62486B56">
            <w:pPr>
              <w:keepNext w:val="0"/>
              <w:keepLines w:val="0"/>
              <w:widowControl/>
              <w:numPr>
                <w:ilvl w:val="0"/>
                <w:numId w:val="0"/>
              </w:numPr>
              <w:suppressLineNumbers w:val="0"/>
              <w:snapToGrid w:val="0"/>
              <w:ind w:left="0" w:leftChars="0" w:right="0" w:rightChars="0" w:firstLine="0" w:firstLineChars="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lang w:val="en-US" w:eastAsia="zh-CN" w:bidi="ar"/>
              </w:rPr>
              <w:t>8.</w:t>
            </w:r>
            <w:r>
              <w:rPr>
                <w:rFonts w:hint="eastAsia" w:ascii="宋体" w:hAnsi="宋体" w:eastAsia="宋体" w:cs="宋体"/>
                <w:i w:val="0"/>
                <w:iCs w:val="0"/>
                <w:color w:val="000000"/>
                <w:kern w:val="0"/>
                <w:sz w:val="20"/>
                <w:szCs w:val="20"/>
                <w:u w:val="none"/>
                <w:lang w:val="en-US" w:eastAsia="zh-CN" w:bidi="ar"/>
              </w:rPr>
              <w:t>劳动者职业健康监护情况；</w:t>
            </w:r>
          </w:p>
          <w:p w14:paraId="7569078E">
            <w:pPr>
              <w:keepNext w:val="0"/>
              <w:keepLines w:val="0"/>
              <w:widowControl/>
              <w:numPr>
                <w:ilvl w:val="0"/>
                <w:numId w:val="0"/>
              </w:numPr>
              <w:suppressLineNumbers w:val="0"/>
              <w:snapToGrid w:val="0"/>
              <w:ind w:left="0" w:leftChars="0" w:right="0" w:rightChars="0" w:firstLine="0" w:firstLineChars="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lang w:val="en-US" w:eastAsia="zh-CN" w:bidi="ar"/>
              </w:rPr>
              <w:t>9.</w:t>
            </w:r>
            <w:r>
              <w:rPr>
                <w:rFonts w:hint="eastAsia" w:ascii="宋体" w:hAnsi="宋体" w:eastAsia="宋体" w:cs="宋体"/>
                <w:i w:val="0"/>
                <w:iCs w:val="0"/>
                <w:color w:val="000000"/>
                <w:kern w:val="0"/>
                <w:sz w:val="20"/>
                <w:szCs w:val="20"/>
                <w:u w:val="none"/>
                <w:lang w:val="en-US" w:eastAsia="zh-CN" w:bidi="ar"/>
              </w:rPr>
              <w:t>职业病病人、疑似职业病病人的报告及处置情况；</w:t>
            </w:r>
          </w:p>
          <w:p w14:paraId="3B0496C6">
            <w:pPr>
              <w:keepNext w:val="0"/>
              <w:keepLines w:val="0"/>
              <w:widowControl/>
              <w:numPr>
                <w:ilvl w:val="0"/>
                <w:numId w:val="0"/>
              </w:numPr>
              <w:suppressLineNumbers w:val="0"/>
              <w:snapToGrid w:val="0"/>
              <w:ind w:left="0" w:leftChars="0" w:right="0" w:rightChars="0" w:firstLine="0" w:firstLineChars="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lang w:val="en-US" w:eastAsia="zh-CN" w:bidi="ar"/>
              </w:rPr>
              <w:t>10.</w:t>
            </w:r>
            <w:r>
              <w:rPr>
                <w:rFonts w:hint="eastAsia" w:ascii="宋体" w:hAnsi="宋体" w:eastAsia="宋体" w:cs="宋体"/>
                <w:i w:val="0"/>
                <w:iCs w:val="0"/>
                <w:color w:val="000000"/>
                <w:kern w:val="0"/>
                <w:sz w:val="20"/>
                <w:szCs w:val="20"/>
                <w:u w:val="none"/>
                <w:lang w:val="en-US" w:eastAsia="zh-CN" w:bidi="ar"/>
              </w:rPr>
              <w:t>产生职业病危害作业的转移（外包）情况；</w:t>
            </w:r>
          </w:p>
          <w:p w14:paraId="45D56331">
            <w:pPr>
              <w:keepNext w:val="0"/>
              <w:keepLines w:val="0"/>
              <w:widowControl/>
              <w:numPr>
                <w:ilvl w:val="0"/>
                <w:numId w:val="0"/>
              </w:numPr>
              <w:suppressLineNumbers w:val="0"/>
              <w:snapToGrid w:val="0"/>
              <w:ind w:left="0" w:leftChars="0" w:right="0" w:rightChars="0" w:firstLine="0" w:firstLineChars="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lang w:val="en-US" w:eastAsia="zh-CN" w:bidi="ar"/>
              </w:rPr>
              <w:t>11.</w:t>
            </w:r>
            <w:r>
              <w:rPr>
                <w:rFonts w:hint="eastAsia" w:ascii="宋体" w:hAnsi="宋体" w:eastAsia="宋体" w:cs="宋体"/>
                <w:i w:val="0"/>
                <w:iCs w:val="0"/>
                <w:color w:val="000000"/>
                <w:kern w:val="0"/>
                <w:sz w:val="20"/>
                <w:szCs w:val="20"/>
                <w:u w:val="none"/>
                <w:lang w:val="en-US" w:eastAsia="zh-CN" w:bidi="ar"/>
              </w:rPr>
              <w:t>急性职业病危害事故处置、报告情况；</w:t>
            </w:r>
          </w:p>
          <w:p w14:paraId="41610B77">
            <w:pPr>
              <w:keepNext w:val="0"/>
              <w:keepLines w:val="0"/>
              <w:widowControl/>
              <w:numPr>
                <w:ilvl w:val="0"/>
                <w:numId w:val="0"/>
              </w:numPr>
              <w:suppressLineNumbers w:val="0"/>
              <w:snapToGrid w:val="0"/>
              <w:ind w:leftChars="0" w:right="0" w:rightChars="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12.涉及放射性职业病危害作业的情况。</w:t>
            </w:r>
          </w:p>
        </w:tc>
      </w:tr>
      <w:tr w14:paraId="467AA48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518" w:hRule="atLeast"/>
          <w:jc w:val="center"/>
        </w:trPr>
        <w:tc>
          <w:tcPr>
            <w:tcW w:w="65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A52C40B">
            <w:pPr>
              <w:snapToGrid w:val="0"/>
              <w:ind w:left="0" w:leftChars="0" w:right="0" w:rightChars="0" w:firstLine="0" w:firstLineChars="0"/>
              <w:jc w:val="center"/>
              <w:rPr>
                <w:rFonts w:hint="eastAsia" w:ascii="宋体" w:hAnsi="宋体" w:eastAsia="宋体" w:cs="宋体"/>
                <w:i w:val="0"/>
                <w:iCs w:val="0"/>
                <w:color w:val="000000"/>
                <w:sz w:val="20"/>
                <w:szCs w:val="20"/>
                <w:u w:val="none"/>
              </w:rPr>
            </w:pPr>
          </w:p>
        </w:tc>
        <w:tc>
          <w:tcPr>
            <w:tcW w:w="111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01AE917">
            <w:pPr>
              <w:snapToGrid w:val="0"/>
              <w:ind w:left="0" w:leftChars="0" w:right="0" w:rightChars="0" w:firstLine="0" w:firstLineChars="0"/>
              <w:jc w:val="center"/>
              <w:rPr>
                <w:rFonts w:hint="eastAsia" w:ascii="宋体" w:hAnsi="宋体" w:eastAsia="宋体" w:cs="宋体"/>
                <w:i w:val="0"/>
                <w:iCs w:val="0"/>
                <w:color w:val="000000"/>
                <w:sz w:val="20"/>
                <w:szCs w:val="20"/>
                <w:u w:val="none"/>
              </w:rPr>
            </w:pPr>
          </w:p>
        </w:tc>
        <w:tc>
          <w:tcPr>
            <w:tcW w:w="150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3AD77B4">
            <w:pPr>
              <w:snapToGrid w:val="0"/>
              <w:ind w:left="0" w:leftChars="0" w:right="0" w:rightChars="0" w:firstLine="0" w:firstLineChars="0"/>
              <w:jc w:val="left"/>
              <w:rPr>
                <w:rFonts w:hint="eastAsia" w:ascii="宋体" w:hAnsi="宋体" w:eastAsia="宋体" w:cs="宋体"/>
                <w:i w:val="0"/>
                <w:iCs w:val="0"/>
                <w:color w:val="000000"/>
                <w:sz w:val="20"/>
                <w:szCs w:val="20"/>
                <w:u w:val="none"/>
              </w:rPr>
            </w:pPr>
          </w:p>
        </w:tc>
        <w:tc>
          <w:tcPr>
            <w:tcW w:w="105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E9D9FF8">
            <w:pPr>
              <w:snapToGrid w:val="0"/>
              <w:ind w:left="0" w:leftChars="0" w:right="0" w:rightChars="0" w:firstLine="0" w:firstLineChars="0"/>
              <w:jc w:val="left"/>
              <w:rPr>
                <w:rFonts w:hint="eastAsia" w:ascii="宋体" w:hAnsi="宋体" w:eastAsia="宋体" w:cs="宋体"/>
                <w:i w:val="0"/>
                <w:iCs w:val="0"/>
                <w:color w:val="000000"/>
                <w:sz w:val="20"/>
                <w:szCs w:val="20"/>
                <w:u w:val="none"/>
              </w:rPr>
            </w:pPr>
          </w:p>
        </w:tc>
        <w:tc>
          <w:tcPr>
            <w:tcW w:w="69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61C5F94">
            <w:pPr>
              <w:snapToGrid w:val="0"/>
              <w:ind w:left="0" w:leftChars="0" w:right="0" w:rightChars="0" w:firstLine="0" w:firstLineChars="0"/>
              <w:jc w:val="left"/>
              <w:rPr>
                <w:rFonts w:hint="eastAsia" w:ascii="宋体" w:hAnsi="宋体" w:eastAsia="宋体" w:cs="宋体"/>
                <w:i w:val="0"/>
                <w:iCs w:val="0"/>
                <w:color w:val="000000"/>
                <w:sz w:val="20"/>
                <w:szCs w:val="20"/>
                <w:u w:val="none"/>
              </w:rPr>
            </w:pPr>
          </w:p>
        </w:tc>
        <w:tc>
          <w:tcPr>
            <w:tcW w:w="117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63F4C8B">
            <w:pPr>
              <w:snapToGrid w:val="0"/>
              <w:ind w:left="0" w:leftChars="0" w:right="0" w:rightChars="0" w:firstLine="0" w:firstLineChars="0"/>
              <w:jc w:val="center"/>
              <w:rPr>
                <w:rFonts w:hint="eastAsia" w:ascii="宋体" w:hAnsi="宋体" w:eastAsia="宋体" w:cs="宋体"/>
                <w:i w:val="0"/>
                <w:iCs w:val="0"/>
                <w:color w:val="000000"/>
                <w:sz w:val="20"/>
                <w:szCs w:val="20"/>
                <w:u w:val="none"/>
              </w:rPr>
            </w:pPr>
          </w:p>
        </w:tc>
        <w:tc>
          <w:tcPr>
            <w:tcW w:w="103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F248C7D">
            <w:pPr>
              <w:snapToGrid w:val="0"/>
              <w:ind w:left="0" w:leftChars="0" w:right="0" w:rightChars="0" w:firstLine="0" w:firstLineChars="0"/>
              <w:jc w:val="center"/>
              <w:rPr>
                <w:rFonts w:hint="eastAsia" w:ascii="宋体" w:hAnsi="宋体" w:eastAsia="宋体" w:cs="宋体"/>
                <w:i w:val="0"/>
                <w:iCs w:val="0"/>
                <w:color w:val="000000"/>
                <w:sz w:val="20"/>
                <w:szCs w:val="20"/>
                <w:u w:val="none"/>
              </w:rPr>
            </w:pPr>
          </w:p>
        </w:tc>
        <w:tc>
          <w:tcPr>
            <w:tcW w:w="7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785B9D7">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配合</w:t>
            </w:r>
          </w:p>
        </w:tc>
        <w:tc>
          <w:tcPr>
            <w:tcW w:w="10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D44F10F">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旗自然资源局</w:t>
            </w:r>
          </w:p>
        </w:tc>
        <w:tc>
          <w:tcPr>
            <w:tcW w:w="21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483E236">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1.煤矿超层越界情况。</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2.露天煤矿临时及永久用地批复情况。</w:t>
            </w:r>
          </w:p>
        </w:tc>
        <w:tc>
          <w:tcPr>
            <w:tcW w:w="443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6A1D139">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1.煤矿超层越界情况；</w:t>
            </w:r>
          </w:p>
          <w:p w14:paraId="695A9297">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2.露天煤矿临时及永久用地批复情况。</w:t>
            </w:r>
          </w:p>
        </w:tc>
      </w:tr>
      <w:tr w14:paraId="03EC05E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55" w:hRule="atLeast"/>
          <w:jc w:val="center"/>
        </w:trPr>
        <w:tc>
          <w:tcPr>
            <w:tcW w:w="656"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02F8DEB7">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w:t>
            </w:r>
          </w:p>
        </w:tc>
        <w:tc>
          <w:tcPr>
            <w:tcW w:w="1114"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0C7287FA">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高危体育项目经营活动管理、安全生产检查</w:t>
            </w:r>
          </w:p>
        </w:tc>
        <w:tc>
          <w:tcPr>
            <w:tcW w:w="150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1C96C3D9">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全旗各类体育项目经营企业、全旗高危险性体育项目和体育经营场所</w:t>
            </w:r>
          </w:p>
        </w:tc>
        <w:tc>
          <w:tcPr>
            <w:tcW w:w="105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54AF747E">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现场检查</w:t>
            </w:r>
          </w:p>
        </w:tc>
        <w:tc>
          <w:tcPr>
            <w:tcW w:w="69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72EA7B51">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旗级</w:t>
            </w:r>
          </w:p>
        </w:tc>
        <w:tc>
          <w:tcPr>
            <w:tcW w:w="117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460C6357">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10%</w:t>
            </w:r>
          </w:p>
        </w:tc>
        <w:tc>
          <w:tcPr>
            <w:tcW w:w="1035"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09CD6E63">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4月-10月</w:t>
            </w:r>
          </w:p>
        </w:tc>
        <w:tc>
          <w:tcPr>
            <w:tcW w:w="7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657FCD7">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牵头</w:t>
            </w:r>
          </w:p>
        </w:tc>
        <w:tc>
          <w:tcPr>
            <w:tcW w:w="10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59BE2BE">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旗教体局</w:t>
            </w:r>
          </w:p>
        </w:tc>
        <w:tc>
          <w:tcPr>
            <w:tcW w:w="21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1225715">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1.具备在有效期限内的经营高危险性体育项目许可证；</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2.公共安全隐患排查和安全预防控制体系健全，工作台账完整；</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3.醒目位置张贴展示安全生产岗位责任制、安全操作规程、体育设施、设备、器材的使用说明、安全检查等制度；</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4.社会体育指导人员和救助人员名录和照片和卫生许可证等</w:t>
            </w:r>
          </w:p>
        </w:tc>
        <w:tc>
          <w:tcPr>
            <w:tcW w:w="443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F38D2CD">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1.具备在有效期限内的经营高危险性体育项目许可证；</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2.公共安全隐患排查和安全预防控制体系健全，工作台账完整；</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3.醒目位置张贴展示安全生产岗位责任制、安全操作规程、体育设施、设备、器材的使用说明、安全检查等制度；</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4.社会体育指导人员救助人员名录和照片和卫生许可证等。</w:t>
            </w:r>
          </w:p>
        </w:tc>
      </w:tr>
      <w:tr w14:paraId="041627B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636" w:hRule="atLeast"/>
          <w:jc w:val="center"/>
        </w:trPr>
        <w:tc>
          <w:tcPr>
            <w:tcW w:w="65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C0E6169">
            <w:pPr>
              <w:snapToGrid w:val="0"/>
              <w:ind w:left="0" w:leftChars="0" w:right="0" w:rightChars="0" w:firstLine="0" w:firstLineChars="0"/>
              <w:jc w:val="center"/>
              <w:rPr>
                <w:rFonts w:hint="eastAsia" w:ascii="宋体" w:hAnsi="宋体" w:eastAsia="宋体" w:cs="宋体"/>
                <w:i w:val="0"/>
                <w:iCs w:val="0"/>
                <w:color w:val="000000"/>
                <w:sz w:val="20"/>
                <w:szCs w:val="20"/>
                <w:u w:val="none"/>
              </w:rPr>
            </w:pPr>
          </w:p>
        </w:tc>
        <w:tc>
          <w:tcPr>
            <w:tcW w:w="111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6C7D9FB">
            <w:pPr>
              <w:snapToGrid w:val="0"/>
              <w:ind w:left="0" w:leftChars="0" w:right="0" w:rightChars="0" w:firstLine="0" w:firstLineChars="0"/>
              <w:jc w:val="center"/>
              <w:rPr>
                <w:rFonts w:hint="eastAsia" w:ascii="宋体" w:hAnsi="宋体" w:eastAsia="宋体" w:cs="宋体"/>
                <w:i w:val="0"/>
                <w:iCs w:val="0"/>
                <w:color w:val="000000"/>
                <w:sz w:val="20"/>
                <w:szCs w:val="20"/>
                <w:u w:val="none"/>
              </w:rPr>
            </w:pPr>
          </w:p>
        </w:tc>
        <w:tc>
          <w:tcPr>
            <w:tcW w:w="150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DFD5DAB">
            <w:pPr>
              <w:snapToGrid w:val="0"/>
              <w:ind w:left="0" w:leftChars="0" w:right="0" w:rightChars="0" w:firstLine="0" w:firstLineChars="0"/>
              <w:jc w:val="left"/>
              <w:rPr>
                <w:rFonts w:hint="eastAsia" w:ascii="宋体" w:hAnsi="宋体" w:eastAsia="宋体" w:cs="宋体"/>
                <w:i w:val="0"/>
                <w:iCs w:val="0"/>
                <w:color w:val="000000"/>
                <w:sz w:val="20"/>
                <w:szCs w:val="20"/>
                <w:u w:val="none"/>
              </w:rPr>
            </w:pPr>
          </w:p>
        </w:tc>
        <w:tc>
          <w:tcPr>
            <w:tcW w:w="105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154B4E6">
            <w:pPr>
              <w:snapToGrid w:val="0"/>
              <w:ind w:left="0" w:leftChars="0" w:right="0" w:rightChars="0" w:firstLine="0" w:firstLineChars="0"/>
              <w:jc w:val="left"/>
              <w:rPr>
                <w:rFonts w:hint="eastAsia" w:ascii="宋体" w:hAnsi="宋体" w:eastAsia="宋体" w:cs="宋体"/>
                <w:i w:val="0"/>
                <w:iCs w:val="0"/>
                <w:color w:val="000000"/>
                <w:sz w:val="20"/>
                <w:szCs w:val="20"/>
                <w:u w:val="none"/>
              </w:rPr>
            </w:pPr>
          </w:p>
        </w:tc>
        <w:tc>
          <w:tcPr>
            <w:tcW w:w="69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91EED8C">
            <w:pPr>
              <w:snapToGrid w:val="0"/>
              <w:ind w:left="0" w:leftChars="0" w:right="0" w:rightChars="0" w:firstLine="0" w:firstLineChars="0"/>
              <w:jc w:val="left"/>
              <w:rPr>
                <w:rFonts w:hint="eastAsia" w:ascii="宋体" w:hAnsi="宋体" w:eastAsia="宋体" w:cs="宋体"/>
                <w:i w:val="0"/>
                <w:iCs w:val="0"/>
                <w:color w:val="000000"/>
                <w:sz w:val="20"/>
                <w:szCs w:val="20"/>
                <w:u w:val="none"/>
              </w:rPr>
            </w:pPr>
          </w:p>
        </w:tc>
        <w:tc>
          <w:tcPr>
            <w:tcW w:w="117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0ABB38F">
            <w:pPr>
              <w:snapToGrid w:val="0"/>
              <w:ind w:left="0" w:leftChars="0" w:right="0" w:rightChars="0" w:firstLine="0" w:firstLineChars="0"/>
              <w:jc w:val="center"/>
              <w:rPr>
                <w:rFonts w:hint="eastAsia" w:ascii="宋体" w:hAnsi="宋体" w:eastAsia="宋体" w:cs="宋体"/>
                <w:i w:val="0"/>
                <w:iCs w:val="0"/>
                <w:color w:val="000000"/>
                <w:sz w:val="20"/>
                <w:szCs w:val="20"/>
                <w:u w:val="none"/>
              </w:rPr>
            </w:pPr>
          </w:p>
        </w:tc>
        <w:tc>
          <w:tcPr>
            <w:tcW w:w="103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752D0E0">
            <w:pPr>
              <w:snapToGrid w:val="0"/>
              <w:ind w:left="0" w:leftChars="0" w:right="0" w:rightChars="0" w:firstLine="0" w:firstLineChars="0"/>
              <w:jc w:val="center"/>
              <w:rPr>
                <w:rFonts w:hint="eastAsia" w:ascii="宋体" w:hAnsi="宋体" w:eastAsia="宋体" w:cs="宋体"/>
                <w:i w:val="0"/>
                <w:iCs w:val="0"/>
                <w:color w:val="000000"/>
                <w:sz w:val="20"/>
                <w:szCs w:val="20"/>
                <w:u w:val="none"/>
              </w:rPr>
            </w:pPr>
          </w:p>
        </w:tc>
        <w:tc>
          <w:tcPr>
            <w:tcW w:w="7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25808EB">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配合</w:t>
            </w:r>
          </w:p>
        </w:tc>
        <w:tc>
          <w:tcPr>
            <w:tcW w:w="10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27C9AFB">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旗卫健委</w:t>
            </w:r>
          </w:p>
        </w:tc>
        <w:tc>
          <w:tcPr>
            <w:tcW w:w="21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A1FFA82">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公共场所卫生监督检查</w:t>
            </w:r>
          </w:p>
        </w:tc>
        <w:tc>
          <w:tcPr>
            <w:tcW w:w="443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1ED2CA0">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设置卫生管理部门或人员情况、建立卫生管理档案情况、从业人员健康体检情况、设置禁止吸烟警语标志情况，禁游标识情况、对空气、水质、顾客用品用具等进行卫生检测情况、公示卫生许可证、卫生信誉度等级和卫生检测信息情况、对顾客用品用具进行清洗、消毒、保洁情况、实施卫生监督量化分级管理情况、建立集中空调通风系统卫生档案情况、开展集中空调通风系统卫生检测情况、开展集中空调通风系统清洗消毒情况。（游泳场所）</w:t>
            </w:r>
          </w:p>
        </w:tc>
      </w:tr>
      <w:tr w14:paraId="7C13564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963" w:hRule="atLeast"/>
          <w:jc w:val="center"/>
        </w:trPr>
        <w:tc>
          <w:tcPr>
            <w:tcW w:w="65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AE99ACE">
            <w:pPr>
              <w:snapToGrid w:val="0"/>
              <w:ind w:left="0" w:leftChars="0" w:right="0" w:rightChars="0" w:firstLine="0" w:firstLineChars="0"/>
              <w:jc w:val="center"/>
              <w:rPr>
                <w:rFonts w:hint="eastAsia" w:ascii="宋体" w:hAnsi="宋体" w:eastAsia="宋体" w:cs="宋体"/>
                <w:i w:val="0"/>
                <w:iCs w:val="0"/>
                <w:color w:val="000000"/>
                <w:sz w:val="20"/>
                <w:szCs w:val="20"/>
                <w:u w:val="none"/>
              </w:rPr>
            </w:pPr>
          </w:p>
        </w:tc>
        <w:tc>
          <w:tcPr>
            <w:tcW w:w="111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6D268E6">
            <w:pPr>
              <w:snapToGrid w:val="0"/>
              <w:ind w:left="0" w:leftChars="0" w:right="0" w:rightChars="0" w:firstLine="0" w:firstLineChars="0"/>
              <w:jc w:val="center"/>
              <w:rPr>
                <w:rFonts w:hint="eastAsia" w:ascii="宋体" w:hAnsi="宋体" w:eastAsia="宋体" w:cs="宋体"/>
                <w:i w:val="0"/>
                <w:iCs w:val="0"/>
                <w:color w:val="000000"/>
                <w:sz w:val="20"/>
                <w:szCs w:val="20"/>
                <w:u w:val="none"/>
              </w:rPr>
            </w:pPr>
          </w:p>
        </w:tc>
        <w:tc>
          <w:tcPr>
            <w:tcW w:w="150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ECF8522">
            <w:pPr>
              <w:snapToGrid w:val="0"/>
              <w:ind w:left="0" w:leftChars="0" w:right="0" w:rightChars="0" w:firstLine="0" w:firstLineChars="0"/>
              <w:jc w:val="left"/>
              <w:rPr>
                <w:rFonts w:hint="eastAsia" w:ascii="宋体" w:hAnsi="宋体" w:eastAsia="宋体" w:cs="宋体"/>
                <w:i w:val="0"/>
                <w:iCs w:val="0"/>
                <w:color w:val="000000"/>
                <w:sz w:val="20"/>
                <w:szCs w:val="20"/>
                <w:u w:val="none"/>
              </w:rPr>
            </w:pPr>
          </w:p>
        </w:tc>
        <w:tc>
          <w:tcPr>
            <w:tcW w:w="105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AF3A62F">
            <w:pPr>
              <w:snapToGrid w:val="0"/>
              <w:ind w:left="0" w:leftChars="0" w:right="0" w:rightChars="0" w:firstLine="0" w:firstLineChars="0"/>
              <w:jc w:val="left"/>
              <w:rPr>
                <w:rFonts w:hint="eastAsia" w:ascii="宋体" w:hAnsi="宋体" w:eastAsia="宋体" w:cs="宋体"/>
                <w:i w:val="0"/>
                <w:iCs w:val="0"/>
                <w:color w:val="000000"/>
                <w:sz w:val="20"/>
                <w:szCs w:val="20"/>
                <w:u w:val="none"/>
              </w:rPr>
            </w:pPr>
          </w:p>
        </w:tc>
        <w:tc>
          <w:tcPr>
            <w:tcW w:w="69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868BB8F">
            <w:pPr>
              <w:snapToGrid w:val="0"/>
              <w:ind w:left="0" w:leftChars="0" w:right="0" w:rightChars="0" w:firstLine="0" w:firstLineChars="0"/>
              <w:jc w:val="left"/>
              <w:rPr>
                <w:rFonts w:hint="eastAsia" w:ascii="宋体" w:hAnsi="宋体" w:eastAsia="宋体" w:cs="宋体"/>
                <w:i w:val="0"/>
                <w:iCs w:val="0"/>
                <w:color w:val="000000"/>
                <w:sz w:val="20"/>
                <w:szCs w:val="20"/>
                <w:u w:val="none"/>
              </w:rPr>
            </w:pPr>
          </w:p>
        </w:tc>
        <w:tc>
          <w:tcPr>
            <w:tcW w:w="117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8733ED4">
            <w:pPr>
              <w:snapToGrid w:val="0"/>
              <w:ind w:left="0" w:leftChars="0" w:right="0" w:rightChars="0" w:firstLine="0" w:firstLineChars="0"/>
              <w:jc w:val="center"/>
              <w:rPr>
                <w:rFonts w:hint="eastAsia" w:ascii="宋体" w:hAnsi="宋体" w:eastAsia="宋体" w:cs="宋体"/>
                <w:i w:val="0"/>
                <w:iCs w:val="0"/>
                <w:color w:val="000000"/>
                <w:sz w:val="20"/>
                <w:szCs w:val="20"/>
                <w:u w:val="none"/>
              </w:rPr>
            </w:pPr>
          </w:p>
        </w:tc>
        <w:tc>
          <w:tcPr>
            <w:tcW w:w="103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64FF297">
            <w:pPr>
              <w:snapToGrid w:val="0"/>
              <w:ind w:left="0" w:leftChars="0" w:right="0" w:rightChars="0" w:firstLine="0" w:firstLineChars="0"/>
              <w:jc w:val="center"/>
              <w:rPr>
                <w:rFonts w:hint="eastAsia" w:ascii="宋体" w:hAnsi="宋体" w:eastAsia="宋体" w:cs="宋体"/>
                <w:i w:val="0"/>
                <w:iCs w:val="0"/>
                <w:color w:val="000000"/>
                <w:sz w:val="20"/>
                <w:szCs w:val="20"/>
                <w:u w:val="none"/>
              </w:rPr>
            </w:pPr>
          </w:p>
        </w:tc>
        <w:tc>
          <w:tcPr>
            <w:tcW w:w="7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B8857DE">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配合</w:t>
            </w:r>
          </w:p>
        </w:tc>
        <w:tc>
          <w:tcPr>
            <w:tcW w:w="10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A443955">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旗住建局</w:t>
            </w:r>
          </w:p>
        </w:tc>
        <w:tc>
          <w:tcPr>
            <w:tcW w:w="21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3B40D41">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房屋建筑和市政工程建筑工程质量执法检查</w:t>
            </w:r>
          </w:p>
        </w:tc>
        <w:tc>
          <w:tcPr>
            <w:tcW w:w="443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556A6D5">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涉及公共安全的自建房，老旧厂房改造的体育场馆、公众聚集场所开展隐患排查。</w:t>
            </w:r>
          </w:p>
        </w:tc>
      </w:tr>
      <w:tr w14:paraId="248C0E0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175" w:hRule="atLeast"/>
          <w:jc w:val="center"/>
        </w:trPr>
        <w:tc>
          <w:tcPr>
            <w:tcW w:w="656"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594EC859">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4</w:t>
            </w:r>
          </w:p>
        </w:tc>
        <w:tc>
          <w:tcPr>
            <w:tcW w:w="1114"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3012B30F">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医疗机构的监督检查</w:t>
            </w:r>
          </w:p>
        </w:tc>
        <w:tc>
          <w:tcPr>
            <w:tcW w:w="150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1D907A84">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全旗一级以上医疗机构</w:t>
            </w:r>
          </w:p>
        </w:tc>
        <w:tc>
          <w:tcPr>
            <w:tcW w:w="105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638EB18C">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现场检查</w:t>
            </w:r>
          </w:p>
        </w:tc>
        <w:tc>
          <w:tcPr>
            <w:tcW w:w="69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6E01EC76">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旗级</w:t>
            </w:r>
          </w:p>
        </w:tc>
        <w:tc>
          <w:tcPr>
            <w:tcW w:w="117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1512744A">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10%</w:t>
            </w:r>
          </w:p>
        </w:tc>
        <w:tc>
          <w:tcPr>
            <w:tcW w:w="1035"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3453DE19">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5月-10月</w:t>
            </w:r>
          </w:p>
        </w:tc>
        <w:tc>
          <w:tcPr>
            <w:tcW w:w="7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2C941DD">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牵头部门</w:t>
            </w:r>
          </w:p>
        </w:tc>
        <w:tc>
          <w:tcPr>
            <w:tcW w:w="10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21EBD2E">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旗卫健委</w:t>
            </w:r>
          </w:p>
        </w:tc>
        <w:tc>
          <w:tcPr>
            <w:tcW w:w="21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FFEC762">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1.医疗机构资质管理情况；</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2.卫生技术人员管理情况；</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3.医疗技术、母婴保健技术等管理情况；</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4.医疗文书管理情况；                                                                        5.传染病防治工作开展情况；</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 xml:space="preserve">6.放射诊疗机构射线防护情况                                                                       </w:t>
            </w:r>
          </w:p>
        </w:tc>
        <w:tc>
          <w:tcPr>
            <w:tcW w:w="443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F03062D">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医疗机构执业许可证》《中医诊所备案证》及年度校验情况；执业人员持有《医师资格证书》和《医师执业证书》并按照其核准登记的诊疗科目开展诊疗活动情况：出租出借《医疗机构执业许可证》、出租承包科室、超范围开展诊疗活动及聘用非卫生技术人员情况、本机构医疗技术开展及备案情况，医疗技术临床应用管理制度建立情况；医疗机构和人员取得母婴保健技术许可情况；医疗文书管理情况；预防接种、传染病疫情报告、传染病疫情控制措施、消毒隔离措施落实、医疗废物处置、病原微生物实验室生物安全管理等传染病防治工作开展情况。放射卫生：（一）执行法律法规、规章、标准和规范等情况；（二）放射诊疗规章制度和工作人员岗位责任制等制度的落实情况；（三）健康监护制度和防护措施的落实情况；（四）放射事件调查处理和报告情况。</w:t>
            </w:r>
          </w:p>
        </w:tc>
      </w:tr>
      <w:tr w14:paraId="3F86AB6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68" w:hRule="atLeast"/>
          <w:jc w:val="center"/>
        </w:trPr>
        <w:tc>
          <w:tcPr>
            <w:tcW w:w="65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66493DA">
            <w:pPr>
              <w:snapToGrid w:val="0"/>
              <w:ind w:left="0" w:leftChars="0" w:right="0" w:rightChars="0" w:firstLine="0" w:firstLineChars="0"/>
              <w:jc w:val="center"/>
              <w:rPr>
                <w:rFonts w:hint="eastAsia" w:ascii="宋体" w:hAnsi="宋体" w:eastAsia="宋体" w:cs="宋体"/>
                <w:i w:val="0"/>
                <w:iCs w:val="0"/>
                <w:color w:val="000000"/>
                <w:sz w:val="20"/>
                <w:szCs w:val="20"/>
                <w:u w:val="none"/>
              </w:rPr>
            </w:pPr>
          </w:p>
        </w:tc>
        <w:tc>
          <w:tcPr>
            <w:tcW w:w="111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7673592">
            <w:pPr>
              <w:snapToGrid w:val="0"/>
              <w:ind w:left="0" w:leftChars="0" w:right="0" w:rightChars="0" w:firstLine="0" w:firstLineChars="0"/>
              <w:jc w:val="center"/>
              <w:rPr>
                <w:rFonts w:hint="eastAsia" w:ascii="宋体" w:hAnsi="宋体" w:eastAsia="宋体" w:cs="宋体"/>
                <w:i w:val="0"/>
                <w:iCs w:val="0"/>
                <w:color w:val="000000"/>
                <w:sz w:val="20"/>
                <w:szCs w:val="20"/>
                <w:u w:val="none"/>
              </w:rPr>
            </w:pPr>
          </w:p>
        </w:tc>
        <w:tc>
          <w:tcPr>
            <w:tcW w:w="150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82AA0D4">
            <w:pPr>
              <w:snapToGrid w:val="0"/>
              <w:ind w:left="0" w:leftChars="0" w:right="0" w:rightChars="0" w:firstLine="0" w:firstLineChars="0"/>
              <w:jc w:val="left"/>
              <w:rPr>
                <w:rFonts w:hint="eastAsia" w:ascii="宋体" w:hAnsi="宋体" w:eastAsia="宋体" w:cs="宋体"/>
                <w:i w:val="0"/>
                <w:iCs w:val="0"/>
                <w:color w:val="000000"/>
                <w:sz w:val="20"/>
                <w:szCs w:val="20"/>
                <w:u w:val="none"/>
              </w:rPr>
            </w:pPr>
          </w:p>
        </w:tc>
        <w:tc>
          <w:tcPr>
            <w:tcW w:w="105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00AAEAE">
            <w:pPr>
              <w:snapToGrid w:val="0"/>
              <w:ind w:left="0" w:leftChars="0" w:right="0" w:rightChars="0" w:firstLine="0" w:firstLineChars="0"/>
              <w:jc w:val="left"/>
              <w:rPr>
                <w:rFonts w:hint="eastAsia" w:ascii="宋体" w:hAnsi="宋体" w:eastAsia="宋体" w:cs="宋体"/>
                <w:i w:val="0"/>
                <w:iCs w:val="0"/>
                <w:color w:val="000000"/>
                <w:sz w:val="20"/>
                <w:szCs w:val="20"/>
                <w:u w:val="none"/>
              </w:rPr>
            </w:pPr>
          </w:p>
        </w:tc>
        <w:tc>
          <w:tcPr>
            <w:tcW w:w="69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2089702">
            <w:pPr>
              <w:snapToGrid w:val="0"/>
              <w:ind w:left="0" w:leftChars="0" w:right="0" w:rightChars="0" w:firstLine="0" w:firstLineChars="0"/>
              <w:jc w:val="left"/>
              <w:rPr>
                <w:rFonts w:hint="eastAsia" w:ascii="宋体" w:hAnsi="宋体" w:eastAsia="宋体" w:cs="宋体"/>
                <w:i w:val="0"/>
                <w:iCs w:val="0"/>
                <w:color w:val="000000"/>
                <w:sz w:val="20"/>
                <w:szCs w:val="20"/>
                <w:u w:val="none"/>
              </w:rPr>
            </w:pPr>
          </w:p>
        </w:tc>
        <w:tc>
          <w:tcPr>
            <w:tcW w:w="117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BB3C705">
            <w:pPr>
              <w:snapToGrid w:val="0"/>
              <w:ind w:left="0" w:leftChars="0" w:right="0" w:rightChars="0" w:firstLine="0" w:firstLineChars="0"/>
              <w:jc w:val="center"/>
              <w:rPr>
                <w:rFonts w:hint="eastAsia" w:ascii="宋体" w:hAnsi="宋体" w:eastAsia="宋体" w:cs="宋体"/>
                <w:i w:val="0"/>
                <w:iCs w:val="0"/>
                <w:color w:val="000000"/>
                <w:sz w:val="20"/>
                <w:szCs w:val="20"/>
                <w:u w:val="none"/>
              </w:rPr>
            </w:pPr>
          </w:p>
        </w:tc>
        <w:tc>
          <w:tcPr>
            <w:tcW w:w="103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32EB507">
            <w:pPr>
              <w:snapToGrid w:val="0"/>
              <w:ind w:left="0" w:leftChars="0" w:right="0" w:rightChars="0" w:firstLine="0" w:firstLineChars="0"/>
              <w:jc w:val="center"/>
              <w:rPr>
                <w:rFonts w:hint="eastAsia" w:ascii="宋体" w:hAnsi="宋体" w:eastAsia="宋体" w:cs="宋体"/>
                <w:i w:val="0"/>
                <w:iCs w:val="0"/>
                <w:color w:val="000000"/>
                <w:sz w:val="20"/>
                <w:szCs w:val="20"/>
                <w:u w:val="none"/>
              </w:rPr>
            </w:pPr>
          </w:p>
        </w:tc>
        <w:tc>
          <w:tcPr>
            <w:tcW w:w="7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6DC6498">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配合</w:t>
            </w:r>
          </w:p>
        </w:tc>
        <w:tc>
          <w:tcPr>
            <w:tcW w:w="10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55D1DAA">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旗医保局</w:t>
            </w:r>
          </w:p>
        </w:tc>
        <w:tc>
          <w:tcPr>
            <w:tcW w:w="21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B8E5C31">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对签订服务协议的医疗机构监督管理</w:t>
            </w:r>
          </w:p>
        </w:tc>
        <w:tc>
          <w:tcPr>
            <w:tcW w:w="443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38F3828">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对签订服务协议的医疗机构、零售药店的监督管理。</w:t>
            </w:r>
          </w:p>
        </w:tc>
      </w:tr>
      <w:tr w14:paraId="1E22AFB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870" w:hRule="atLeast"/>
          <w:jc w:val="center"/>
        </w:trPr>
        <w:tc>
          <w:tcPr>
            <w:tcW w:w="65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819A44B">
            <w:pPr>
              <w:snapToGrid w:val="0"/>
              <w:ind w:left="0" w:leftChars="0" w:right="0" w:rightChars="0" w:firstLine="0" w:firstLineChars="0"/>
              <w:jc w:val="center"/>
              <w:rPr>
                <w:rFonts w:hint="eastAsia" w:ascii="宋体" w:hAnsi="宋体" w:eastAsia="宋体" w:cs="宋体"/>
                <w:i w:val="0"/>
                <w:iCs w:val="0"/>
                <w:color w:val="000000"/>
                <w:sz w:val="20"/>
                <w:szCs w:val="20"/>
                <w:u w:val="none"/>
              </w:rPr>
            </w:pPr>
          </w:p>
        </w:tc>
        <w:tc>
          <w:tcPr>
            <w:tcW w:w="111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EFDC69F">
            <w:pPr>
              <w:snapToGrid w:val="0"/>
              <w:ind w:left="0" w:leftChars="0" w:right="0" w:rightChars="0" w:firstLine="0" w:firstLineChars="0"/>
              <w:jc w:val="center"/>
              <w:rPr>
                <w:rFonts w:hint="eastAsia" w:ascii="宋体" w:hAnsi="宋体" w:eastAsia="宋体" w:cs="宋体"/>
                <w:i w:val="0"/>
                <w:iCs w:val="0"/>
                <w:color w:val="000000"/>
                <w:sz w:val="20"/>
                <w:szCs w:val="20"/>
                <w:u w:val="none"/>
              </w:rPr>
            </w:pPr>
          </w:p>
        </w:tc>
        <w:tc>
          <w:tcPr>
            <w:tcW w:w="150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DC316E3">
            <w:pPr>
              <w:snapToGrid w:val="0"/>
              <w:ind w:left="0" w:leftChars="0" w:right="0" w:rightChars="0" w:firstLine="0" w:firstLineChars="0"/>
              <w:jc w:val="left"/>
              <w:rPr>
                <w:rFonts w:hint="eastAsia" w:ascii="宋体" w:hAnsi="宋体" w:eastAsia="宋体" w:cs="宋体"/>
                <w:i w:val="0"/>
                <w:iCs w:val="0"/>
                <w:color w:val="000000"/>
                <w:sz w:val="20"/>
                <w:szCs w:val="20"/>
                <w:u w:val="none"/>
              </w:rPr>
            </w:pPr>
          </w:p>
        </w:tc>
        <w:tc>
          <w:tcPr>
            <w:tcW w:w="105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A5D41F1">
            <w:pPr>
              <w:snapToGrid w:val="0"/>
              <w:ind w:left="0" w:leftChars="0" w:right="0" w:rightChars="0" w:firstLine="0" w:firstLineChars="0"/>
              <w:jc w:val="left"/>
              <w:rPr>
                <w:rFonts w:hint="eastAsia" w:ascii="宋体" w:hAnsi="宋体" w:eastAsia="宋体" w:cs="宋体"/>
                <w:i w:val="0"/>
                <w:iCs w:val="0"/>
                <w:color w:val="000000"/>
                <w:sz w:val="20"/>
                <w:szCs w:val="20"/>
                <w:u w:val="none"/>
              </w:rPr>
            </w:pPr>
          </w:p>
        </w:tc>
        <w:tc>
          <w:tcPr>
            <w:tcW w:w="69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EE08E6C">
            <w:pPr>
              <w:snapToGrid w:val="0"/>
              <w:ind w:left="0" w:leftChars="0" w:right="0" w:rightChars="0" w:firstLine="0" w:firstLineChars="0"/>
              <w:jc w:val="left"/>
              <w:rPr>
                <w:rFonts w:hint="eastAsia" w:ascii="宋体" w:hAnsi="宋体" w:eastAsia="宋体" w:cs="宋体"/>
                <w:i w:val="0"/>
                <w:iCs w:val="0"/>
                <w:color w:val="000000"/>
                <w:sz w:val="20"/>
                <w:szCs w:val="20"/>
                <w:u w:val="none"/>
              </w:rPr>
            </w:pPr>
          </w:p>
        </w:tc>
        <w:tc>
          <w:tcPr>
            <w:tcW w:w="117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03CA990">
            <w:pPr>
              <w:snapToGrid w:val="0"/>
              <w:ind w:left="0" w:leftChars="0" w:right="0" w:rightChars="0" w:firstLine="0" w:firstLineChars="0"/>
              <w:jc w:val="center"/>
              <w:rPr>
                <w:rFonts w:hint="eastAsia" w:ascii="宋体" w:hAnsi="宋体" w:eastAsia="宋体" w:cs="宋体"/>
                <w:i w:val="0"/>
                <w:iCs w:val="0"/>
                <w:color w:val="000000"/>
                <w:sz w:val="20"/>
                <w:szCs w:val="20"/>
                <w:u w:val="none"/>
              </w:rPr>
            </w:pPr>
          </w:p>
        </w:tc>
        <w:tc>
          <w:tcPr>
            <w:tcW w:w="103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B5B20CD">
            <w:pPr>
              <w:snapToGrid w:val="0"/>
              <w:ind w:left="0" w:leftChars="0" w:right="0" w:rightChars="0" w:firstLine="0" w:firstLineChars="0"/>
              <w:jc w:val="center"/>
              <w:rPr>
                <w:rFonts w:hint="eastAsia" w:ascii="宋体" w:hAnsi="宋体" w:eastAsia="宋体" w:cs="宋体"/>
                <w:i w:val="0"/>
                <w:iCs w:val="0"/>
                <w:color w:val="000000"/>
                <w:sz w:val="20"/>
                <w:szCs w:val="20"/>
                <w:u w:val="none"/>
              </w:rPr>
            </w:pPr>
          </w:p>
        </w:tc>
        <w:tc>
          <w:tcPr>
            <w:tcW w:w="7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AC3A104">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配合</w:t>
            </w:r>
          </w:p>
        </w:tc>
        <w:tc>
          <w:tcPr>
            <w:tcW w:w="10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39C05C6">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市生态环境局准格尔旗分局</w:t>
            </w:r>
          </w:p>
        </w:tc>
        <w:tc>
          <w:tcPr>
            <w:tcW w:w="21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F678911">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1.对医用电子直线加速器、医用治疗X射线机、数字减影血管造影X射线装置（DSA）以及Ⅲ类医用射线装置的使用程序及场所进行技术监督检查；</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2.对医疗废物收集、运送、贮存、处置活动中的环境污染防治情况进行检查；</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3.对医疗废水自动监测设施的检查</w:t>
            </w:r>
          </w:p>
        </w:tc>
        <w:tc>
          <w:tcPr>
            <w:tcW w:w="443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FD8D98F">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 射线装置基本信息；</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 辐射安全防护设施与运行情况；</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3. 核与辐射相关法律法规执行情况；</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4. 管理制度及执行情况</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5.对医疗机构产生的医疗拉结的收集环节、运输环节、贮存环节、 处置环节、相关管理制度、内部监督检查、公众投诉与应急处理、医疗垃圾的档案管理以及相关法律法规的执行情况进行检查</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 xml:space="preserve">6.医疗废水自动监测设备的安装、联网及验收情况； </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 xml:space="preserve">7.医疗废水自动监测设施运行使用情况； </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8.医疗废水排口规范化建设及第三方规范化运营情况</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9.医疗废水污染物排放情况；</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10.医疗废水自动监测设施是否存在人为数据造假情况或逃避监管的排污情况。</w:t>
            </w:r>
          </w:p>
        </w:tc>
      </w:tr>
      <w:tr w14:paraId="0D47EF2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761" w:hRule="atLeast"/>
          <w:jc w:val="center"/>
        </w:trPr>
        <w:tc>
          <w:tcPr>
            <w:tcW w:w="65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6D9CBD1">
            <w:pPr>
              <w:snapToGrid w:val="0"/>
              <w:ind w:left="0" w:leftChars="0" w:right="0" w:rightChars="0" w:firstLine="0" w:firstLineChars="0"/>
              <w:jc w:val="center"/>
              <w:rPr>
                <w:rFonts w:hint="eastAsia" w:ascii="宋体" w:hAnsi="宋体" w:eastAsia="宋体" w:cs="宋体"/>
                <w:i w:val="0"/>
                <w:iCs w:val="0"/>
                <w:color w:val="000000"/>
                <w:sz w:val="20"/>
                <w:szCs w:val="20"/>
                <w:u w:val="none"/>
              </w:rPr>
            </w:pPr>
          </w:p>
        </w:tc>
        <w:tc>
          <w:tcPr>
            <w:tcW w:w="111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BF3CBA4">
            <w:pPr>
              <w:snapToGrid w:val="0"/>
              <w:ind w:left="0" w:leftChars="0" w:right="0" w:rightChars="0" w:firstLine="0" w:firstLineChars="0"/>
              <w:jc w:val="center"/>
              <w:rPr>
                <w:rFonts w:hint="eastAsia" w:ascii="宋体" w:hAnsi="宋体" w:eastAsia="宋体" w:cs="宋体"/>
                <w:i w:val="0"/>
                <w:iCs w:val="0"/>
                <w:color w:val="000000"/>
                <w:sz w:val="20"/>
                <w:szCs w:val="20"/>
                <w:u w:val="none"/>
              </w:rPr>
            </w:pPr>
          </w:p>
        </w:tc>
        <w:tc>
          <w:tcPr>
            <w:tcW w:w="150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35423BC">
            <w:pPr>
              <w:snapToGrid w:val="0"/>
              <w:ind w:left="0" w:leftChars="0" w:right="0" w:rightChars="0" w:firstLine="0" w:firstLineChars="0"/>
              <w:jc w:val="left"/>
              <w:rPr>
                <w:rFonts w:hint="eastAsia" w:ascii="宋体" w:hAnsi="宋体" w:eastAsia="宋体" w:cs="宋体"/>
                <w:i w:val="0"/>
                <w:iCs w:val="0"/>
                <w:color w:val="000000"/>
                <w:sz w:val="20"/>
                <w:szCs w:val="20"/>
                <w:u w:val="none"/>
              </w:rPr>
            </w:pPr>
          </w:p>
        </w:tc>
        <w:tc>
          <w:tcPr>
            <w:tcW w:w="105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D394F1D">
            <w:pPr>
              <w:snapToGrid w:val="0"/>
              <w:ind w:left="0" w:leftChars="0" w:right="0" w:rightChars="0" w:firstLine="0" w:firstLineChars="0"/>
              <w:jc w:val="left"/>
              <w:rPr>
                <w:rFonts w:hint="eastAsia" w:ascii="宋体" w:hAnsi="宋体" w:eastAsia="宋体" w:cs="宋体"/>
                <w:i w:val="0"/>
                <w:iCs w:val="0"/>
                <w:color w:val="000000"/>
                <w:sz w:val="20"/>
                <w:szCs w:val="20"/>
                <w:u w:val="none"/>
              </w:rPr>
            </w:pPr>
          </w:p>
        </w:tc>
        <w:tc>
          <w:tcPr>
            <w:tcW w:w="69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3C501DF">
            <w:pPr>
              <w:snapToGrid w:val="0"/>
              <w:ind w:left="0" w:leftChars="0" w:right="0" w:rightChars="0" w:firstLine="0" w:firstLineChars="0"/>
              <w:jc w:val="left"/>
              <w:rPr>
                <w:rFonts w:hint="eastAsia" w:ascii="宋体" w:hAnsi="宋体" w:eastAsia="宋体" w:cs="宋体"/>
                <w:i w:val="0"/>
                <w:iCs w:val="0"/>
                <w:color w:val="000000"/>
                <w:sz w:val="20"/>
                <w:szCs w:val="20"/>
                <w:u w:val="none"/>
              </w:rPr>
            </w:pPr>
          </w:p>
        </w:tc>
        <w:tc>
          <w:tcPr>
            <w:tcW w:w="117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B789226">
            <w:pPr>
              <w:snapToGrid w:val="0"/>
              <w:ind w:left="0" w:leftChars="0" w:right="0" w:rightChars="0" w:firstLine="0" w:firstLineChars="0"/>
              <w:jc w:val="center"/>
              <w:rPr>
                <w:rFonts w:hint="eastAsia" w:ascii="宋体" w:hAnsi="宋体" w:eastAsia="宋体" w:cs="宋体"/>
                <w:i w:val="0"/>
                <w:iCs w:val="0"/>
                <w:color w:val="000000"/>
                <w:sz w:val="20"/>
                <w:szCs w:val="20"/>
                <w:u w:val="none"/>
              </w:rPr>
            </w:pPr>
          </w:p>
        </w:tc>
        <w:tc>
          <w:tcPr>
            <w:tcW w:w="103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901B2F1">
            <w:pPr>
              <w:snapToGrid w:val="0"/>
              <w:ind w:left="0" w:leftChars="0" w:right="0" w:rightChars="0" w:firstLine="0" w:firstLineChars="0"/>
              <w:jc w:val="center"/>
              <w:rPr>
                <w:rFonts w:hint="eastAsia" w:ascii="宋体" w:hAnsi="宋体" w:eastAsia="宋体" w:cs="宋体"/>
                <w:i w:val="0"/>
                <w:iCs w:val="0"/>
                <w:color w:val="000000"/>
                <w:sz w:val="20"/>
                <w:szCs w:val="20"/>
                <w:u w:val="none"/>
              </w:rPr>
            </w:pPr>
          </w:p>
        </w:tc>
        <w:tc>
          <w:tcPr>
            <w:tcW w:w="7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DC87C1C">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配合</w:t>
            </w:r>
          </w:p>
        </w:tc>
        <w:tc>
          <w:tcPr>
            <w:tcW w:w="10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38A09BF">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旗市场监督管理局</w:t>
            </w:r>
          </w:p>
        </w:tc>
        <w:tc>
          <w:tcPr>
            <w:tcW w:w="21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9D86D2A">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对价格、药品、医疗器械经营监督检查</w:t>
            </w:r>
          </w:p>
        </w:tc>
        <w:tc>
          <w:tcPr>
            <w:tcW w:w="443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5B411A6">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执行政府定价、政府指导价情况，明码标价情况及其他价格行为的检查。对药品经营行为、药品陈列、药品储存等行为的检查。对医疗器械供货资质、采购验收、储运管理、销售管理等行为的检查。</w:t>
            </w:r>
          </w:p>
        </w:tc>
      </w:tr>
      <w:tr w14:paraId="2FF6A97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8533" w:hRule="atLeast"/>
          <w:jc w:val="center"/>
        </w:trPr>
        <w:tc>
          <w:tcPr>
            <w:tcW w:w="656" w:type="dxa"/>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196CB65">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5</w:t>
            </w:r>
          </w:p>
        </w:tc>
        <w:tc>
          <w:tcPr>
            <w:tcW w:w="1114"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30FB1840">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托育机构安全检查</w:t>
            </w:r>
          </w:p>
        </w:tc>
        <w:tc>
          <w:tcPr>
            <w:tcW w:w="150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6A5F5959">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全市托育机构及托幼一体化机构</w:t>
            </w:r>
          </w:p>
        </w:tc>
        <w:tc>
          <w:tcPr>
            <w:tcW w:w="105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3CD6309B">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实地核查、监督检查</w:t>
            </w:r>
          </w:p>
        </w:tc>
        <w:tc>
          <w:tcPr>
            <w:tcW w:w="690" w:type="dxa"/>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AA6E58A">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旗级</w:t>
            </w:r>
          </w:p>
        </w:tc>
        <w:tc>
          <w:tcPr>
            <w:tcW w:w="1170" w:type="dxa"/>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3A0C6B0">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不低于10%</w:t>
            </w:r>
          </w:p>
        </w:tc>
        <w:tc>
          <w:tcPr>
            <w:tcW w:w="1035" w:type="dxa"/>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7083869">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3月-10月</w:t>
            </w:r>
          </w:p>
        </w:tc>
        <w:tc>
          <w:tcPr>
            <w:tcW w:w="79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76C8C6C">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牵头</w:t>
            </w:r>
          </w:p>
        </w:tc>
        <w:tc>
          <w:tcPr>
            <w:tcW w:w="103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1E9A2BB">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旗卫健委</w:t>
            </w:r>
          </w:p>
        </w:tc>
        <w:tc>
          <w:tcPr>
            <w:tcW w:w="21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2D2532F">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对托育机构设置、登记备案、人员管理、卫生保健、安全管理监督管理等进行监督检查</w:t>
            </w:r>
          </w:p>
        </w:tc>
        <w:tc>
          <w:tcPr>
            <w:tcW w:w="443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8CB09F4">
            <w:pPr>
              <w:keepNext w:val="0"/>
              <w:keepLines w:val="0"/>
              <w:widowControl/>
              <w:numPr>
                <w:ilvl w:val="0"/>
                <w:numId w:val="0"/>
              </w:numPr>
              <w:suppressLineNumbers w:val="0"/>
              <w:snapToGrid w:val="0"/>
              <w:ind w:left="0" w:leftChars="0" w:right="0" w:rightChars="0" w:firstLine="0" w:firstLineChars="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lang w:val="en-US" w:eastAsia="zh-CN" w:bidi="ar"/>
              </w:rPr>
              <w:t>1.</w:t>
            </w:r>
            <w:r>
              <w:rPr>
                <w:rFonts w:hint="eastAsia" w:ascii="宋体" w:hAnsi="宋体" w:eastAsia="宋体" w:cs="宋体"/>
                <w:i w:val="0"/>
                <w:iCs w:val="0"/>
                <w:color w:val="000000"/>
                <w:kern w:val="0"/>
                <w:sz w:val="20"/>
                <w:szCs w:val="20"/>
                <w:u w:val="none"/>
                <w:lang w:val="en-US" w:eastAsia="zh-CN" w:bidi="ar"/>
              </w:rPr>
              <w:t>具有合法的举办资质。事业单位性质机构取得事业单位登记证书；非营利性质机构取得社会服务机构登记证书；营利性机构取得营业执照，业务范围明确“托育服务”“婴幼儿照护服务”内容；</w:t>
            </w:r>
          </w:p>
          <w:p w14:paraId="28A9ADAD">
            <w:pPr>
              <w:keepNext w:val="0"/>
              <w:keepLines w:val="0"/>
              <w:widowControl/>
              <w:numPr>
                <w:ilvl w:val="0"/>
                <w:numId w:val="0"/>
              </w:numPr>
              <w:suppressLineNumbers w:val="0"/>
              <w:snapToGrid w:val="0"/>
              <w:ind w:left="0" w:leftChars="0" w:right="0" w:rightChars="0" w:firstLine="0" w:firstLineChars="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2.取得旗（区）级及以上妇幼保健机构出具评价为“合格”的卫生评价报告；</w:t>
            </w:r>
          </w:p>
          <w:p w14:paraId="12DBEECA">
            <w:pPr>
              <w:keepNext w:val="0"/>
              <w:keepLines w:val="0"/>
              <w:widowControl/>
              <w:numPr>
                <w:ilvl w:val="0"/>
                <w:numId w:val="0"/>
              </w:numPr>
              <w:suppressLineNumbers w:val="0"/>
              <w:snapToGrid w:val="0"/>
              <w:ind w:left="0" w:leftChars="0" w:right="0" w:rightChars="0" w:firstLine="0" w:firstLineChars="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3.建立婴幼儿健康档案，特殊儿童专档管理，入园体检率达 100%，离开机构3个月以上返回时应重新体检；所有婴幼儿入园（所）时均查验预防接种证；每年健康检查2次，每半年测身高、视力、听力1次，每季度量体重1次；对婴幼儿发展状况定期进行分析、评价，对体检结果进行总结，及时向家长反馈结果；</w:t>
            </w:r>
          </w:p>
          <w:p w14:paraId="0F6CBCD5">
            <w:pPr>
              <w:keepNext w:val="0"/>
              <w:keepLines w:val="0"/>
              <w:widowControl/>
              <w:numPr>
                <w:ilvl w:val="0"/>
                <w:numId w:val="0"/>
              </w:numPr>
              <w:suppressLineNumbers w:val="0"/>
              <w:snapToGrid w:val="0"/>
              <w:ind w:left="0" w:leftChars="0" w:right="0" w:rightChars="0" w:firstLine="0" w:firstLineChars="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4.做好疾病预防控制和婴幼儿健康管理工作。有充足的疫情防控物资储备，保障应急状态情况下的物资需求，按国家免疫规划督促在托婴幼儿进行计划内预防接种；</w:t>
            </w:r>
          </w:p>
          <w:p w14:paraId="727DF782">
            <w:pPr>
              <w:keepNext w:val="0"/>
              <w:keepLines w:val="0"/>
              <w:widowControl/>
              <w:numPr>
                <w:ilvl w:val="0"/>
                <w:numId w:val="0"/>
              </w:numPr>
              <w:suppressLineNumbers w:val="0"/>
              <w:snapToGrid w:val="0"/>
              <w:ind w:left="0" w:leftChars="0" w:right="0" w:rightChars="0" w:firstLine="0" w:firstLineChars="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5.婴幼儿生活用房设置在二层及以下，符合有关消防安全疏散的规范，不应设置在地下室或半地下室；有适宜的室外活动场地，人均面积不低于6㎡，在保障安全的前提下，可利用本机构附近的公共场地作为室外活动场地；儿童用房人均使用面积不低于 8㎡；</w:t>
            </w:r>
          </w:p>
          <w:p w14:paraId="1E85B4C9">
            <w:pPr>
              <w:keepNext w:val="0"/>
              <w:keepLines w:val="0"/>
              <w:widowControl/>
              <w:numPr>
                <w:ilvl w:val="0"/>
                <w:numId w:val="0"/>
              </w:numPr>
              <w:suppressLineNumbers w:val="0"/>
              <w:snapToGrid w:val="0"/>
              <w:ind w:left="0" w:leftChars="0" w:right="0" w:rightChars="0" w:firstLine="0" w:firstLineChars="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6.各活动区域采光通风良好，具有合格的CMA资质认证机构的空气质量检测报告（含甲醛、苯及苯系物检测）；</w:t>
            </w:r>
          </w:p>
          <w:p w14:paraId="661A1C44">
            <w:pPr>
              <w:keepNext w:val="0"/>
              <w:keepLines w:val="0"/>
              <w:widowControl/>
              <w:numPr>
                <w:ilvl w:val="0"/>
                <w:numId w:val="0"/>
              </w:numPr>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7.按150:1配备卫生保健人员；卫生保健人员需经过卫生保健人员培训并取得培训合格证书。</w:t>
            </w:r>
          </w:p>
        </w:tc>
      </w:tr>
      <w:tr w14:paraId="24E26D6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897" w:hRule="atLeast"/>
          <w:jc w:val="center"/>
        </w:trPr>
        <w:tc>
          <w:tcPr>
            <w:tcW w:w="656"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494DCA45">
            <w:pPr>
              <w:snapToGrid w:val="0"/>
              <w:ind w:left="0" w:leftChars="0" w:right="0" w:rightChars="0" w:firstLine="0" w:firstLineChars="0"/>
              <w:jc w:val="center"/>
              <w:rPr>
                <w:rFonts w:hint="eastAsia" w:ascii="宋体" w:hAnsi="宋体" w:eastAsia="宋体" w:cs="宋体"/>
                <w:i w:val="0"/>
                <w:iCs w:val="0"/>
                <w:color w:val="000000"/>
                <w:sz w:val="20"/>
                <w:szCs w:val="20"/>
                <w:u w:val="none"/>
              </w:rPr>
            </w:pPr>
          </w:p>
        </w:tc>
        <w:tc>
          <w:tcPr>
            <w:tcW w:w="111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91ADB25">
            <w:pPr>
              <w:snapToGrid w:val="0"/>
              <w:ind w:left="0" w:leftChars="0" w:right="0" w:rightChars="0" w:firstLine="0" w:firstLineChars="0"/>
              <w:jc w:val="center"/>
              <w:rPr>
                <w:rFonts w:hint="eastAsia" w:ascii="宋体" w:hAnsi="宋体" w:eastAsia="宋体" w:cs="宋体"/>
                <w:i w:val="0"/>
                <w:iCs w:val="0"/>
                <w:color w:val="000000"/>
                <w:sz w:val="20"/>
                <w:szCs w:val="20"/>
                <w:u w:val="none"/>
              </w:rPr>
            </w:pPr>
          </w:p>
        </w:tc>
        <w:tc>
          <w:tcPr>
            <w:tcW w:w="150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D76CE69">
            <w:pPr>
              <w:snapToGrid w:val="0"/>
              <w:ind w:left="0" w:leftChars="0" w:right="0" w:rightChars="0" w:firstLine="0" w:firstLineChars="0"/>
              <w:jc w:val="left"/>
              <w:rPr>
                <w:rFonts w:hint="eastAsia" w:ascii="宋体" w:hAnsi="宋体" w:eastAsia="宋体" w:cs="宋体"/>
                <w:i w:val="0"/>
                <w:iCs w:val="0"/>
                <w:color w:val="000000"/>
                <w:sz w:val="20"/>
                <w:szCs w:val="20"/>
                <w:u w:val="none"/>
              </w:rPr>
            </w:pPr>
          </w:p>
        </w:tc>
        <w:tc>
          <w:tcPr>
            <w:tcW w:w="105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BD6E939">
            <w:pPr>
              <w:snapToGrid w:val="0"/>
              <w:ind w:left="0" w:leftChars="0" w:right="0" w:rightChars="0" w:firstLine="0" w:firstLineChars="0"/>
              <w:jc w:val="left"/>
              <w:rPr>
                <w:rFonts w:hint="eastAsia" w:ascii="宋体" w:hAnsi="宋体" w:eastAsia="宋体" w:cs="宋体"/>
                <w:i w:val="0"/>
                <w:iCs w:val="0"/>
                <w:color w:val="000000"/>
                <w:sz w:val="20"/>
                <w:szCs w:val="20"/>
                <w:u w:val="none"/>
              </w:rPr>
            </w:pPr>
          </w:p>
        </w:tc>
        <w:tc>
          <w:tcPr>
            <w:tcW w:w="690"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305AAD0B">
            <w:pPr>
              <w:snapToGrid w:val="0"/>
              <w:ind w:left="0" w:leftChars="0" w:right="0" w:rightChars="0" w:firstLine="0" w:firstLineChars="0"/>
              <w:jc w:val="left"/>
              <w:rPr>
                <w:rFonts w:hint="eastAsia" w:ascii="宋体" w:hAnsi="宋体" w:eastAsia="宋体" w:cs="宋体"/>
                <w:i w:val="0"/>
                <w:iCs w:val="0"/>
                <w:color w:val="000000"/>
                <w:sz w:val="20"/>
                <w:szCs w:val="20"/>
                <w:u w:val="none"/>
              </w:rPr>
            </w:pPr>
          </w:p>
        </w:tc>
        <w:tc>
          <w:tcPr>
            <w:tcW w:w="1170"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48140F36">
            <w:pPr>
              <w:snapToGrid w:val="0"/>
              <w:ind w:left="0" w:leftChars="0" w:right="0" w:rightChars="0" w:firstLine="0" w:firstLineChars="0"/>
              <w:jc w:val="center"/>
              <w:rPr>
                <w:rFonts w:hint="eastAsia" w:ascii="宋体" w:hAnsi="宋体" w:eastAsia="宋体" w:cs="宋体"/>
                <w:i w:val="0"/>
                <w:iCs w:val="0"/>
                <w:color w:val="000000"/>
                <w:sz w:val="20"/>
                <w:szCs w:val="20"/>
                <w:u w:val="none"/>
              </w:rPr>
            </w:pPr>
          </w:p>
        </w:tc>
        <w:tc>
          <w:tcPr>
            <w:tcW w:w="1035"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010051ED">
            <w:pPr>
              <w:snapToGrid w:val="0"/>
              <w:ind w:left="0" w:leftChars="0" w:right="0" w:rightChars="0" w:firstLine="0" w:firstLineChars="0"/>
              <w:jc w:val="center"/>
              <w:rPr>
                <w:rFonts w:hint="eastAsia" w:ascii="宋体" w:hAnsi="宋体" w:eastAsia="宋体" w:cs="宋体"/>
                <w:i w:val="0"/>
                <w:iCs w:val="0"/>
                <w:color w:val="000000"/>
                <w:sz w:val="20"/>
                <w:szCs w:val="20"/>
                <w:u w:val="none"/>
              </w:rPr>
            </w:pPr>
          </w:p>
        </w:tc>
        <w:tc>
          <w:tcPr>
            <w:tcW w:w="79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8C7AA20">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配合</w:t>
            </w:r>
          </w:p>
        </w:tc>
        <w:tc>
          <w:tcPr>
            <w:tcW w:w="103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BF309B2">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旗教体局</w:t>
            </w:r>
          </w:p>
        </w:tc>
        <w:tc>
          <w:tcPr>
            <w:tcW w:w="21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6E408DC">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对开设托班幼儿园的日常管理</w:t>
            </w:r>
          </w:p>
        </w:tc>
        <w:tc>
          <w:tcPr>
            <w:tcW w:w="443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57E822E">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0"/>
                <w:szCs w:val="20"/>
                <w:u w:val="none"/>
              </w:rPr>
            </w:pPr>
            <w:r>
              <w:rPr>
                <w:rStyle w:val="6"/>
                <w:lang w:val="en-US" w:eastAsia="zh-CN" w:bidi="ar"/>
              </w:rPr>
              <w:t>1.公办幼儿园开设托班须在法人证书中明确“托育”服务职能；民办幼儿园须在营业执照或民办非企业单位登记证书中载明“托育”服务内容。所有开设托班的幼儿园，均须按规定向所在地卫生健康部门完成托育机构备案；</w:t>
            </w:r>
            <w:r>
              <w:rPr>
                <w:rStyle w:val="6"/>
                <w:lang w:val="en-US" w:eastAsia="zh-CN" w:bidi="ar"/>
              </w:rPr>
              <w:br w:type="textWrapping"/>
            </w:r>
            <w:r>
              <w:rPr>
                <w:rStyle w:val="6"/>
                <w:lang w:val="en-US" w:eastAsia="zh-CN" w:bidi="ar"/>
              </w:rPr>
              <w:t>2.新开设的托班须取得“合格”的卫生评价报告。对于已备案且持有合格卫生评价报告及消防安全检查合格证明的幼儿园实行“托幼一体化”模式，可不再重复验收；</w:t>
            </w:r>
            <w:r>
              <w:rPr>
                <w:rStyle w:val="6"/>
                <w:lang w:val="en-US" w:eastAsia="zh-CN" w:bidi="ar"/>
              </w:rPr>
              <w:br w:type="textWrapping"/>
            </w:r>
            <w:r>
              <w:rPr>
                <w:rStyle w:val="6"/>
                <w:lang w:val="en-US" w:eastAsia="zh-CN" w:bidi="ar"/>
              </w:rPr>
              <w:t>3. 建立婴幼儿健康档案，实行特殊儿童专档管理；入园体检率达100%，离园3个月以上返园需重新体检；查验预防接种证，并督促按国家免疫规划接种，定期进行健康检查（每年2次）与生长监测（每半年测身高、视力、听力，每季度量体重），定期分析评价婴幼儿发展状况，并向家长反馈结果；</w:t>
            </w:r>
            <w:r>
              <w:rPr>
                <w:rStyle w:val="6"/>
                <w:lang w:val="en-US" w:eastAsia="zh-CN" w:bidi="ar"/>
              </w:rPr>
              <w:br w:type="textWrapping"/>
            </w:r>
            <w:r>
              <w:rPr>
                <w:rStyle w:val="6"/>
                <w:lang w:val="en-US" w:eastAsia="zh-CN" w:bidi="ar"/>
              </w:rPr>
              <w:t>4. 严格落实日常清洁消毒、传染病防控与报告制度；配备充足的疫情防控物资；卫生保健人员须经过专业培训并取得合格证书，按不低于150名婴幼儿配备1名卫生保健人员的比例配置。</w:t>
            </w:r>
          </w:p>
        </w:tc>
      </w:tr>
      <w:tr w14:paraId="444D8E0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30" w:hRule="atLeast"/>
          <w:jc w:val="center"/>
        </w:trPr>
        <w:tc>
          <w:tcPr>
            <w:tcW w:w="656"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4403A70D">
            <w:pPr>
              <w:snapToGrid w:val="0"/>
              <w:ind w:left="0" w:leftChars="0" w:right="0" w:rightChars="0" w:firstLine="0" w:firstLineChars="0"/>
              <w:jc w:val="center"/>
              <w:rPr>
                <w:rFonts w:hint="eastAsia" w:ascii="宋体" w:hAnsi="宋体" w:eastAsia="宋体" w:cs="宋体"/>
                <w:i w:val="0"/>
                <w:iCs w:val="0"/>
                <w:color w:val="000000"/>
                <w:sz w:val="20"/>
                <w:szCs w:val="20"/>
                <w:u w:val="none"/>
              </w:rPr>
            </w:pPr>
          </w:p>
        </w:tc>
        <w:tc>
          <w:tcPr>
            <w:tcW w:w="111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71B6A1F">
            <w:pPr>
              <w:snapToGrid w:val="0"/>
              <w:ind w:left="0" w:leftChars="0" w:right="0" w:rightChars="0" w:firstLine="0" w:firstLineChars="0"/>
              <w:jc w:val="center"/>
              <w:rPr>
                <w:rFonts w:hint="eastAsia" w:ascii="宋体" w:hAnsi="宋体" w:eastAsia="宋体" w:cs="宋体"/>
                <w:i w:val="0"/>
                <w:iCs w:val="0"/>
                <w:color w:val="000000"/>
                <w:sz w:val="20"/>
                <w:szCs w:val="20"/>
                <w:u w:val="none"/>
              </w:rPr>
            </w:pPr>
          </w:p>
        </w:tc>
        <w:tc>
          <w:tcPr>
            <w:tcW w:w="150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DFDF1F9">
            <w:pPr>
              <w:snapToGrid w:val="0"/>
              <w:ind w:left="0" w:leftChars="0" w:right="0" w:rightChars="0" w:firstLine="0" w:firstLineChars="0"/>
              <w:jc w:val="left"/>
              <w:rPr>
                <w:rFonts w:hint="eastAsia" w:ascii="宋体" w:hAnsi="宋体" w:eastAsia="宋体" w:cs="宋体"/>
                <w:i w:val="0"/>
                <w:iCs w:val="0"/>
                <w:color w:val="000000"/>
                <w:sz w:val="20"/>
                <w:szCs w:val="20"/>
                <w:u w:val="none"/>
              </w:rPr>
            </w:pPr>
          </w:p>
        </w:tc>
        <w:tc>
          <w:tcPr>
            <w:tcW w:w="105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4DD3730">
            <w:pPr>
              <w:snapToGrid w:val="0"/>
              <w:ind w:left="0" w:leftChars="0" w:right="0" w:rightChars="0" w:firstLine="0" w:firstLineChars="0"/>
              <w:jc w:val="left"/>
              <w:rPr>
                <w:rFonts w:hint="eastAsia" w:ascii="宋体" w:hAnsi="宋体" w:eastAsia="宋体" w:cs="宋体"/>
                <w:i w:val="0"/>
                <w:iCs w:val="0"/>
                <w:color w:val="000000"/>
                <w:sz w:val="20"/>
                <w:szCs w:val="20"/>
                <w:u w:val="none"/>
              </w:rPr>
            </w:pPr>
          </w:p>
        </w:tc>
        <w:tc>
          <w:tcPr>
            <w:tcW w:w="690"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7D3D8CF5">
            <w:pPr>
              <w:snapToGrid w:val="0"/>
              <w:ind w:left="0" w:leftChars="0" w:right="0" w:rightChars="0" w:firstLine="0" w:firstLineChars="0"/>
              <w:jc w:val="left"/>
              <w:rPr>
                <w:rFonts w:hint="eastAsia" w:ascii="宋体" w:hAnsi="宋体" w:eastAsia="宋体" w:cs="宋体"/>
                <w:i w:val="0"/>
                <w:iCs w:val="0"/>
                <w:color w:val="000000"/>
                <w:sz w:val="20"/>
                <w:szCs w:val="20"/>
                <w:u w:val="none"/>
              </w:rPr>
            </w:pPr>
          </w:p>
        </w:tc>
        <w:tc>
          <w:tcPr>
            <w:tcW w:w="1170"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6395D3CA">
            <w:pPr>
              <w:snapToGrid w:val="0"/>
              <w:ind w:left="0" w:leftChars="0" w:right="0" w:rightChars="0" w:firstLine="0" w:firstLineChars="0"/>
              <w:jc w:val="center"/>
              <w:rPr>
                <w:rFonts w:hint="eastAsia" w:ascii="宋体" w:hAnsi="宋体" w:eastAsia="宋体" w:cs="宋体"/>
                <w:i w:val="0"/>
                <w:iCs w:val="0"/>
                <w:color w:val="000000"/>
                <w:sz w:val="20"/>
                <w:szCs w:val="20"/>
                <w:u w:val="none"/>
              </w:rPr>
            </w:pPr>
          </w:p>
        </w:tc>
        <w:tc>
          <w:tcPr>
            <w:tcW w:w="1035"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78F7CADF">
            <w:pPr>
              <w:snapToGrid w:val="0"/>
              <w:ind w:left="0" w:leftChars="0" w:right="0" w:rightChars="0" w:firstLine="0" w:firstLineChars="0"/>
              <w:jc w:val="center"/>
              <w:rPr>
                <w:rFonts w:hint="eastAsia" w:ascii="宋体" w:hAnsi="宋体" w:eastAsia="宋体" w:cs="宋体"/>
                <w:i w:val="0"/>
                <w:iCs w:val="0"/>
                <w:color w:val="000000"/>
                <w:sz w:val="20"/>
                <w:szCs w:val="20"/>
                <w:u w:val="none"/>
              </w:rPr>
            </w:pPr>
          </w:p>
        </w:tc>
        <w:tc>
          <w:tcPr>
            <w:tcW w:w="79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BF9837F">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配合</w:t>
            </w:r>
          </w:p>
        </w:tc>
        <w:tc>
          <w:tcPr>
            <w:tcW w:w="10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158CA4A">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旗市场监督管理局</w:t>
            </w:r>
          </w:p>
        </w:tc>
        <w:tc>
          <w:tcPr>
            <w:tcW w:w="21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44BCC1F">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对机构的食品安全检查</w:t>
            </w:r>
          </w:p>
        </w:tc>
        <w:tc>
          <w:tcPr>
            <w:tcW w:w="443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79FBF5E">
            <w:pPr>
              <w:keepNext w:val="0"/>
              <w:keepLines w:val="0"/>
              <w:widowControl/>
              <w:numPr>
                <w:ilvl w:val="0"/>
                <w:numId w:val="0"/>
              </w:numPr>
              <w:suppressLineNumbers w:val="0"/>
              <w:snapToGrid w:val="0"/>
              <w:ind w:left="0" w:leftChars="0" w:right="0" w:rightChars="0" w:firstLine="0" w:firstLineChars="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lang w:val="en-US" w:eastAsia="zh-CN" w:bidi="ar"/>
              </w:rPr>
              <w:t>1.</w:t>
            </w:r>
            <w:r>
              <w:rPr>
                <w:rFonts w:hint="eastAsia" w:ascii="宋体" w:hAnsi="宋体" w:eastAsia="宋体" w:cs="宋体"/>
                <w:i w:val="0"/>
                <w:iCs w:val="0"/>
                <w:color w:val="000000"/>
                <w:kern w:val="0"/>
                <w:sz w:val="20"/>
                <w:szCs w:val="20"/>
                <w:u w:val="none"/>
                <w:lang w:val="en-US" w:eastAsia="zh-CN" w:bidi="ar"/>
              </w:rPr>
              <w:t>食品经营许可情况检查；</w:t>
            </w:r>
          </w:p>
          <w:p w14:paraId="4E76DF1C">
            <w:pPr>
              <w:keepNext w:val="0"/>
              <w:keepLines w:val="0"/>
              <w:widowControl/>
              <w:numPr>
                <w:ilvl w:val="0"/>
                <w:numId w:val="0"/>
              </w:numPr>
              <w:suppressLineNumbers w:val="0"/>
              <w:snapToGrid w:val="0"/>
              <w:ind w:left="0" w:leftChars="0" w:right="0" w:rightChars="0" w:firstLine="0" w:firstLineChars="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2.原料控制（含食品添加剂）情况的检查；</w:t>
            </w:r>
          </w:p>
          <w:p w14:paraId="5BF7026C">
            <w:pPr>
              <w:keepNext w:val="0"/>
              <w:keepLines w:val="0"/>
              <w:widowControl/>
              <w:numPr>
                <w:ilvl w:val="0"/>
                <w:numId w:val="0"/>
              </w:numPr>
              <w:suppressLineNumbers w:val="0"/>
              <w:snapToGrid w:val="0"/>
              <w:ind w:left="0" w:leftChars="0" w:right="0" w:rightChars="0" w:firstLine="0" w:firstLineChars="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3.加工制作过程的检查；</w:t>
            </w:r>
          </w:p>
          <w:p w14:paraId="75F27014">
            <w:pPr>
              <w:keepNext w:val="0"/>
              <w:keepLines w:val="0"/>
              <w:widowControl/>
              <w:numPr>
                <w:ilvl w:val="0"/>
                <w:numId w:val="0"/>
              </w:numPr>
              <w:suppressLineNumbers w:val="0"/>
              <w:snapToGrid w:val="0"/>
              <w:ind w:left="0" w:leftChars="0" w:right="0" w:rightChars="0" w:firstLine="0" w:firstLineChars="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4.供餐、用餐与配送情况的检查；</w:t>
            </w:r>
          </w:p>
          <w:p w14:paraId="7C04CE3E">
            <w:pPr>
              <w:keepNext w:val="0"/>
              <w:keepLines w:val="0"/>
              <w:widowControl/>
              <w:numPr>
                <w:ilvl w:val="0"/>
                <w:numId w:val="0"/>
              </w:numPr>
              <w:suppressLineNumbers w:val="0"/>
              <w:snapToGrid w:val="0"/>
              <w:ind w:left="0" w:leftChars="0" w:right="0" w:rightChars="0" w:firstLine="0" w:firstLineChars="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5.餐饮具清洗消毒情况的检查；</w:t>
            </w:r>
          </w:p>
          <w:p w14:paraId="1B08142F">
            <w:pPr>
              <w:keepNext w:val="0"/>
              <w:keepLines w:val="0"/>
              <w:widowControl/>
              <w:numPr>
                <w:ilvl w:val="0"/>
                <w:numId w:val="0"/>
              </w:numPr>
              <w:suppressLineNumbers w:val="0"/>
              <w:snapToGrid w:val="0"/>
              <w:ind w:left="0" w:leftChars="0" w:right="0" w:rightChars="0" w:firstLine="0" w:firstLineChars="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6.场所和设施清洁维护情况的检查；</w:t>
            </w:r>
          </w:p>
          <w:p w14:paraId="0777E3B9">
            <w:pPr>
              <w:keepNext w:val="0"/>
              <w:keepLines w:val="0"/>
              <w:widowControl/>
              <w:numPr>
                <w:ilvl w:val="0"/>
                <w:numId w:val="0"/>
              </w:numPr>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7.人员管理情况的检查。</w:t>
            </w:r>
          </w:p>
        </w:tc>
      </w:tr>
      <w:tr w14:paraId="7303441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373" w:hRule="atLeast"/>
          <w:jc w:val="center"/>
        </w:trPr>
        <w:tc>
          <w:tcPr>
            <w:tcW w:w="656"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4F6D9210">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6</w:t>
            </w:r>
          </w:p>
        </w:tc>
        <w:tc>
          <w:tcPr>
            <w:tcW w:w="1114"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7C7639A2">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医疗机构使用药品监管</w:t>
            </w:r>
          </w:p>
        </w:tc>
        <w:tc>
          <w:tcPr>
            <w:tcW w:w="150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15AB750C">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医疗机构及医务人员</w:t>
            </w:r>
          </w:p>
        </w:tc>
        <w:tc>
          <w:tcPr>
            <w:tcW w:w="105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4C8281AB">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现场检查</w:t>
            </w:r>
          </w:p>
        </w:tc>
        <w:tc>
          <w:tcPr>
            <w:tcW w:w="69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4A52A33C">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旗级</w:t>
            </w:r>
          </w:p>
        </w:tc>
        <w:tc>
          <w:tcPr>
            <w:tcW w:w="117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0D56A844">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100%</w:t>
            </w:r>
          </w:p>
        </w:tc>
        <w:tc>
          <w:tcPr>
            <w:tcW w:w="1035"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3517FF0B">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3月-12月</w:t>
            </w:r>
          </w:p>
        </w:tc>
        <w:tc>
          <w:tcPr>
            <w:tcW w:w="7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F66AB9D">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牵头</w:t>
            </w:r>
          </w:p>
        </w:tc>
        <w:tc>
          <w:tcPr>
            <w:tcW w:w="10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791207F">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旗市场监督管理局</w:t>
            </w:r>
          </w:p>
        </w:tc>
        <w:tc>
          <w:tcPr>
            <w:tcW w:w="21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2B2AECB">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对医疗机构使用药品的监管</w:t>
            </w:r>
          </w:p>
        </w:tc>
        <w:tc>
          <w:tcPr>
            <w:tcW w:w="443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D8FC142">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对医疗机构使用药品的监管。</w:t>
            </w:r>
          </w:p>
        </w:tc>
      </w:tr>
      <w:tr w14:paraId="58486EC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83" w:hRule="atLeast"/>
          <w:jc w:val="center"/>
        </w:trPr>
        <w:tc>
          <w:tcPr>
            <w:tcW w:w="65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D4CD3FD">
            <w:pPr>
              <w:snapToGrid w:val="0"/>
              <w:ind w:left="0" w:leftChars="0" w:right="0" w:rightChars="0" w:firstLine="0" w:firstLineChars="0"/>
              <w:jc w:val="center"/>
              <w:rPr>
                <w:rFonts w:hint="eastAsia" w:ascii="宋体" w:hAnsi="宋体" w:eastAsia="宋体" w:cs="宋体"/>
                <w:i w:val="0"/>
                <w:iCs w:val="0"/>
                <w:color w:val="000000"/>
                <w:sz w:val="20"/>
                <w:szCs w:val="20"/>
                <w:u w:val="none"/>
              </w:rPr>
            </w:pPr>
          </w:p>
        </w:tc>
        <w:tc>
          <w:tcPr>
            <w:tcW w:w="111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E579F8E">
            <w:pPr>
              <w:snapToGrid w:val="0"/>
              <w:ind w:left="0" w:leftChars="0" w:right="0" w:rightChars="0" w:firstLine="0" w:firstLineChars="0"/>
              <w:jc w:val="center"/>
              <w:rPr>
                <w:rFonts w:hint="eastAsia" w:ascii="宋体" w:hAnsi="宋体" w:eastAsia="宋体" w:cs="宋体"/>
                <w:i w:val="0"/>
                <w:iCs w:val="0"/>
                <w:color w:val="000000"/>
                <w:sz w:val="20"/>
                <w:szCs w:val="20"/>
                <w:u w:val="none"/>
              </w:rPr>
            </w:pPr>
          </w:p>
        </w:tc>
        <w:tc>
          <w:tcPr>
            <w:tcW w:w="150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D308404">
            <w:pPr>
              <w:snapToGrid w:val="0"/>
              <w:ind w:left="0" w:leftChars="0" w:right="0" w:rightChars="0" w:firstLine="0" w:firstLineChars="0"/>
              <w:jc w:val="left"/>
              <w:rPr>
                <w:rFonts w:hint="eastAsia" w:ascii="宋体" w:hAnsi="宋体" w:eastAsia="宋体" w:cs="宋体"/>
                <w:i w:val="0"/>
                <w:iCs w:val="0"/>
                <w:color w:val="000000"/>
                <w:sz w:val="20"/>
                <w:szCs w:val="20"/>
                <w:u w:val="none"/>
              </w:rPr>
            </w:pPr>
          </w:p>
        </w:tc>
        <w:tc>
          <w:tcPr>
            <w:tcW w:w="105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AF4D77C">
            <w:pPr>
              <w:snapToGrid w:val="0"/>
              <w:ind w:left="0" w:leftChars="0" w:right="0" w:rightChars="0" w:firstLine="0" w:firstLineChars="0"/>
              <w:jc w:val="left"/>
              <w:rPr>
                <w:rFonts w:hint="eastAsia" w:ascii="宋体" w:hAnsi="宋体" w:eastAsia="宋体" w:cs="宋体"/>
                <w:i w:val="0"/>
                <w:iCs w:val="0"/>
                <w:color w:val="000000"/>
                <w:sz w:val="20"/>
                <w:szCs w:val="20"/>
                <w:u w:val="none"/>
              </w:rPr>
            </w:pPr>
          </w:p>
        </w:tc>
        <w:tc>
          <w:tcPr>
            <w:tcW w:w="69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DBCB915">
            <w:pPr>
              <w:snapToGrid w:val="0"/>
              <w:ind w:left="0" w:leftChars="0" w:right="0" w:rightChars="0" w:firstLine="0" w:firstLineChars="0"/>
              <w:jc w:val="left"/>
              <w:rPr>
                <w:rFonts w:hint="eastAsia" w:ascii="宋体" w:hAnsi="宋体" w:eastAsia="宋体" w:cs="宋体"/>
                <w:i w:val="0"/>
                <w:iCs w:val="0"/>
                <w:color w:val="000000"/>
                <w:sz w:val="20"/>
                <w:szCs w:val="20"/>
                <w:u w:val="none"/>
              </w:rPr>
            </w:pPr>
          </w:p>
        </w:tc>
        <w:tc>
          <w:tcPr>
            <w:tcW w:w="117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9A26327">
            <w:pPr>
              <w:snapToGrid w:val="0"/>
              <w:ind w:left="0" w:leftChars="0" w:right="0" w:rightChars="0" w:firstLine="0" w:firstLineChars="0"/>
              <w:jc w:val="center"/>
              <w:rPr>
                <w:rFonts w:hint="eastAsia" w:ascii="宋体" w:hAnsi="宋体" w:eastAsia="宋体" w:cs="宋体"/>
                <w:i w:val="0"/>
                <w:iCs w:val="0"/>
                <w:color w:val="000000"/>
                <w:sz w:val="20"/>
                <w:szCs w:val="20"/>
                <w:u w:val="none"/>
              </w:rPr>
            </w:pPr>
          </w:p>
        </w:tc>
        <w:tc>
          <w:tcPr>
            <w:tcW w:w="103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A33FE63">
            <w:pPr>
              <w:snapToGrid w:val="0"/>
              <w:ind w:left="0" w:leftChars="0" w:right="0" w:rightChars="0" w:firstLine="0" w:firstLineChars="0"/>
              <w:jc w:val="center"/>
              <w:rPr>
                <w:rFonts w:hint="eastAsia" w:ascii="宋体" w:hAnsi="宋体" w:eastAsia="宋体" w:cs="宋体"/>
                <w:i w:val="0"/>
                <w:iCs w:val="0"/>
                <w:color w:val="000000"/>
                <w:sz w:val="20"/>
                <w:szCs w:val="20"/>
                <w:u w:val="none"/>
              </w:rPr>
            </w:pPr>
          </w:p>
        </w:tc>
        <w:tc>
          <w:tcPr>
            <w:tcW w:w="7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7BE70F0">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配合</w:t>
            </w:r>
          </w:p>
        </w:tc>
        <w:tc>
          <w:tcPr>
            <w:tcW w:w="10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EEACC42">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旗卫健委</w:t>
            </w:r>
          </w:p>
        </w:tc>
        <w:tc>
          <w:tcPr>
            <w:tcW w:w="21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CCA713F">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对麻醉药品和第一类精神药品的行政检查</w:t>
            </w:r>
          </w:p>
        </w:tc>
        <w:tc>
          <w:tcPr>
            <w:tcW w:w="443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4655139">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对麻醉药品和第一类精神药品的行政检查。</w:t>
            </w:r>
          </w:p>
        </w:tc>
      </w:tr>
      <w:tr w14:paraId="49A76B1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98" w:hRule="atLeast"/>
          <w:jc w:val="center"/>
        </w:trPr>
        <w:tc>
          <w:tcPr>
            <w:tcW w:w="65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0D02974">
            <w:pPr>
              <w:snapToGrid w:val="0"/>
              <w:ind w:left="0" w:leftChars="0" w:right="0" w:rightChars="0" w:firstLine="0" w:firstLineChars="0"/>
              <w:jc w:val="center"/>
              <w:rPr>
                <w:rFonts w:hint="eastAsia" w:ascii="宋体" w:hAnsi="宋体" w:eastAsia="宋体" w:cs="宋体"/>
                <w:i w:val="0"/>
                <w:iCs w:val="0"/>
                <w:color w:val="000000"/>
                <w:sz w:val="20"/>
                <w:szCs w:val="20"/>
                <w:u w:val="none"/>
              </w:rPr>
            </w:pPr>
          </w:p>
        </w:tc>
        <w:tc>
          <w:tcPr>
            <w:tcW w:w="111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C59F36B">
            <w:pPr>
              <w:snapToGrid w:val="0"/>
              <w:ind w:left="0" w:leftChars="0" w:right="0" w:rightChars="0" w:firstLine="0" w:firstLineChars="0"/>
              <w:jc w:val="center"/>
              <w:rPr>
                <w:rFonts w:hint="eastAsia" w:ascii="宋体" w:hAnsi="宋体" w:eastAsia="宋体" w:cs="宋体"/>
                <w:i w:val="0"/>
                <w:iCs w:val="0"/>
                <w:color w:val="000000"/>
                <w:sz w:val="20"/>
                <w:szCs w:val="20"/>
                <w:u w:val="none"/>
              </w:rPr>
            </w:pPr>
          </w:p>
        </w:tc>
        <w:tc>
          <w:tcPr>
            <w:tcW w:w="150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D341CC1">
            <w:pPr>
              <w:snapToGrid w:val="0"/>
              <w:ind w:left="0" w:leftChars="0" w:right="0" w:rightChars="0" w:firstLine="0" w:firstLineChars="0"/>
              <w:jc w:val="left"/>
              <w:rPr>
                <w:rFonts w:hint="eastAsia" w:ascii="宋体" w:hAnsi="宋体" w:eastAsia="宋体" w:cs="宋体"/>
                <w:i w:val="0"/>
                <w:iCs w:val="0"/>
                <w:color w:val="000000"/>
                <w:sz w:val="20"/>
                <w:szCs w:val="20"/>
                <w:u w:val="none"/>
              </w:rPr>
            </w:pPr>
          </w:p>
        </w:tc>
        <w:tc>
          <w:tcPr>
            <w:tcW w:w="105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1AE9D84">
            <w:pPr>
              <w:snapToGrid w:val="0"/>
              <w:ind w:left="0" w:leftChars="0" w:right="0" w:rightChars="0" w:firstLine="0" w:firstLineChars="0"/>
              <w:jc w:val="left"/>
              <w:rPr>
                <w:rFonts w:hint="eastAsia" w:ascii="宋体" w:hAnsi="宋体" w:eastAsia="宋体" w:cs="宋体"/>
                <w:i w:val="0"/>
                <w:iCs w:val="0"/>
                <w:color w:val="000000"/>
                <w:sz w:val="20"/>
                <w:szCs w:val="20"/>
                <w:u w:val="none"/>
              </w:rPr>
            </w:pPr>
          </w:p>
        </w:tc>
        <w:tc>
          <w:tcPr>
            <w:tcW w:w="69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296B41E">
            <w:pPr>
              <w:snapToGrid w:val="0"/>
              <w:ind w:left="0" w:leftChars="0" w:right="0" w:rightChars="0" w:firstLine="0" w:firstLineChars="0"/>
              <w:jc w:val="left"/>
              <w:rPr>
                <w:rFonts w:hint="eastAsia" w:ascii="宋体" w:hAnsi="宋体" w:eastAsia="宋体" w:cs="宋体"/>
                <w:i w:val="0"/>
                <w:iCs w:val="0"/>
                <w:color w:val="000000"/>
                <w:sz w:val="20"/>
                <w:szCs w:val="20"/>
                <w:u w:val="none"/>
              </w:rPr>
            </w:pPr>
          </w:p>
        </w:tc>
        <w:tc>
          <w:tcPr>
            <w:tcW w:w="117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E9257A2">
            <w:pPr>
              <w:snapToGrid w:val="0"/>
              <w:ind w:left="0" w:leftChars="0" w:right="0" w:rightChars="0" w:firstLine="0" w:firstLineChars="0"/>
              <w:jc w:val="center"/>
              <w:rPr>
                <w:rFonts w:hint="eastAsia" w:ascii="宋体" w:hAnsi="宋体" w:eastAsia="宋体" w:cs="宋体"/>
                <w:i w:val="0"/>
                <w:iCs w:val="0"/>
                <w:color w:val="000000"/>
                <w:sz w:val="20"/>
                <w:szCs w:val="20"/>
                <w:u w:val="none"/>
              </w:rPr>
            </w:pPr>
          </w:p>
        </w:tc>
        <w:tc>
          <w:tcPr>
            <w:tcW w:w="103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4523F9C">
            <w:pPr>
              <w:snapToGrid w:val="0"/>
              <w:ind w:left="0" w:leftChars="0" w:right="0" w:rightChars="0" w:firstLine="0" w:firstLineChars="0"/>
              <w:jc w:val="center"/>
              <w:rPr>
                <w:rFonts w:hint="eastAsia" w:ascii="宋体" w:hAnsi="宋体" w:eastAsia="宋体" w:cs="宋体"/>
                <w:i w:val="0"/>
                <w:iCs w:val="0"/>
                <w:color w:val="000000"/>
                <w:sz w:val="20"/>
                <w:szCs w:val="20"/>
                <w:u w:val="none"/>
              </w:rPr>
            </w:pPr>
          </w:p>
        </w:tc>
        <w:tc>
          <w:tcPr>
            <w:tcW w:w="7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096AAC0">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配合</w:t>
            </w:r>
          </w:p>
        </w:tc>
        <w:tc>
          <w:tcPr>
            <w:tcW w:w="10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FD28305">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旗医保局</w:t>
            </w:r>
          </w:p>
        </w:tc>
        <w:tc>
          <w:tcPr>
            <w:tcW w:w="21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7E9218C">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对签订服务协议的医疗机构监督管理</w:t>
            </w:r>
          </w:p>
        </w:tc>
        <w:tc>
          <w:tcPr>
            <w:tcW w:w="443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C7337AE">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对签订服务协议的医疗机构、零售药店的监督管理。</w:t>
            </w:r>
          </w:p>
        </w:tc>
      </w:tr>
    </w:tbl>
    <w:p w14:paraId="53A5EFCE">
      <w:pPr>
        <w:ind w:firstLine="0" w:firstLineChars="0"/>
        <w:jc w:val="both"/>
        <w:rPr>
          <w:rFonts w:hint="eastAsia" w:ascii="仿宋_GB2312" w:hAnsi="仿宋_GB2312" w:eastAsia="仿宋_GB2312" w:cs="仿宋_GB2312"/>
          <w:sz w:val="32"/>
          <w:szCs w:val="32"/>
          <w:lang w:eastAsia="zh-CN"/>
        </w:rPr>
      </w:pPr>
    </w:p>
    <w:sectPr>
      <w:footerReference r:id="rId3" w:type="default"/>
      <w:pgSz w:w="16838" w:h="11906" w:orient="landscape"/>
      <w:pgMar w:top="720" w:right="720" w:bottom="720" w:left="720" w:header="851" w:footer="992"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embedRegular r:id="rId1" w:fontKey="{DC314D5D-5F47-4F40-8413-D30ECE6D467E}"/>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embedRegular r:id="rId2" w:fontKey="{A4C3E643-DFCC-4A85-8277-FF02B1FFAB81}"/>
  </w:font>
  <w:font w:name="方正小标宋简体">
    <w:panose1 w:val="02000000000000000000"/>
    <w:charset w:val="86"/>
    <w:family w:val="auto"/>
    <w:pitch w:val="default"/>
    <w:sig w:usb0="00000001" w:usb1="08000000" w:usb2="00000000" w:usb3="00000000" w:csb0="00040000" w:csb1="00000000"/>
    <w:embedRegular r:id="rId3" w:fontKey="{9421A1B8-8457-45D4-9D66-311A1B8D9001}"/>
  </w:font>
  <w:font w:name="仿宋_GB2312">
    <w:panose1 w:val="02010609030101010101"/>
    <w:charset w:val="86"/>
    <w:family w:val="auto"/>
    <w:pitch w:val="default"/>
    <w:sig w:usb0="00000001" w:usb1="080E0000" w:usb2="00000000" w:usb3="00000000" w:csb0="00040000" w:csb1="00000000"/>
    <w:embedRegular r:id="rId4" w:fontKey="{B4395F0D-D2AE-4B73-B56E-93D8A644F756}"/>
  </w:font>
  <w:font w:name="楷体_GB2312">
    <w:panose1 w:val="02010609030101010101"/>
    <w:charset w:val="86"/>
    <w:family w:val="auto"/>
    <w:pitch w:val="default"/>
    <w:sig w:usb0="00000001" w:usb1="080E0000" w:usb2="00000000" w:usb3="00000000" w:csb0="00040000" w:csb1="00000000"/>
  </w:font>
  <w:font w:name="WPSEMBED1">
    <w:panose1 w:val="02010609030101010101"/>
    <w:charset w:val="86"/>
    <w:family w:val="auto"/>
    <w:pitch w:val="default"/>
    <w:sig w:usb0="00000001" w:usb1="080E0000" w:usb2="00000000" w:usb3="00000000" w:csb0="00040000" w:csb1="00000000"/>
  </w:font>
  <w:font w:name="WPSEMBED2">
    <w:panose1 w:val="02010609030101010101"/>
    <w:charset w:val="86"/>
    <w:family w:val="auto"/>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7497AAE">
    <w:pPr>
      <w:pStyle w:val="2"/>
    </w:pPr>
    <w:r>
      <w:rPr>
        <w:sz w:val="18"/>
      </w:rPr>
      <mc:AlternateContent>
        <mc:Choice Requires="wps">
          <w:drawing>
            <wp:anchor distT="0" distB="0" distL="114300" distR="114300" simplePos="0" relativeHeight="251659264" behindDoc="0" locked="0" layoutInCell="1" allowOverlap="1">
              <wp:simplePos x="0" y="0"/>
              <wp:positionH relativeFrom="margin">
                <wp:align>outside</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714FA28E">
                          <w:pPr>
                            <w:pStyle w:val="2"/>
                            <w:rPr>
                              <w:rFonts w:hint="default" w:ascii="Times New Roman" w:hAnsi="Times New Roman" w:cs="Times New Roman"/>
                              <w:sz w:val="32"/>
                              <w:szCs w:val="32"/>
                            </w:rPr>
                          </w:pPr>
                          <w:r>
                            <w:rPr>
                              <w:rFonts w:hint="default" w:ascii="Times New Roman" w:hAnsi="Times New Roman" w:cs="Times New Roman"/>
                              <w:sz w:val="32"/>
                              <w:szCs w:val="32"/>
                            </w:rPr>
                            <w:t xml:space="preserve">— </w:t>
                          </w:r>
                          <w:r>
                            <w:rPr>
                              <w:rFonts w:hint="default" w:ascii="Times New Roman" w:hAnsi="Times New Roman" w:cs="Times New Roman"/>
                              <w:sz w:val="32"/>
                              <w:szCs w:val="32"/>
                            </w:rPr>
                            <w:fldChar w:fldCharType="begin"/>
                          </w:r>
                          <w:r>
                            <w:rPr>
                              <w:rFonts w:hint="default" w:ascii="Times New Roman" w:hAnsi="Times New Roman" w:cs="Times New Roman"/>
                              <w:sz w:val="32"/>
                              <w:szCs w:val="32"/>
                            </w:rPr>
                            <w:instrText xml:space="preserve"> PAGE  \* MERGEFORMAT </w:instrText>
                          </w:r>
                          <w:r>
                            <w:rPr>
                              <w:rFonts w:hint="default" w:ascii="Times New Roman" w:hAnsi="Times New Roman" w:cs="Times New Roman"/>
                              <w:sz w:val="32"/>
                              <w:szCs w:val="32"/>
                            </w:rPr>
                            <w:fldChar w:fldCharType="separate"/>
                          </w:r>
                          <w:r>
                            <w:rPr>
                              <w:rFonts w:hint="default" w:ascii="Times New Roman" w:hAnsi="Times New Roman" w:cs="Times New Roman"/>
                              <w:sz w:val="32"/>
                              <w:szCs w:val="32"/>
                            </w:rPr>
                            <w:t>1</w:t>
                          </w:r>
                          <w:r>
                            <w:rPr>
                              <w:rFonts w:hint="default" w:ascii="Times New Roman" w:hAnsi="Times New Roman" w:cs="Times New Roman"/>
                              <w:sz w:val="32"/>
                              <w:szCs w:val="32"/>
                            </w:rPr>
                            <w:fldChar w:fldCharType="end"/>
                          </w:r>
                          <w:r>
                            <w:rPr>
                              <w:rFonts w:hint="default" w:ascii="Times New Roman" w:hAnsi="Times New Roman" w:cs="Times New Roman"/>
                              <w:sz w:val="32"/>
                              <w:szCs w:val="32"/>
                            </w:rPr>
                            <w:t xml:space="preserve"> —</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uF+fsxAgAAY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6Ghdfaj6C5g7y8JW&#10;7yyPaaJ63q6OAWJ2GkeBelUG3TB5XZeGVxJH+899F/X4Z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Brhfn7MQIAAGEEAAAOAAAAAAAAAAEAIAAAAB8BAABkcnMvZTJvRG9jLnhtbFBLBQYA&#10;AAAABgAGAFkBAADCBQAAAAA=&#10;">
              <v:fill on="f" focussize="0,0"/>
              <v:stroke on="f" weight="0.5pt"/>
              <v:imagedata o:title=""/>
              <o:lock v:ext="edit" aspectratio="f"/>
              <v:textbox inset="0mm,0mm,0mm,0mm" style="mso-fit-shape-to-text:t;">
                <w:txbxContent>
                  <w:p w14:paraId="714FA28E">
                    <w:pPr>
                      <w:pStyle w:val="2"/>
                      <w:rPr>
                        <w:rFonts w:hint="default" w:ascii="Times New Roman" w:hAnsi="Times New Roman" w:cs="Times New Roman"/>
                        <w:sz w:val="32"/>
                        <w:szCs w:val="32"/>
                      </w:rPr>
                    </w:pPr>
                    <w:r>
                      <w:rPr>
                        <w:rFonts w:hint="default" w:ascii="Times New Roman" w:hAnsi="Times New Roman" w:cs="Times New Roman"/>
                        <w:sz w:val="32"/>
                        <w:szCs w:val="32"/>
                      </w:rPr>
                      <w:t xml:space="preserve">— </w:t>
                    </w:r>
                    <w:r>
                      <w:rPr>
                        <w:rFonts w:hint="default" w:ascii="Times New Roman" w:hAnsi="Times New Roman" w:cs="Times New Roman"/>
                        <w:sz w:val="32"/>
                        <w:szCs w:val="32"/>
                      </w:rPr>
                      <w:fldChar w:fldCharType="begin"/>
                    </w:r>
                    <w:r>
                      <w:rPr>
                        <w:rFonts w:hint="default" w:ascii="Times New Roman" w:hAnsi="Times New Roman" w:cs="Times New Roman"/>
                        <w:sz w:val="32"/>
                        <w:szCs w:val="32"/>
                      </w:rPr>
                      <w:instrText xml:space="preserve"> PAGE  \* MERGEFORMAT </w:instrText>
                    </w:r>
                    <w:r>
                      <w:rPr>
                        <w:rFonts w:hint="default" w:ascii="Times New Roman" w:hAnsi="Times New Roman" w:cs="Times New Roman"/>
                        <w:sz w:val="32"/>
                        <w:szCs w:val="32"/>
                      </w:rPr>
                      <w:fldChar w:fldCharType="separate"/>
                    </w:r>
                    <w:r>
                      <w:rPr>
                        <w:rFonts w:hint="default" w:ascii="Times New Roman" w:hAnsi="Times New Roman" w:cs="Times New Roman"/>
                        <w:sz w:val="32"/>
                        <w:szCs w:val="32"/>
                      </w:rPr>
                      <w:t>1</w:t>
                    </w:r>
                    <w:r>
                      <w:rPr>
                        <w:rFonts w:hint="default" w:ascii="Times New Roman" w:hAnsi="Times New Roman" w:cs="Times New Roman"/>
                        <w:sz w:val="32"/>
                        <w:szCs w:val="32"/>
                      </w:rPr>
                      <w:fldChar w:fldCharType="end"/>
                    </w:r>
                    <w:r>
                      <w:rPr>
                        <w:rFonts w:hint="default" w:ascii="Times New Roman" w:hAnsi="Times New Roman" w:cs="Times New Roman"/>
                        <w:sz w:val="32"/>
                        <w:szCs w:val="32"/>
                      </w:rPr>
                      <w:t xml:space="preserve"> —</w:t>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2"/>
  <w:embedTrueTypeFonts/>
  <w:saveSubset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6B806051"/>
    <w:rsid w:val="01D54D98"/>
    <w:rsid w:val="03B948DB"/>
    <w:rsid w:val="055B4CC1"/>
    <w:rsid w:val="08AD6CFC"/>
    <w:rsid w:val="09C55691"/>
    <w:rsid w:val="103947FE"/>
    <w:rsid w:val="10594229"/>
    <w:rsid w:val="19BB1D72"/>
    <w:rsid w:val="20831A0C"/>
    <w:rsid w:val="267E514F"/>
    <w:rsid w:val="2C750476"/>
    <w:rsid w:val="32AA2BF0"/>
    <w:rsid w:val="348A543F"/>
    <w:rsid w:val="3CEC13EB"/>
    <w:rsid w:val="43E4258B"/>
    <w:rsid w:val="4A0224DE"/>
    <w:rsid w:val="4AA4190C"/>
    <w:rsid w:val="56260894"/>
    <w:rsid w:val="66C51A03"/>
    <w:rsid w:val="68021F70"/>
    <w:rsid w:val="6B806051"/>
    <w:rsid w:val="6F372C7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5">
    <w:name w:val="Default Paragraph Font"/>
    <w:semiHidden/>
    <w:qFormat/>
    <w:uiPriority w:val="0"/>
  </w:style>
  <w:style w:type="table" w:default="1" w:styleId="4">
    <w:name w:val="Normal Table"/>
    <w:semiHidden/>
    <w:qFormat/>
    <w:uiPriority w:val="0"/>
    <w:tblPr>
      <w:tblCellMar>
        <w:top w:w="0" w:type="dxa"/>
        <w:left w:w="108" w:type="dxa"/>
        <w:bottom w:w="0" w:type="dxa"/>
        <w:right w:w="108" w:type="dxa"/>
      </w:tblCellMar>
    </w:tblPr>
  </w:style>
  <w:style w:type="paragraph" w:styleId="2">
    <w:name w:val="footer"/>
    <w:basedOn w:val="1"/>
    <w:qFormat/>
    <w:uiPriority w:val="0"/>
    <w:pPr>
      <w:tabs>
        <w:tab w:val="center" w:pos="4153"/>
        <w:tab w:val="right" w:pos="8306"/>
      </w:tabs>
      <w:snapToGrid w:val="0"/>
      <w:jc w:val="left"/>
    </w:pPr>
    <w:rPr>
      <w:sz w:val="18"/>
    </w:rPr>
  </w:style>
  <w:style w:type="paragraph" w:styleId="3">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character" w:customStyle="1" w:styleId="6">
    <w:name w:val="font31"/>
    <w:basedOn w:val="5"/>
    <w:qFormat/>
    <w:uiPriority w:val="0"/>
    <w:rPr>
      <w:rFonts w:hint="eastAsia" w:ascii="宋体" w:hAnsi="宋体" w:eastAsia="宋体" w:cs="宋体"/>
      <w:color w:val="000000"/>
      <w:sz w:val="20"/>
      <w:szCs w:val="20"/>
      <w:u w:val="none"/>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8</Pages>
  <Words>7107</Words>
  <Characters>7258</Characters>
  <Lines>0</Lines>
  <Paragraphs>0</Paragraphs>
  <TotalTime>1103</TotalTime>
  <ScaleCrop>false</ScaleCrop>
  <LinksUpToDate>false</LinksUpToDate>
  <CharactersWithSpaces>7451</CharactersWithSpaces>
  <Application>WPS Office_12.1.0.23542_F1E327BC-269C-435d-A152-05C5408002CA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2026-03-28T06:29:00Z</dcterms:created>
  <dc:creator>WJW刘万哲</dc:creator>
  <cp:lastModifiedBy>WJW刘万哲</cp:lastModifiedBy>
  <dcterms:modified xsi:type="dcterms:W3CDTF">2026-03-31T01:57:59Z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2052-12.1.0.23542</vt:lpwstr>
  </property>
  <property fmtid="{D5CDD505-2E9C-101B-9397-08002B2CF9AE}" pid="3" name="ICV">
    <vt:lpwstr>AF715C55A8CB4183ACF6033D63F58DA2_13</vt:lpwstr>
  </property>
  <property fmtid="{D5CDD505-2E9C-101B-9397-08002B2CF9AE}" pid="4" name="KSOTemplateDocerSaveRecord">
    <vt:lpwstr>eyJoZGlkIjoiNmUzMjZjNGQxMDVkMzFmM2ZlYmY4ZGQ1YjEwMTg2OTMiLCJ1c2VySWQiOiI0MjY0MDkzOTEifQ==</vt:lpwstr>
  </property>
</Properties>
</file>