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5E963">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准格尔旗水利局</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准格尔旗</w:t>
      </w:r>
      <w:r>
        <w:rPr>
          <w:rFonts w:hint="eastAsia" w:ascii="方正小标宋简体" w:hAnsi="方正小标宋简体" w:eastAsia="方正小标宋简体" w:cs="方正小标宋简体"/>
          <w:sz w:val="44"/>
          <w:szCs w:val="44"/>
          <w:lang w:eastAsia="zh-CN"/>
        </w:rPr>
        <w:t>税务</w:t>
      </w:r>
      <w:r>
        <w:rPr>
          <w:rFonts w:hint="eastAsia" w:ascii="方正小标宋简体" w:hAnsi="方正小标宋简体" w:eastAsia="方正小标宋简体" w:cs="方正小标宋简体"/>
          <w:sz w:val="44"/>
          <w:szCs w:val="44"/>
        </w:rPr>
        <w:t>局</w:t>
      </w:r>
    </w:p>
    <w:p w14:paraId="5F3AEEF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关于开展</w:t>
      </w:r>
      <w:r>
        <w:rPr>
          <w:rFonts w:hint="eastAsia" w:ascii="方正小标宋简体" w:hAnsi="方正小标宋简体" w:eastAsia="方正小标宋简体" w:cs="方正小标宋简体"/>
          <w:sz w:val="44"/>
          <w:szCs w:val="44"/>
          <w:lang w:eastAsia="zh-CN"/>
        </w:rPr>
        <w:t>重点监控取用水户高耗水行业</w:t>
      </w:r>
    </w:p>
    <w:p w14:paraId="3A65AB42">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sz w:val="36"/>
          <w:szCs w:val="36"/>
        </w:rPr>
      </w:pPr>
      <w:r>
        <w:rPr>
          <w:rFonts w:hint="eastAsia" w:ascii="方正小标宋简体" w:hAnsi="方正小标宋简体" w:eastAsia="方正小标宋简体" w:cs="方正小标宋简体"/>
          <w:sz w:val="44"/>
          <w:szCs w:val="44"/>
          <w:lang w:eastAsia="zh-CN"/>
        </w:rPr>
        <w:t>用水情况</w:t>
      </w:r>
      <w:r>
        <w:rPr>
          <w:rFonts w:hint="eastAsia" w:ascii="方正小标宋简体" w:hAnsi="方正小标宋简体" w:eastAsia="方正小标宋简体" w:cs="方正小标宋简体"/>
          <w:sz w:val="44"/>
          <w:szCs w:val="44"/>
        </w:rPr>
        <w:t>联合检查的通知</w:t>
      </w:r>
    </w:p>
    <w:bookmarkEnd w:id="0"/>
    <w:p w14:paraId="5F549192">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14:paraId="4D1C8954">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全旗各高耗水行业取用水单位</w:t>
      </w:r>
      <w:r>
        <w:rPr>
          <w:rFonts w:hint="eastAsia" w:ascii="仿宋_GB2312" w:hAnsi="仿宋_GB2312" w:eastAsia="仿宋_GB2312" w:cs="仿宋_GB2312"/>
          <w:sz w:val="32"/>
          <w:szCs w:val="32"/>
        </w:rPr>
        <w:t>：</w:t>
      </w:r>
    </w:p>
    <w:p w14:paraId="5B74467B">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为深入贯彻最严格水资源管理制度,严厉打击违法取用水行为,加强对高耗水行业的监管和规范,根据《中华人民共和国水法》《中华人民共和国黄河保护法》《取水许可和水资源费征收管理条例》《地下水管理条例》《节约用水条例》《计划用水管理办法》《水资源税改革试点实施办法》,按照</w:t>
      </w:r>
      <w:r>
        <w:rPr>
          <w:rFonts w:hint="eastAsia" w:ascii="仿宋_GB2312" w:hAnsi="仿宋_GB2312" w:eastAsia="仿宋_GB2312" w:cs="仿宋_GB2312"/>
          <w:sz w:val="32"/>
          <w:szCs w:val="32"/>
          <w:lang w:eastAsia="zh-CN"/>
        </w:rPr>
        <w:t>《准格尔旗人民政府行政执法协调管理局关于报送行政执法检查相关情况的通知》《准格尔旗严格规范涉企行政检查为企业减负六条措施（试行）》</w:t>
      </w:r>
      <w:r>
        <w:rPr>
          <w:rFonts w:hint="eastAsia" w:ascii="仿宋_GB2312" w:hAnsi="仿宋_GB2312" w:eastAsia="仿宋_GB2312" w:cs="仿宋_GB2312"/>
          <w:sz w:val="32"/>
          <w:szCs w:val="32"/>
        </w:rPr>
        <w:t>要求，为</w:t>
      </w:r>
      <w:r>
        <w:rPr>
          <w:rFonts w:hint="eastAsia" w:ascii="仿宋_GB2312" w:hAnsi="仿宋_GB2312" w:eastAsia="仿宋_GB2312" w:cs="仿宋_GB2312"/>
          <w:sz w:val="32"/>
          <w:szCs w:val="32"/>
          <w:lang w:eastAsia="zh-CN"/>
        </w:rPr>
        <w:t>实现“三条红线”刚性约束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维护水生态平衡，保障民生用水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生态安全</w:t>
      </w:r>
      <w:r>
        <w:rPr>
          <w:rFonts w:hint="eastAsia" w:ascii="仿宋_GB2312" w:hAnsi="仿宋_GB2312" w:eastAsia="仿宋_GB2312" w:cs="仿宋_GB2312"/>
          <w:sz w:val="32"/>
          <w:szCs w:val="32"/>
          <w:lang w:val="en-US" w:eastAsia="zh-CN"/>
        </w:rPr>
        <w:t>,促进经济社会协调发展,</w:t>
      </w:r>
      <w:r>
        <w:rPr>
          <w:rFonts w:hint="eastAsia" w:ascii="仿宋_GB2312" w:hAnsi="仿宋_GB2312" w:eastAsia="仿宋_GB2312" w:cs="仿宋_GB2312"/>
          <w:sz w:val="32"/>
          <w:szCs w:val="32"/>
        </w:rPr>
        <w:t>准格尔旗水利局、准格尔旗</w:t>
      </w:r>
      <w:r>
        <w:rPr>
          <w:rFonts w:hint="eastAsia" w:ascii="仿宋_GB2312" w:hAnsi="仿宋_GB2312" w:eastAsia="仿宋_GB2312" w:cs="仿宋_GB2312"/>
          <w:sz w:val="32"/>
          <w:szCs w:val="32"/>
          <w:lang w:eastAsia="zh-CN"/>
        </w:rPr>
        <w:t>税务</w:t>
      </w:r>
      <w:r>
        <w:rPr>
          <w:rFonts w:hint="eastAsia" w:ascii="仿宋_GB2312" w:hAnsi="仿宋_GB2312" w:eastAsia="仿宋_GB2312" w:cs="仿宋_GB2312"/>
          <w:sz w:val="32"/>
          <w:szCs w:val="32"/>
        </w:rPr>
        <w:t>局将对全旗</w:t>
      </w:r>
      <w:r>
        <w:rPr>
          <w:rFonts w:hint="eastAsia" w:ascii="仿宋_GB2312" w:hAnsi="仿宋_GB2312" w:eastAsia="仿宋_GB2312" w:cs="仿宋_GB2312"/>
          <w:sz w:val="32"/>
          <w:szCs w:val="32"/>
          <w:lang w:eastAsia="zh-CN"/>
        </w:rPr>
        <w:t>开展重点监控取用水户高耗水行业用水情况联合检查。</w:t>
      </w:r>
      <w:r>
        <w:rPr>
          <w:rFonts w:hint="eastAsia" w:ascii="仿宋_GB2312" w:hAnsi="仿宋_GB2312" w:eastAsia="仿宋_GB2312" w:cs="仿宋_GB2312"/>
          <w:sz w:val="32"/>
          <w:szCs w:val="32"/>
        </w:rPr>
        <w:t>具体内容如下：</w:t>
      </w:r>
    </w:p>
    <w:p w14:paraId="3DC405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一、检查时间</w:t>
      </w:r>
    </w:p>
    <w:p w14:paraId="566A970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年3月至202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月。</w:t>
      </w:r>
    </w:p>
    <w:p w14:paraId="3D94A3B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检查对象及内容</w:t>
      </w:r>
    </w:p>
    <w:p w14:paraId="40E0CE0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检查对象：高耗水行业取用水单位</w:t>
      </w:r>
      <w:r>
        <w:rPr>
          <w:rFonts w:hint="eastAsia" w:ascii="仿宋_GB2312" w:hAnsi="仿宋_GB2312" w:eastAsia="仿宋_GB2312" w:cs="仿宋_GB2312"/>
          <w:sz w:val="32"/>
          <w:szCs w:val="32"/>
          <w:lang w:val="en-US" w:eastAsia="zh-CN"/>
        </w:rPr>
        <w:t>;</w:t>
      </w:r>
    </w:p>
    <w:p w14:paraId="261BFAB5">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检查内容：</w:t>
      </w:r>
    </w:p>
    <w:p w14:paraId="7CFB96A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1、取水许可合规性;</w:t>
      </w:r>
    </w:p>
    <w:p w14:paraId="1DBCD71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2、取水单位计量设施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节水设施运行情况</w:t>
      </w:r>
      <w:r>
        <w:rPr>
          <w:rFonts w:hint="eastAsia" w:ascii="仿宋_GB2312" w:hAnsi="仿宋_GB2312" w:eastAsia="仿宋_GB2312" w:cs="仿宋_GB2312"/>
          <w:sz w:val="32"/>
          <w:szCs w:val="32"/>
          <w:lang w:val="en-US" w:eastAsia="zh-CN"/>
        </w:rPr>
        <w:t>;</w:t>
      </w:r>
    </w:p>
    <w:p w14:paraId="58B3A3E9">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3、节水设施建设情况;</w:t>
      </w:r>
    </w:p>
    <w:p w14:paraId="7BB9FC6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4、是否违规取用地下水;</w:t>
      </w:r>
    </w:p>
    <w:p w14:paraId="064ACC4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5、是否按批复水源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取水方式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取水规模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取水量取用水资源</w:t>
      </w:r>
      <w:r>
        <w:rPr>
          <w:rFonts w:hint="eastAsia" w:ascii="仿宋_GB2312" w:hAnsi="仿宋_GB2312" w:eastAsia="仿宋_GB2312" w:cs="仿宋_GB2312"/>
          <w:sz w:val="32"/>
          <w:szCs w:val="32"/>
          <w:lang w:val="en-US" w:eastAsia="zh-CN"/>
        </w:rPr>
        <w:t>,是否存在超计划用水;</w:t>
      </w:r>
    </w:p>
    <w:p w14:paraId="57C0297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6、年度取水报送情况;</w:t>
      </w:r>
    </w:p>
    <w:p w14:paraId="04F0B05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7、用水企业取水计量设施及取水数据核查</w:t>
      </w:r>
    </w:p>
    <w:p w14:paraId="21E4BA7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水资源税是否按期足额缴纳</w:t>
      </w:r>
      <w:r>
        <w:rPr>
          <w:rFonts w:hint="eastAsia" w:ascii="仿宋_GB2312" w:hAnsi="仿宋_GB2312" w:eastAsia="仿宋_GB2312" w:cs="仿宋_GB2312"/>
          <w:sz w:val="32"/>
          <w:szCs w:val="32"/>
          <w:lang w:val="en-US" w:eastAsia="zh-CN"/>
        </w:rPr>
        <w:t>;</w:t>
      </w:r>
    </w:p>
    <w:p w14:paraId="64684F4C">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计量数据与纳税申报是否一致</w:t>
      </w:r>
      <w:r>
        <w:rPr>
          <w:rFonts w:hint="eastAsia" w:ascii="仿宋_GB2312" w:hAnsi="仿宋_GB2312" w:eastAsia="仿宋_GB2312" w:cs="仿宋_GB2312"/>
          <w:sz w:val="32"/>
          <w:szCs w:val="32"/>
          <w:lang w:val="en-US" w:eastAsia="zh-CN"/>
        </w:rPr>
        <w:t>。</w:t>
      </w:r>
    </w:p>
    <w:p w14:paraId="442BA4D2">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、工作要求</w:t>
      </w:r>
    </w:p>
    <w:p w14:paraId="0C3AA3E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1.强化协同联动：水利与</w:t>
      </w:r>
      <w:r>
        <w:rPr>
          <w:rFonts w:hint="eastAsia" w:ascii="仿宋_GB2312" w:hAnsi="仿宋_GB2312" w:eastAsia="仿宋_GB2312" w:cs="仿宋_GB2312"/>
          <w:sz w:val="32"/>
          <w:szCs w:val="32"/>
          <w:lang w:eastAsia="zh-CN"/>
        </w:rPr>
        <w:t>税务</w:t>
      </w:r>
      <w:r>
        <w:rPr>
          <w:rFonts w:hint="eastAsia" w:ascii="仿宋_GB2312" w:hAnsi="仿宋_GB2312" w:eastAsia="仿宋_GB2312" w:cs="仿宋_GB2312"/>
          <w:sz w:val="32"/>
          <w:szCs w:val="32"/>
        </w:rPr>
        <w:t>监管部门明确分工边界，建立信息共享、线索移交、联合研判机制，避免重复检查或监管空白，提升执法效率。</w:t>
      </w:r>
    </w:p>
    <w:p w14:paraId="5BA4E42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2.严格执法规范：执法人员需持证上岗，全程记录检查过程（含文字、影像资料），适用法律条款准确，处罚程序合法合规，保障行政相对人合法权益。</w:t>
      </w:r>
    </w:p>
    <w:p w14:paraId="69B1A09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3.深化普法宣传：结合检查案例，向用水单位宣讲取水许可、计量管理、节水设施建设等相关法律法规，引导主动落实主体责任。</w:t>
      </w:r>
    </w:p>
    <w:p w14:paraId="1BB6EC1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4.突出问题整改：对检查发现的问题实行“清单化管理、闭环式整改”，明确整改时限、责任人和验收标准，定期回头看，严防问题反弹。</w:t>
      </w:r>
    </w:p>
    <w:p w14:paraId="551F7C53">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5.强化信用监管：将检查结果、整改情况纳入用水单位信用档案，对严重违法失信主体实施联合惩戒，倒逼合规经营。</w:t>
      </w:r>
    </w:p>
    <w:p w14:paraId="756B5A7A">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6.公开接受监督：及时通过政府官网、政务新媒体等渠道，公示检查对象、检查结果及整改情况，主动接受社会公众和舆论监督。</w:t>
      </w:r>
    </w:p>
    <w:p w14:paraId="13EE3230">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附件：2026年准格尔旗水利局、国家税务总局准格尔旗税务局跨部门联合“双随机、一公开”任务检查计划表</w:t>
      </w:r>
    </w:p>
    <w:p w14:paraId="50307961">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p>
    <w:p w14:paraId="6AA237E5">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lang w:eastAsia="zh-CN"/>
        </w:rPr>
      </w:pPr>
    </w:p>
    <w:p w14:paraId="69449CFD">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准格尔旗税务局                  </w:t>
      </w:r>
      <w:r>
        <w:rPr>
          <w:rFonts w:hint="eastAsia" w:ascii="仿宋_GB2312" w:hAnsi="仿宋_GB2312" w:eastAsia="仿宋_GB2312" w:cs="仿宋_GB2312"/>
          <w:sz w:val="32"/>
          <w:szCs w:val="32"/>
          <w:lang w:eastAsia="zh-CN"/>
        </w:rPr>
        <w:t>准格尔旗水利局</w:t>
      </w:r>
      <w:r>
        <w:rPr>
          <w:rFonts w:hint="eastAsia" w:ascii="仿宋_GB2312" w:hAnsi="仿宋_GB2312" w:eastAsia="仿宋_GB2312" w:cs="仿宋_GB2312"/>
          <w:sz w:val="32"/>
          <w:szCs w:val="32"/>
          <w:lang w:val="en-US" w:eastAsia="zh-CN"/>
        </w:rPr>
        <w:t xml:space="preserve">           </w:t>
      </w:r>
    </w:p>
    <w:p w14:paraId="3DAFA19C">
      <w:pPr>
        <w:keepNext w:val="0"/>
        <w:keepLines w:val="0"/>
        <w:pageBreakBefore w:val="0"/>
        <w:widowControl w:val="0"/>
        <w:kinsoku/>
        <w:wordWrap/>
        <w:overflowPunct/>
        <w:topLinePunct w:val="0"/>
        <w:autoSpaceDE/>
        <w:autoSpaceDN/>
        <w:bidi w:val="0"/>
        <w:adjustRightInd/>
        <w:snapToGrid/>
        <w:spacing w:line="578" w:lineRule="exact"/>
        <w:ind w:firstLine="4160" w:firstLineChars="1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2025年3月27日</w:t>
      </w:r>
    </w:p>
    <w:p w14:paraId="6AF1A029">
      <w:pPr>
        <w:keepNext w:val="0"/>
        <w:keepLines w:val="0"/>
        <w:pageBreakBefore w:val="0"/>
        <w:widowControl w:val="0"/>
        <w:kinsoku/>
        <w:wordWrap/>
        <w:overflowPunct/>
        <w:topLinePunct w:val="0"/>
        <w:autoSpaceDE/>
        <w:autoSpaceDN/>
        <w:bidi w:val="0"/>
        <w:adjustRightInd/>
        <w:snapToGrid/>
        <w:spacing w:line="578" w:lineRule="exact"/>
        <w:ind w:firstLine="4160" w:firstLineChars="1300"/>
        <w:textAlignment w:val="auto"/>
        <w:rPr>
          <w:rFonts w:hint="default" w:ascii="仿宋_GB2312" w:hAnsi="仿宋_GB2312" w:eastAsia="仿宋_GB2312" w:cs="仿宋_GB2312"/>
          <w:sz w:val="32"/>
          <w:szCs w:val="32"/>
          <w:lang w:val="en-US" w:eastAsia="zh-CN"/>
        </w:rPr>
      </w:pPr>
    </w:p>
    <w:p w14:paraId="4968EA89">
      <w:pPr>
        <w:keepNext w:val="0"/>
        <w:keepLines w:val="0"/>
        <w:pageBreakBefore w:val="0"/>
        <w:widowControl w:val="0"/>
        <w:kinsoku/>
        <w:wordWrap/>
        <w:overflowPunct/>
        <w:topLinePunct w:val="0"/>
        <w:autoSpaceDE/>
        <w:autoSpaceDN/>
        <w:bidi w:val="0"/>
        <w:adjustRightInd/>
        <w:snapToGrid/>
        <w:spacing w:line="578" w:lineRule="exact"/>
        <w:ind w:firstLine="4160" w:firstLineChars="1300"/>
        <w:textAlignment w:val="auto"/>
        <w:rPr>
          <w:rFonts w:hint="default" w:ascii="仿宋_GB2312" w:hAnsi="仿宋_GB2312" w:eastAsia="仿宋_GB2312" w:cs="仿宋_GB2312"/>
          <w:sz w:val="32"/>
          <w:szCs w:val="32"/>
          <w:lang w:val="en-US" w:eastAsia="zh-CN"/>
        </w:rPr>
      </w:pPr>
    </w:p>
    <w:p w14:paraId="3211BE73">
      <w:pPr>
        <w:keepNext w:val="0"/>
        <w:keepLines w:val="0"/>
        <w:pageBreakBefore w:val="0"/>
        <w:widowControl w:val="0"/>
        <w:kinsoku/>
        <w:wordWrap/>
        <w:overflowPunct/>
        <w:topLinePunct w:val="0"/>
        <w:autoSpaceDE/>
        <w:autoSpaceDN/>
        <w:bidi w:val="0"/>
        <w:adjustRightInd/>
        <w:snapToGrid/>
        <w:spacing w:line="578" w:lineRule="exact"/>
        <w:ind w:firstLine="4160" w:firstLineChars="1300"/>
        <w:textAlignment w:val="auto"/>
        <w:rPr>
          <w:rFonts w:hint="default" w:ascii="仿宋_GB2312" w:hAnsi="仿宋_GB2312" w:eastAsia="仿宋_GB2312" w:cs="仿宋_GB2312"/>
          <w:sz w:val="32"/>
          <w:szCs w:val="32"/>
          <w:lang w:val="en-US" w:eastAsia="zh-CN"/>
        </w:rPr>
      </w:pPr>
    </w:p>
    <w:p w14:paraId="48E8E428">
      <w:pPr>
        <w:keepNext w:val="0"/>
        <w:keepLines w:val="0"/>
        <w:pageBreakBefore w:val="0"/>
        <w:widowControl w:val="0"/>
        <w:kinsoku/>
        <w:wordWrap/>
        <w:overflowPunct/>
        <w:topLinePunct w:val="0"/>
        <w:autoSpaceDE/>
        <w:autoSpaceDN/>
        <w:bidi w:val="0"/>
        <w:adjustRightInd/>
        <w:snapToGrid/>
        <w:spacing w:line="578" w:lineRule="exact"/>
        <w:ind w:firstLine="4160" w:firstLineChars="1300"/>
        <w:textAlignment w:val="auto"/>
        <w:rPr>
          <w:rFonts w:hint="default" w:ascii="仿宋_GB2312" w:hAnsi="仿宋_GB2312" w:eastAsia="仿宋_GB2312" w:cs="仿宋_GB2312"/>
          <w:sz w:val="32"/>
          <w:szCs w:val="32"/>
          <w:lang w:val="en-US" w:eastAsia="zh-CN"/>
        </w:rPr>
      </w:pPr>
    </w:p>
    <w:p w14:paraId="67B37925">
      <w:pPr>
        <w:keepNext w:val="0"/>
        <w:keepLines w:val="0"/>
        <w:pageBreakBefore w:val="0"/>
        <w:widowControl w:val="0"/>
        <w:kinsoku/>
        <w:wordWrap/>
        <w:overflowPunct/>
        <w:topLinePunct w:val="0"/>
        <w:autoSpaceDE/>
        <w:autoSpaceDN/>
        <w:bidi w:val="0"/>
        <w:adjustRightInd/>
        <w:snapToGrid/>
        <w:spacing w:line="578" w:lineRule="exact"/>
        <w:ind w:firstLine="4160" w:firstLineChars="1300"/>
        <w:textAlignment w:val="auto"/>
        <w:rPr>
          <w:rFonts w:hint="default" w:ascii="仿宋_GB2312" w:hAnsi="仿宋_GB2312" w:eastAsia="仿宋_GB2312" w:cs="仿宋_GB2312"/>
          <w:sz w:val="32"/>
          <w:szCs w:val="32"/>
          <w:lang w:val="en-US" w:eastAsia="zh-CN"/>
        </w:rPr>
      </w:pPr>
    </w:p>
    <w:p w14:paraId="31A8034D">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仿宋_GB2312" w:hAnsi="仿宋_GB2312" w:eastAsia="仿宋_GB2312" w:cs="仿宋_GB2312"/>
          <w:sz w:val="32"/>
          <w:szCs w:val="32"/>
          <w:lang w:val="en-US" w:eastAsia="zh-CN"/>
        </w:rPr>
      </w:pPr>
    </w:p>
    <w:p w14:paraId="3198A426">
      <w:pPr>
        <w:keepNext w:val="0"/>
        <w:keepLines w:val="0"/>
        <w:pageBreakBefore w:val="0"/>
        <w:widowControl/>
        <w:suppressLineNumbers w:val="0"/>
        <w:kinsoku/>
        <w:wordWrap/>
        <w:overflowPunct/>
        <w:topLinePunct w:val="0"/>
        <w:autoSpaceDE/>
        <w:autoSpaceDN/>
        <w:bidi w:val="0"/>
        <w:adjustRightInd w:val="0"/>
        <w:snapToGrid w:val="0"/>
        <w:spacing w:line="578" w:lineRule="exact"/>
        <w:ind w:left="0" w:leftChars="0" w:right="0" w:rightChars="0" w:firstLine="0" w:firstLineChars="0"/>
        <w:jc w:val="left"/>
        <w:textAlignment w:val="center"/>
        <w:rPr>
          <w:rFonts w:hint="eastAsia" w:ascii="仿宋_GB2312" w:hAnsi="仿宋_GB2312" w:eastAsia="仿宋_GB2312" w:cs="仿宋_GB2312"/>
          <w:b/>
          <w:bCs/>
          <w:i w:val="0"/>
          <w:iCs w:val="0"/>
          <w:snapToGrid w:val="0"/>
          <w:color w:val="000000"/>
          <w:kern w:val="0"/>
          <w:sz w:val="32"/>
          <w:szCs w:val="32"/>
          <w:u w:val="none"/>
          <w:lang w:val="en-US" w:eastAsia="zh-CN" w:bidi="ar"/>
        </w:rPr>
      </w:pPr>
      <w:r>
        <w:rPr>
          <w:rFonts w:hint="eastAsia" w:ascii="仿宋_GB2312" w:hAnsi="仿宋_GB2312" w:eastAsia="仿宋_GB2312" w:cs="仿宋_GB2312"/>
          <w:b/>
          <w:bCs/>
          <w:i w:val="0"/>
          <w:iCs w:val="0"/>
          <w:snapToGrid w:val="0"/>
          <w:color w:val="000000"/>
          <w:kern w:val="0"/>
          <w:sz w:val="32"/>
          <w:szCs w:val="32"/>
          <w:u w:val="none"/>
          <w:lang w:val="en-US" w:eastAsia="zh-CN" w:bidi="ar"/>
        </w:rPr>
        <w:t>附件</w:t>
      </w:r>
    </w:p>
    <w:p w14:paraId="5FF3473A">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i w:val="0"/>
          <w:iCs w:val="0"/>
          <w:snapToGrid w:val="0"/>
          <w:color w:val="000000"/>
          <w:kern w:val="0"/>
          <w:sz w:val="32"/>
          <w:szCs w:val="32"/>
          <w:u w:val="none"/>
          <w:lang w:val="en-US" w:eastAsia="zh-CN" w:bidi="ar"/>
        </w:rPr>
        <w:t>2026年准格尔旗水利局、国家税务总局准格尔旗税务局跨部门联合“双随机、一公开”任务检查计划表</w:t>
      </w:r>
    </w:p>
    <w:tbl>
      <w:tblPr>
        <w:tblStyle w:val="6"/>
        <w:tblW w:w="1075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76"/>
        <w:gridCol w:w="2715"/>
        <w:gridCol w:w="2184"/>
        <w:gridCol w:w="991"/>
        <w:gridCol w:w="1421"/>
        <w:gridCol w:w="2669"/>
      </w:tblGrid>
      <w:tr w14:paraId="3E547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tblHeader/>
          <w:jc w:val="center"/>
        </w:trPr>
        <w:tc>
          <w:tcPr>
            <w:tcW w:w="776" w:type="dxa"/>
            <w:tcBorders>
              <w:top w:val="single" w:color="000000" w:sz="4" w:space="0"/>
              <w:left w:val="single" w:color="000000" w:sz="4" w:space="0"/>
              <w:bottom w:val="single" w:color="000000" w:sz="4" w:space="0"/>
              <w:right w:val="single" w:color="000000" w:sz="4" w:space="0"/>
            </w:tcBorders>
            <w:noWrap w:val="0"/>
            <w:vAlign w:val="center"/>
          </w:tcPr>
          <w:p w14:paraId="730A30E4">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i w:val="0"/>
                <w:iCs w:val="0"/>
                <w:color w:val="000000"/>
                <w:sz w:val="21"/>
                <w:szCs w:val="21"/>
                <w:u w:val="none"/>
              </w:rPr>
            </w:pPr>
            <w:r>
              <w:rPr>
                <w:rFonts w:ascii="宋体" w:hAnsi="宋体" w:eastAsia="宋体" w:cs="宋体"/>
                <w:b/>
                <w:i w:val="0"/>
                <w:iCs w:val="0"/>
                <w:color w:val="000000"/>
                <w:kern w:val="0"/>
                <w:sz w:val="21"/>
                <w:szCs w:val="21"/>
                <w:u w:val="none"/>
                <w:lang w:val="en-US" w:eastAsia="zh-CN" w:bidi="ar"/>
              </w:rPr>
              <w:t>序号</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3C6FE5E4">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i w:val="0"/>
                <w:iCs w:val="0"/>
                <w:color w:val="000000"/>
                <w:sz w:val="21"/>
                <w:szCs w:val="21"/>
                <w:u w:val="none"/>
              </w:rPr>
            </w:pPr>
            <w:r>
              <w:rPr>
                <w:rFonts w:ascii="宋体" w:hAnsi="宋体" w:eastAsia="宋体" w:cs="宋体"/>
                <w:b/>
                <w:i w:val="0"/>
                <w:iCs w:val="0"/>
                <w:color w:val="000000"/>
                <w:kern w:val="0"/>
                <w:sz w:val="21"/>
                <w:szCs w:val="21"/>
                <w:u w:val="none"/>
                <w:lang w:val="en-US" w:eastAsia="zh-CN" w:bidi="ar"/>
              </w:rPr>
              <w:t>检查对象</w:t>
            </w:r>
          </w:p>
        </w:tc>
        <w:tc>
          <w:tcPr>
            <w:tcW w:w="2184" w:type="dxa"/>
            <w:tcBorders>
              <w:top w:val="single" w:color="000000" w:sz="4" w:space="0"/>
              <w:left w:val="single" w:color="000000" w:sz="4" w:space="0"/>
              <w:bottom w:val="single" w:color="000000" w:sz="4" w:space="0"/>
              <w:right w:val="single" w:color="000000" w:sz="4" w:space="0"/>
            </w:tcBorders>
            <w:noWrap w:val="0"/>
            <w:vAlign w:val="center"/>
          </w:tcPr>
          <w:p w14:paraId="36EF009C">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i w:val="0"/>
                <w:iCs w:val="0"/>
                <w:color w:val="000000"/>
                <w:sz w:val="21"/>
                <w:szCs w:val="21"/>
                <w:u w:val="none"/>
              </w:rPr>
            </w:pPr>
            <w:r>
              <w:rPr>
                <w:rFonts w:ascii="宋体" w:hAnsi="宋体" w:eastAsia="宋体" w:cs="宋体"/>
                <w:b/>
                <w:i w:val="0"/>
                <w:iCs w:val="0"/>
                <w:color w:val="000000"/>
                <w:kern w:val="0"/>
                <w:sz w:val="21"/>
                <w:szCs w:val="21"/>
                <w:u w:val="none"/>
                <w:lang w:val="en-US" w:eastAsia="zh-CN" w:bidi="ar"/>
              </w:rPr>
              <w:t>统一代码／注册号</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4D07EA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i w:val="0"/>
                <w:iCs w:val="0"/>
                <w:color w:val="000000"/>
                <w:sz w:val="21"/>
                <w:szCs w:val="22"/>
                <w:u w:val="none"/>
              </w:rPr>
            </w:pPr>
            <w:r>
              <w:rPr>
                <w:rStyle w:val="8"/>
                <w:rFonts w:ascii="宋体" w:eastAsia="宋体"/>
                <w:b/>
                <w:sz w:val="21"/>
                <w:lang w:val="en-US" w:eastAsia="zh-CN" w:bidi="ar"/>
              </w:rPr>
              <w:t>联络员姓名</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1496C612">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i w:val="0"/>
                <w:iCs w:val="0"/>
                <w:color w:val="000000"/>
                <w:sz w:val="21"/>
                <w:szCs w:val="21"/>
                <w:u w:val="none"/>
              </w:rPr>
            </w:pPr>
            <w:r>
              <w:rPr>
                <w:rFonts w:ascii="宋体" w:hAnsi="宋体" w:eastAsia="宋体" w:cs="宋体"/>
                <w:b/>
                <w:i w:val="0"/>
                <w:iCs w:val="0"/>
                <w:color w:val="000000"/>
                <w:kern w:val="0"/>
                <w:sz w:val="21"/>
                <w:szCs w:val="21"/>
                <w:u w:val="none"/>
                <w:lang w:val="en-US" w:eastAsia="zh-CN" w:bidi="ar"/>
              </w:rPr>
              <w:t>联络员电话</w:t>
            </w:r>
          </w:p>
        </w:tc>
        <w:tc>
          <w:tcPr>
            <w:tcW w:w="2669" w:type="dxa"/>
            <w:tcBorders>
              <w:top w:val="single" w:color="000000" w:sz="4" w:space="0"/>
              <w:left w:val="single" w:color="000000" w:sz="4" w:space="0"/>
              <w:bottom w:val="single" w:color="000000" w:sz="4" w:space="0"/>
              <w:right w:val="single" w:color="000000" w:sz="4" w:space="0"/>
            </w:tcBorders>
            <w:noWrap w:val="0"/>
            <w:vAlign w:val="center"/>
          </w:tcPr>
          <w:p w14:paraId="78AC11E2">
            <w:pPr>
              <w:keepNext w:val="0"/>
              <w:keepLines w:val="0"/>
              <w:widowControl/>
              <w:suppressLineNumbers w:val="0"/>
              <w:snapToGrid w:val="0"/>
              <w:ind w:left="0" w:leftChars="0" w:right="0" w:rightChars="0" w:firstLine="0" w:firstLineChars="0"/>
              <w:jc w:val="center"/>
              <w:textAlignment w:val="center"/>
              <w:rPr>
                <w:rFonts w:ascii="宋体" w:hAnsi="宋体" w:eastAsia="宋体" w:cs="宋体"/>
                <w:b/>
                <w:i w:val="0"/>
                <w:iCs w:val="0"/>
                <w:color w:val="000000"/>
                <w:sz w:val="21"/>
                <w:szCs w:val="21"/>
                <w:u w:val="none"/>
              </w:rPr>
            </w:pPr>
            <w:r>
              <w:rPr>
                <w:rFonts w:ascii="宋体" w:hAnsi="宋体" w:eastAsia="宋体" w:cs="宋体"/>
                <w:b/>
                <w:i w:val="0"/>
                <w:iCs w:val="0"/>
                <w:color w:val="000000"/>
                <w:kern w:val="0"/>
                <w:sz w:val="21"/>
                <w:szCs w:val="21"/>
                <w:u w:val="none"/>
                <w:lang w:val="en-US" w:eastAsia="zh-CN" w:bidi="ar"/>
              </w:rPr>
              <w:t>执法检查人员</w:t>
            </w:r>
          </w:p>
        </w:tc>
      </w:tr>
      <w:tr w14:paraId="26964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171861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71C028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内蒙古京泰发电有限责任公司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977E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91150622667336100M</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60D931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刘佳琦</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1FB2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18047381869</w:t>
            </w:r>
          </w:p>
        </w:tc>
        <w:tc>
          <w:tcPr>
            <w:tcW w:w="2669" w:type="dxa"/>
            <w:vMerge w:val="restart"/>
            <w:tcBorders>
              <w:top w:val="single" w:color="000000" w:sz="4" w:space="0"/>
              <w:left w:val="single" w:color="000000" w:sz="4" w:space="0"/>
              <w:bottom w:val="single" w:color="000000" w:sz="4" w:space="0"/>
              <w:right w:val="single" w:color="000000" w:sz="4" w:space="0"/>
            </w:tcBorders>
            <w:noWrap w:val="0"/>
            <w:vAlign w:val="center"/>
          </w:tcPr>
          <w:p w14:paraId="793D61D6">
            <w:pPr>
              <w:keepNext w:val="0"/>
              <w:keepLines w:val="0"/>
              <w:widowControl/>
              <w:suppressLineNumbers w:val="0"/>
              <w:snapToGrid w:val="0"/>
              <w:ind w:left="0" w:leftChars="0" w:right="0" w:rightChars="0" w:firstLine="0" w:firstLineChars="0"/>
              <w:jc w:val="center"/>
              <w:textAlignment w:val="center"/>
              <w:rPr>
                <w:rStyle w:val="8"/>
                <w:rFonts w:hint="eastAsia" w:ascii="宋体" w:hAnsi="宋体" w:eastAsia="宋体" w:cs="宋体"/>
                <w:sz w:val="21"/>
                <w:lang w:val="en-US" w:eastAsia="zh-CN" w:bidi="ar"/>
              </w:rPr>
            </w:pPr>
            <w:r>
              <w:rPr>
                <w:rStyle w:val="8"/>
                <w:rFonts w:ascii="宋体" w:hAnsi="宋体" w:eastAsia="宋体" w:cs="宋体"/>
                <w:sz w:val="21"/>
                <w:lang w:val="en-US" w:eastAsia="zh-CN" w:bidi="ar"/>
              </w:rPr>
              <w:t>准格尔旗水利局：房乐</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准格尔旗水利局：刘轩甫</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国家税务总局准格尔旗税务局：刘晓锋（</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国家税务总局准格尔旗税务局：宋焱（</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w:t>
            </w:r>
          </w:p>
        </w:tc>
      </w:tr>
      <w:tr w14:paraId="4408A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7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1F9E9C">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6C1089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内蒙古满世煤炭集团罐子沟煤炭有限责任公司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87E9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91150622683422631H</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270E4A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张瑞君</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5A97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14747991188</w:t>
            </w:r>
          </w:p>
        </w:tc>
        <w:tc>
          <w:tcPr>
            <w:tcW w:w="26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089B7D">
            <w:pPr>
              <w:keepNext w:val="0"/>
              <w:keepLines w:val="0"/>
              <w:widowControl/>
              <w:suppressLineNumbers w:val="0"/>
              <w:snapToGrid w:val="0"/>
              <w:ind w:left="0" w:leftChars="0" w:right="0" w:rightChars="0" w:firstLine="0" w:firstLineChars="0"/>
              <w:jc w:val="center"/>
              <w:textAlignment w:val="center"/>
              <w:rPr>
                <w:rStyle w:val="8"/>
                <w:rFonts w:hint="eastAsia" w:ascii="宋体" w:hAnsi="宋体" w:eastAsia="宋体" w:cs="宋体"/>
                <w:sz w:val="21"/>
                <w:lang w:val="en-US" w:eastAsia="zh-CN" w:bidi="ar"/>
              </w:rPr>
            </w:pPr>
          </w:p>
        </w:tc>
      </w:tr>
      <w:tr w14:paraId="3AC9D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jc w:val="center"/>
        </w:trPr>
        <w:tc>
          <w:tcPr>
            <w:tcW w:w="7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848BB7">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1E335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鄂尔多斯市大诚朗景酒店有限公司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1E84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91150622MABMANWWX9</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4FBFA9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党智慧</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29DB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15849723008</w:t>
            </w:r>
          </w:p>
        </w:tc>
        <w:tc>
          <w:tcPr>
            <w:tcW w:w="26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FFEC76">
            <w:pPr>
              <w:keepNext w:val="0"/>
              <w:keepLines w:val="0"/>
              <w:widowControl/>
              <w:suppressLineNumbers w:val="0"/>
              <w:snapToGrid w:val="0"/>
              <w:ind w:left="0" w:leftChars="0" w:right="0" w:rightChars="0" w:firstLine="0" w:firstLineChars="0"/>
              <w:jc w:val="center"/>
              <w:textAlignment w:val="center"/>
              <w:rPr>
                <w:rStyle w:val="8"/>
                <w:rFonts w:hint="eastAsia" w:ascii="宋体" w:hAnsi="宋体" w:eastAsia="宋体" w:cs="宋体"/>
                <w:sz w:val="21"/>
                <w:lang w:val="en-US" w:eastAsia="zh-CN" w:bidi="ar"/>
              </w:rPr>
            </w:pPr>
          </w:p>
        </w:tc>
      </w:tr>
      <w:tr w14:paraId="74F8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776" w:type="dxa"/>
            <w:vMerge w:val="restart"/>
            <w:tcBorders>
              <w:top w:val="single" w:color="000000" w:sz="4" w:space="0"/>
              <w:left w:val="single" w:color="000000" w:sz="4" w:space="0"/>
              <w:bottom w:val="single" w:color="000000" w:sz="4" w:space="0"/>
              <w:right w:val="single" w:color="000000" w:sz="4" w:space="0"/>
            </w:tcBorders>
            <w:noWrap w:val="0"/>
            <w:vAlign w:val="center"/>
          </w:tcPr>
          <w:p w14:paraId="3C5D723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64783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汇能控股集团有限公司长滩露天煤矿</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C847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91150622585188933U</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6D9CD0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刘增强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D2C5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13904779187</w:t>
            </w:r>
          </w:p>
        </w:tc>
        <w:tc>
          <w:tcPr>
            <w:tcW w:w="2669" w:type="dxa"/>
            <w:vMerge w:val="restart"/>
            <w:tcBorders>
              <w:top w:val="single" w:color="000000" w:sz="4" w:space="0"/>
              <w:left w:val="single" w:color="000000" w:sz="4" w:space="0"/>
              <w:bottom w:val="single" w:color="000000" w:sz="4" w:space="0"/>
              <w:right w:val="single" w:color="000000" w:sz="4" w:space="0"/>
            </w:tcBorders>
            <w:noWrap w:val="0"/>
            <w:vAlign w:val="center"/>
          </w:tcPr>
          <w:p w14:paraId="489654F9">
            <w:pPr>
              <w:keepNext w:val="0"/>
              <w:keepLines w:val="0"/>
              <w:widowControl/>
              <w:suppressLineNumbers w:val="0"/>
              <w:snapToGrid w:val="0"/>
              <w:ind w:left="0" w:leftChars="0" w:right="0" w:rightChars="0" w:firstLine="0" w:firstLineChars="0"/>
              <w:jc w:val="center"/>
              <w:textAlignment w:val="center"/>
              <w:rPr>
                <w:rStyle w:val="8"/>
                <w:rFonts w:hint="eastAsia" w:ascii="宋体" w:hAnsi="宋体" w:eastAsia="宋体" w:cs="宋体"/>
                <w:sz w:val="21"/>
                <w:lang w:val="en-US" w:eastAsia="zh-CN" w:bidi="ar"/>
              </w:rPr>
            </w:pPr>
            <w:r>
              <w:rPr>
                <w:rStyle w:val="8"/>
                <w:rFonts w:ascii="宋体" w:hAnsi="宋体" w:eastAsia="宋体" w:cs="宋体"/>
                <w:sz w:val="21"/>
                <w:lang w:val="en-US" w:eastAsia="zh-CN" w:bidi="ar"/>
              </w:rPr>
              <w:t>准格尔旗水利局：张伟</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1)</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准格尔旗水利局：贾梅</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国家税务总局准格尔旗税务局：许博（</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国家税务总局准格尔旗税务局：</w:t>
            </w:r>
            <w:r>
              <w:rPr>
                <w:rStyle w:val="8"/>
                <w:rFonts w:ascii="宋体" w:hAnsi="宋体" w:eastAsia="宋体" w:cs="宋体"/>
                <w:sz w:val="21"/>
                <w:lang w:val="en-US" w:eastAsia="zh-CN" w:bidi="ar"/>
              </w:rPr>
              <w:br w:type="textWrapping"/>
            </w:r>
            <w:r>
              <w:rPr>
                <w:rStyle w:val="8"/>
                <w:rFonts w:ascii="宋体" w:hAnsi="宋体" w:eastAsia="宋体" w:cs="宋体"/>
                <w:sz w:val="21"/>
                <w:lang w:val="en-US" w:eastAsia="zh-CN" w:bidi="ar"/>
              </w:rPr>
              <w:t>白明鑫（</w:t>
            </w:r>
            <w:r>
              <w:rPr>
                <w:rStyle w:val="8"/>
                <w:rFonts w:hint="eastAsia" w:ascii="宋体" w:hAnsi="宋体" w:eastAsia="宋体" w:cs="宋体"/>
                <w:sz w:val="21"/>
                <w:lang w:val="en-US" w:eastAsia="zh-CN" w:bidi="ar"/>
              </w:rPr>
              <w:t>0477-3863099</w:t>
            </w:r>
            <w:r>
              <w:rPr>
                <w:rStyle w:val="8"/>
                <w:rFonts w:ascii="宋体" w:hAnsi="宋体" w:eastAsia="宋体" w:cs="宋体"/>
                <w:sz w:val="21"/>
                <w:lang w:val="en-US" w:eastAsia="zh-CN" w:bidi="ar"/>
              </w:rPr>
              <w:t>）</w:t>
            </w:r>
          </w:p>
        </w:tc>
      </w:tr>
      <w:tr w14:paraId="44158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7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559D52">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160B0A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内蒙古昶通矿业有限公司</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C4D4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91150694MA0N5C9G6J</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0CBDDC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樊智飞</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C23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15734777221</w:t>
            </w:r>
          </w:p>
        </w:tc>
        <w:tc>
          <w:tcPr>
            <w:tcW w:w="26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3528B8">
            <w:pPr>
              <w:snapToGrid w:val="0"/>
              <w:ind w:left="0" w:leftChars="0" w:right="0" w:rightChars="0" w:firstLine="0" w:firstLineChars="0"/>
              <w:jc w:val="center"/>
              <w:rPr>
                <w:rFonts w:hint="eastAsia" w:ascii="宋体" w:hAnsi="宋体" w:eastAsia="宋体" w:cs="宋体"/>
                <w:i w:val="0"/>
                <w:iCs w:val="0"/>
                <w:color w:val="000000"/>
                <w:sz w:val="21"/>
                <w:szCs w:val="22"/>
                <w:u w:val="none"/>
              </w:rPr>
            </w:pPr>
          </w:p>
        </w:tc>
      </w:tr>
      <w:tr w14:paraId="5EF22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0" w:hRule="atLeast"/>
          <w:jc w:val="center"/>
        </w:trPr>
        <w:tc>
          <w:tcPr>
            <w:tcW w:w="776"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DA00AC">
            <w:pPr>
              <w:snapToGrid w:val="0"/>
              <w:ind w:left="0" w:leftChars="0" w:right="0" w:rightChars="0" w:firstLine="0" w:firstLineChars="0"/>
              <w:jc w:val="center"/>
              <w:rPr>
                <w:rFonts w:hint="eastAsia" w:ascii="宋体" w:hAnsi="宋体" w:eastAsia="宋体" w:cs="宋体"/>
                <w:i w:val="0"/>
                <w:iCs w:val="0"/>
                <w:color w:val="000000"/>
                <w:sz w:val="21"/>
                <w:szCs w:val="21"/>
                <w:u w:val="none"/>
              </w:rPr>
            </w:pPr>
          </w:p>
        </w:tc>
        <w:tc>
          <w:tcPr>
            <w:tcW w:w="2715" w:type="dxa"/>
            <w:tcBorders>
              <w:top w:val="single" w:color="000000" w:sz="4" w:space="0"/>
              <w:left w:val="single" w:color="000000" w:sz="4" w:space="0"/>
              <w:bottom w:val="single" w:color="000000" w:sz="4" w:space="0"/>
              <w:right w:val="single" w:color="000000" w:sz="4" w:space="0"/>
            </w:tcBorders>
            <w:noWrap w:val="0"/>
            <w:vAlign w:val="center"/>
          </w:tcPr>
          <w:p w14:paraId="009276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2"/>
                <w:u w:val="none"/>
              </w:rPr>
            </w:pPr>
            <w:r>
              <w:rPr>
                <w:rStyle w:val="8"/>
                <w:rFonts w:ascii="宋体" w:eastAsia="宋体"/>
                <w:sz w:val="21"/>
                <w:lang w:val="en-US" w:eastAsia="zh-CN" w:bidi="ar"/>
              </w:rPr>
              <w:t>准格尔旗美日煤炭有限责任公司</w:t>
            </w:r>
          </w:p>
        </w:tc>
        <w:tc>
          <w:tcPr>
            <w:tcW w:w="2184" w:type="dxa"/>
            <w:tcBorders>
              <w:top w:val="single" w:color="000000" w:sz="4" w:space="0"/>
              <w:left w:val="single" w:color="000000" w:sz="4" w:space="0"/>
              <w:bottom w:val="single" w:color="000000" w:sz="4" w:space="0"/>
              <w:right w:val="single" w:color="000000" w:sz="4" w:space="0"/>
            </w:tcBorders>
            <w:noWrap w:val="0"/>
            <w:vAlign w:val="center"/>
          </w:tcPr>
          <w:p w14:paraId="215B64A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911506227971899890</w:t>
            </w:r>
          </w:p>
        </w:tc>
        <w:tc>
          <w:tcPr>
            <w:tcW w:w="991" w:type="dxa"/>
            <w:tcBorders>
              <w:top w:val="single" w:color="000000" w:sz="4" w:space="0"/>
              <w:left w:val="single" w:color="000000" w:sz="4" w:space="0"/>
              <w:bottom w:val="single" w:color="000000" w:sz="4" w:space="0"/>
              <w:right w:val="single" w:color="000000" w:sz="4" w:space="0"/>
            </w:tcBorders>
            <w:noWrap w:val="0"/>
            <w:vAlign w:val="center"/>
          </w:tcPr>
          <w:p w14:paraId="263493D5">
            <w:pPr>
              <w:keepNext w:val="0"/>
              <w:keepLines w:val="0"/>
              <w:widowControl/>
              <w:suppressLineNumbers w:val="0"/>
              <w:snapToGrid w:val="0"/>
              <w:ind w:left="0" w:leftChars="0" w:right="0" w:rightChars="0" w:firstLine="0" w:firstLineChars="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弓娜</w:t>
            </w:r>
          </w:p>
        </w:tc>
        <w:tc>
          <w:tcPr>
            <w:tcW w:w="1421" w:type="dxa"/>
            <w:tcBorders>
              <w:top w:val="single" w:color="000000" w:sz="4" w:space="0"/>
              <w:left w:val="single" w:color="000000" w:sz="4" w:space="0"/>
              <w:bottom w:val="single" w:color="000000" w:sz="4" w:space="0"/>
              <w:right w:val="single" w:color="000000" w:sz="4" w:space="0"/>
            </w:tcBorders>
            <w:noWrap w:val="0"/>
            <w:vAlign w:val="center"/>
          </w:tcPr>
          <w:p w14:paraId="4E3F49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16604782880</w:t>
            </w:r>
          </w:p>
        </w:tc>
        <w:tc>
          <w:tcPr>
            <w:tcW w:w="26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D26D3F">
            <w:pPr>
              <w:snapToGrid w:val="0"/>
              <w:ind w:left="0" w:leftChars="0" w:right="0" w:rightChars="0" w:firstLine="0" w:firstLineChars="0"/>
              <w:jc w:val="center"/>
              <w:rPr>
                <w:rFonts w:hint="eastAsia" w:ascii="宋体" w:hAnsi="宋体" w:eastAsia="宋体" w:cs="宋体"/>
                <w:i w:val="0"/>
                <w:iCs w:val="0"/>
                <w:color w:val="000000"/>
                <w:sz w:val="21"/>
                <w:szCs w:val="22"/>
                <w:u w:val="none"/>
              </w:rPr>
            </w:pPr>
          </w:p>
        </w:tc>
      </w:tr>
    </w:tbl>
    <w:p w14:paraId="338C0BE8"/>
    <w:p w14:paraId="02CD25A7">
      <w:pPr>
        <w:keepNext w:val="0"/>
        <w:keepLines w:val="0"/>
        <w:pageBreakBefore w:val="0"/>
        <w:widowControl w:val="0"/>
        <w:kinsoku/>
        <w:wordWrap/>
        <w:overflowPunct/>
        <w:topLinePunct w:val="0"/>
        <w:autoSpaceDE/>
        <w:autoSpaceDN/>
        <w:bidi w:val="0"/>
        <w:adjustRightInd/>
        <w:snapToGrid/>
        <w:spacing w:line="578" w:lineRule="exact"/>
        <w:ind w:firstLine="4160" w:firstLineChars="1300"/>
        <w:textAlignment w:val="auto"/>
        <w:rPr>
          <w:rFonts w:hint="default" w:ascii="仿宋_GB2312" w:hAnsi="仿宋_GB2312" w:eastAsia="仿宋_GB2312" w:cs="仿宋_GB2312"/>
          <w:sz w:val="32"/>
          <w:szCs w:val="32"/>
          <w:lang w:val="en-US" w:eastAsia="zh-CN"/>
        </w:rPr>
      </w:pPr>
    </w:p>
    <w:p w14:paraId="48BED7F6"/>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ADD4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6FD09F">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296FD09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A501FA"/>
    <w:rsid w:val="23125C5C"/>
    <w:rsid w:val="3DA501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after="50" w:afterLines="50" w:line="240" w:lineRule="auto"/>
      <w:ind w:firstLine="0" w:firstLineChars="0"/>
      <w:jc w:val="center"/>
      <w:outlineLvl w:val="0"/>
    </w:pPr>
    <w:rPr>
      <w:rFonts w:ascii="Times New Roman" w:hAnsi="Times New Roman" w:eastAsia="方正小标宋简体" w:cs="宋体"/>
      <w:b/>
      <w:bCs/>
      <w:snapToGrid w:val="0"/>
      <w:color w:val="000000"/>
      <w:kern w:val="44"/>
      <w:sz w:val="4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spacing w:after="0"/>
      <w:ind w:firstLine="420"/>
    </w:pPr>
    <w:rPr>
      <w:rFonts w:cs="宋体"/>
    </w:r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character" w:customStyle="1" w:styleId="8">
    <w:name w:val="font11"/>
    <w:basedOn w:val="7"/>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2026-03-30T08:45:00Z</dcterms:created>
  <dc:creator>准格尔旗水利局(拟稿)</dc:creator>
  <cp:lastModifiedBy>准格尔旗水利局(拟稿)</cp:lastModifiedBy>
  <dcterms:modified xsi:type="dcterms:W3CDTF">2026-03-30T08:45:33Z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89B767681F51480996500EA5B8EC351B_11</vt:lpwstr>
  </property>
  <property fmtid="{D5CDD505-2E9C-101B-9397-08002B2CF9AE}" pid="4" name="KSOTemplateDocerSaveRecord">
    <vt:lpwstr>eyJoZGlkIjoiNTQwNTQ3NTJmMmZhMmRkZDZhNWRlMDFkMjI4NDI2MjAifQ==</vt:lpwstr>
  </property>
</Properties>
</file>