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4B8FA">
      <w:pPr>
        <w:adjustRightInd w:val="0"/>
        <w:snapToGrid w:val="0"/>
        <w:spacing w:line="550" w:lineRule="exact"/>
        <w:jc w:val="center"/>
        <w:rPr>
          <w:rFonts w:eastAsia="方正小标宋简体"/>
          <w:color w:val="000000" w:themeColor="text1"/>
          <w:sz w:val="44"/>
          <w:szCs w:val="44"/>
          <w14:textFill>
            <w14:solidFill>
              <w14:schemeClr w14:val="tx1"/>
            </w14:solidFill>
          </w14:textFill>
        </w:rPr>
      </w:pPr>
      <w:bookmarkStart w:id="7" w:name="_GoBack"/>
      <w:bookmarkEnd w:id="7"/>
      <w:r>
        <w:rPr>
          <w:rFonts w:eastAsia="方正小标宋简体"/>
          <w:color w:val="000000" w:themeColor="text1"/>
          <w:sz w:val="44"/>
          <w:szCs w:val="44"/>
          <w14:textFill>
            <w14:solidFill>
              <w14:schemeClr w14:val="tx1"/>
            </w14:solidFill>
          </w14:textFill>
        </w:rPr>
        <w:t>准格尔旗天然气长输管道安全事故</w:t>
      </w:r>
    </w:p>
    <w:p w14:paraId="00A1A334">
      <w:pPr>
        <w:adjustRightInd w:val="0"/>
        <w:snapToGrid w:val="0"/>
        <w:spacing w:line="550" w:lineRule="exact"/>
        <w:jc w:val="center"/>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应急救援预案</w:t>
      </w:r>
    </w:p>
    <w:p w14:paraId="68657930">
      <w:pPr>
        <w:pStyle w:val="2"/>
        <w:spacing w:line="550" w:lineRule="exact"/>
      </w:pPr>
    </w:p>
    <w:p w14:paraId="2A366D86">
      <w:pPr>
        <w:pStyle w:val="4"/>
        <w:spacing w:before="0" w:after="0" w:line="550"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一、总则</w:t>
      </w:r>
    </w:p>
    <w:p w14:paraId="1F050FF6">
      <w:pPr>
        <w:spacing w:line="550" w:lineRule="exact"/>
        <w:ind w:firstLine="640" w:firstLineChars="200"/>
        <w:rPr>
          <w:rFonts w:eastAsia="楷体_GB2312"/>
        </w:rPr>
      </w:pPr>
      <w:r>
        <w:rPr>
          <w:rFonts w:eastAsia="楷体_GB2312"/>
        </w:rPr>
        <w:t>（一）编制目的</w:t>
      </w:r>
    </w:p>
    <w:p w14:paraId="11D5FB3E">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建立健全天然气长输管道（以下简称“管道”）安全事故应急处置机制，依法、迅速、科学、有序应对管道安全事故，明确应急处置职责，规范应急处置程序，有效控制和最大程度减少因管道安全事故造成的影响和损失，切实维护国家安全、社会稳定和人民生命财产安全。</w:t>
      </w:r>
    </w:p>
    <w:p w14:paraId="33A9475D">
      <w:pPr>
        <w:spacing w:line="550" w:lineRule="exact"/>
        <w:ind w:firstLine="640" w:firstLineChars="200"/>
        <w:rPr>
          <w:rFonts w:eastAsia="楷体_GB2312"/>
        </w:rPr>
      </w:pPr>
      <w:r>
        <w:rPr>
          <w:rFonts w:eastAsia="楷体_GB2312"/>
        </w:rPr>
        <w:t>（二）编制依据</w:t>
      </w:r>
    </w:p>
    <w:p w14:paraId="1380A5B8">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预案依据《中华人民共和国突发事件应对法》《中华人民共和国安全生产法》《中华人民共和国石油天然气管道保护法》《中华人民共和国特种设备安全法》《中华人民共和国消防法》《生产安全事故应急条例》《生产安全事故报告和调查处理条例》《国家突发公共事件总体应急预案》《国家安全生产事故灾难应急预案》《生产安全事故应急预案管理办法》《内蒙古自治区突发事件预警信息发布管理办法》《内蒙古自治区安全生产条例》《内蒙古自治区石油天然气管道保护监管办法》《内蒙古自治区突发事件总体应急预案（试行）》《内蒙古自治区石油天然气长输管道安全事故应急预案》《鄂尔多斯市生产安全事故应急预案》《鄂尔多斯市突发事件总体应急预案（试行）》《鄂尔多斯市石油天然气储运事故应急预案》《鄂尔多斯市石油天然气长输管道安全事故应急预案》等法律法规和文件，制定本预案。</w:t>
      </w:r>
      <w:r>
        <w:rPr>
          <w:rFonts w:eastAsia="仿宋_GB2312"/>
          <w:color w:val="000000" w:themeColor="text1"/>
          <w:szCs w:val="32"/>
          <w14:textFill>
            <w14:solidFill>
              <w14:schemeClr w14:val="tx1"/>
            </w14:solidFill>
          </w14:textFill>
        </w:rPr>
        <w:tab/>
      </w:r>
    </w:p>
    <w:p w14:paraId="6A1F4A32">
      <w:pPr>
        <w:spacing w:line="550" w:lineRule="exact"/>
        <w:ind w:firstLine="640" w:firstLineChars="200"/>
        <w:rPr>
          <w:rFonts w:eastAsia="楷体_GB2312"/>
        </w:rPr>
      </w:pPr>
      <w:r>
        <w:rPr>
          <w:rFonts w:eastAsia="楷体_GB2312"/>
        </w:rPr>
        <w:t>（三）适用范围</w:t>
      </w:r>
    </w:p>
    <w:p w14:paraId="756F3BA5">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预案适用于准格尔旗行政区域内符合《中华人民共和国石油天然气管道保护法》规定的天然气长输管道（不含城镇燃气管道和油气田集输管网、炼油、化工企业厂区内管道）企业发生天然气长输管道安全事故的应对工作。</w:t>
      </w:r>
    </w:p>
    <w:p w14:paraId="5E3DEF14">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本预案适用于准格尔旗境内天然气长输管道因自然、人为、管理、技术或设施等因素引发的泄漏、污染、火灾、爆炸等安全事故处置工作，事故类型包括中毒、泄漏、火灾、爆炸等。</w:t>
      </w:r>
    </w:p>
    <w:p w14:paraId="7D2815FB">
      <w:pPr>
        <w:spacing w:line="550" w:lineRule="exact"/>
        <w:ind w:firstLine="640" w:firstLineChars="200"/>
        <w:rPr>
          <w:rFonts w:eastAsia="楷体_GB2312"/>
        </w:rPr>
      </w:pPr>
      <w:r>
        <w:rPr>
          <w:rFonts w:eastAsia="楷体_GB2312"/>
        </w:rPr>
        <w:t>（四）工作原则</w:t>
      </w:r>
    </w:p>
    <w:p w14:paraId="5472E9B0">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1.以人为本，安全第一。始终把保障人民群众的生命和健康安全放在首位，坚持预防与应急处置相结合，加强管道安全事故防范，最大限度防控事故发生和减少人员、财产损失。</w:t>
      </w:r>
    </w:p>
    <w:p w14:paraId="49A2F0E1">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2.统一领导，分级负责。在旗人民政府统一领导下，各有关部门单位和各级人民政府、园区管委会及有关企事业单位各负其责，有效处置管道安全事故。</w:t>
      </w:r>
    </w:p>
    <w:p w14:paraId="511B83D9">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预防为主，平战结合。贯彻落实“安全第一，预防为主，综合治理”的方针，坚持应急与预防工作相结合。做好预防、预测、预警和预报工作，做好常态下的风险评估、物资储备、队伍建设、装备完善、预案演练等工作。</w:t>
      </w:r>
    </w:p>
    <w:p w14:paraId="01975F78">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4.科技支撑，加强管理。依靠科技进步，充分发挥专家队伍和专业技术、专用装备作用，提高管理水平，不断提升管道安全事故应急处置能力。</w:t>
      </w:r>
    </w:p>
    <w:p w14:paraId="54C8E3A9">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5.区域协同，联防联控。健全完善跨区域应急处置协调联动机制，强化协同应急救援能力，加强信息沟通、政策协调和资源共享，联合开展应急演练，实现管道安全事故联防联控。</w:t>
      </w:r>
    </w:p>
    <w:p w14:paraId="5F0F73BF">
      <w:pPr>
        <w:pStyle w:val="4"/>
        <w:spacing w:before="0" w:after="0" w:line="550"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二、组织体系及职责</w:t>
      </w:r>
    </w:p>
    <w:p w14:paraId="6298A617">
      <w:pPr>
        <w:spacing w:line="550" w:lineRule="exact"/>
        <w:ind w:firstLine="640" w:firstLineChars="200"/>
        <w:rPr>
          <w:rFonts w:eastAsia="楷体_GB2312"/>
        </w:rPr>
      </w:pPr>
      <w:r>
        <w:rPr>
          <w:rFonts w:eastAsia="楷体_GB2312"/>
        </w:rPr>
        <w:t>（一）旗应急指挥部</w:t>
      </w:r>
    </w:p>
    <w:p w14:paraId="28106ADB">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人民政府成立准格尔旗天然气长输管道安全事故应急指挥部（以下简称“旗应急指挥部”），总指挥由旗人民政府分管副旗长担任，副总指挥由旗人民政府分管副主任以及旗能源局、应急管理局、发展改革委、消防救援大队、公安局等部门主要负责人担任，根据事故类型可增补有关部门主要负责人为副总指挥，负责协助总指挥领导、组织和指挥天然气长输管道事故应对工作。主要职责：</w:t>
      </w:r>
    </w:p>
    <w:p w14:paraId="0D0DA9AB">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1.贯彻落实国家、自治区、鄂尔多斯市相关法律法规、规章及政策文件要求，建立完善准格尔旗天然气长输管道事故应急处置工作机制；</w:t>
      </w:r>
    </w:p>
    <w:p w14:paraId="01D3F6DA">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负责全旗天然气长输管道事故应急处置的指挥协调，组织成员单位、辖区各级人民政府和天然气管道企业进行会商、研判和综合评估，研究决定重要事项，确保准格尔旗天然气长输管道安全稳定运行、天然气可靠稳定供应；</w:t>
      </w:r>
    </w:p>
    <w:p w14:paraId="13A07C7D">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负责指挥天然气长输管道事故的应对工作。做好较大级以上天然气长输管道事故的先期处置，按照上级指挥部或相关工作组的指令开展相关工作。指导做好天然气长输管道事故抢修恢复、防范次生和衍生事故、保障居民基本生活、维护社会安全稳定等各项应急处置工作；</w:t>
      </w:r>
    </w:p>
    <w:p w14:paraId="7F471321">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4.宣布进入和解除准格尔旗行政区域内一般天然气长输管道事故应急状态，发布应急指令；</w:t>
      </w:r>
    </w:p>
    <w:p w14:paraId="6135F6AD">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5.派出工作组赴现场指导协调开展应对工作，组织开展事故调查；</w:t>
      </w:r>
    </w:p>
    <w:p w14:paraId="0027DC1E">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6.统一组织天然气长输管道事故信息发布和舆论引导工作，审议批准准格尔旗应急指挥部办公室提请审议的重要事宜；</w:t>
      </w:r>
    </w:p>
    <w:p w14:paraId="408583C2">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7.发生特别重大、重大、较大天然气长输管道事故时，及时向市人民政府、市能源局、市应急局等部门报告相关情况，提出支援请求；</w:t>
      </w:r>
    </w:p>
    <w:p w14:paraId="35635E14">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8.向旗委、旗人民政府和旗有关部门单位报告安全事故信息，接收、传达鄂尔多斯市党委和人民政府领导的指示和批示，并督办落实；</w:t>
      </w:r>
    </w:p>
    <w:p w14:paraId="6C03F4C7">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9.向自治区、鄂尔多斯市有关方面和毗邻地区请求支援；</w:t>
      </w:r>
    </w:p>
    <w:p w14:paraId="2EC4768D">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完成上级政府及有关部门交办的其他任务。</w:t>
      </w:r>
    </w:p>
    <w:p w14:paraId="0A58C1BB">
      <w:pPr>
        <w:spacing w:line="550" w:lineRule="exact"/>
        <w:ind w:firstLine="640" w:firstLineChars="200"/>
        <w:rPr>
          <w:rFonts w:eastAsia="楷体_GB2312"/>
        </w:rPr>
      </w:pPr>
      <w:r>
        <w:rPr>
          <w:rFonts w:eastAsia="楷体_GB2312"/>
        </w:rPr>
        <w:t>（二）旗应急指挥部办公室</w:t>
      </w:r>
    </w:p>
    <w:p w14:paraId="5903E8BD">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旗指挥部下设办公室，办公室是旗应急指挥部的日常办事机构，办公室设在旗能源局，主任由旗能源局主要负责同志兼任，副主任由旗能源局分管负责同志兼任。主要职责：</w:t>
      </w:r>
    </w:p>
    <w:p w14:paraId="377CF89A">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1.承担旗指挥部日常工作；</w:t>
      </w:r>
    </w:p>
    <w:p w14:paraId="11A7FF47">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2.负责组织落实旗指挥部各项安排指令；向旗指挥部提出启动、提级和终止预案响应的建议；</w:t>
      </w:r>
    </w:p>
    <w:p w14:paraId="5F98B606">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3.负责组织协调成员单位、辖区各级人民政府和天然气长输管道企业按照预案和职责开展应急处置工作；</w:t>
      </w:r>
    </w:p>
    <w:p w14:paraId="2968B72F">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4.负责准格尔旗天然气长输管道安全事故应急救援预案的编制、修订、评估、管理与实施工作；</w:t>
      </w:r>
    </w:p>
    <w:p w14:paraId="0FEBFB76">
      <w:pPr>
        <w:pStyle w:val="2"/>
        <w:adjustRightInd w:val="0"/>
        <w:snapToGrid w:val="0"/>
        <w:spacing w:line="550" w:lineRule="exact"/>
        <w:ind w:firstLine="608" w:firstLineChars="200"/>
        <w:rPr>
          <w:rFonts w:eastAsia="仿宋_GB2312"/>
          <w:color w:val="000000" w:themeColor="text1"/>
          <w:spacing w:val="-8"/>
          <w:sz w:val="32"/>
          <w:szCs w:val="32"/>
          <w14:textFill>
            <w14:solidFill>
              <w14:schemeClr w14:val="tx1"/>
            </w14:solidFill>
          </w14:textFill>
        </w:rPr>
      </w:pPr>
      <w:r>
        <w:rPr>
          <w:rFonts w:eastAsia="仿宋_GB2312"/>
          <w:color w:val="000000" w:themeColor="text1"/>
          <w:spacing w:val="-8"/>
          <w:sz w:val="32"/>
          <w:szCs w:val="32"/>
          <w14:textFill>
            <w14:solidFill>
              <w14:schemeClr w14:val="tx1"/>
            </w14:solidFill>
          </w14:textFill>
        </w:rPr>
        <w:t>5.负责天然气长输管道事故应急专家组的日常管理和联系工作；</w:t>
      </w:r>
    </w:p>
    <w:p w14:paraId="2ED926B1">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6.组织开展对应急响应、事故处理措施的监督、跟踪和评价、事故总结报告编制、报送等工作；</w:t>
      </w:r>
    </w:p>
    <w:p w14:paraId="2B5936AF">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7.负责组织预案宣贯、培训、演练以及协调事发企业承担应急救援处置费用的清算、支付等有关工作；</w:t>
      </w:r>
    </w:p>
    <w:p w14:paraId="32868170">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8.完成旗指挥部交办的其他事项。</w:t>
      </w:r>
    </w:p>
    <w:p w14:paraId="10FF499B">
      <w:pPr>
        <w:spacing w:line="550" w:lineRule="exact"/>
        <w:ind w:firstLine="640" w:firstLineChars="200"/>
        <w:rPr>
          <w:rFonts w:eastAsia="楷体_GB2312"/>
        </w:rPr>
      </w:pPr>
      <w:r>
        <w:rPr>
          <w:rFonts w:eastAsia="楷体_GB2312"/>
        </w:rPr>
        <w:t>（三）旗应急指挥部成员单位及职责</w:t>
      </w:r>
    </w:p>
    <w:p w14:paraId="47AFB6DC">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旗委宣传部：负责会同旗发展改革委等有关部门单位做好天然气长输管道安全事故信息发布，组织协调媒体做好舆论引导等工作，必要时组织召开新闻发布会，及时解疑释惑、澄清事实、批驳谣言。</w:t>
      </w:r>
    </w:p>
    <w:p w14:paraId="5E8206E2">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旗委网信办：负责管道安全事故的舆情监控、舆情引导、信息管控等工作，配合做好媒体报道等有关工作。</w:t>
      </w:r>
    </w:p>
    <w:p w14:paraId="0AC52D55">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能源局：负责现场应急处置工作对外联络、对内协调和传达现场指挥部指令信息；协调相关专家、队伍及设备参与现场应急处置；协调天然气长输管道事故发生后全旗天然气资源调度及供应安全；承担现场指挥部的值守工作，负责应急指挥部指令的接收与转发；督促企业落实安全生产主体责任，强化风险控制和隐患排查；依据有关规定组织事故调查处理工作，监督事故查处和责任追究落实情况。</w:t>
      </w:r>
    </w:p>
    <w:p w14:paraId="6CC049BE">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旗应急管理局：负责职责范围内专业应急救援力量建设；组织协调有关应急救援队伍参与管道安全事故应急处置工作；</w:t>
      </w:r>
      <w:bookmarkStart w:id="0" w:name="_Hlk175267704"/>
      <w:r>
        <w:rPr>
          <w:rFonts w:eastAsia="仿宋_GB2312"/>
          <w:color w:val="000000" w:themeColor="text1"/>
          <w:sz w:val="32"/>
          <w:szCs w:val="32"/>
          <w14:textFill>
            <w14:solidFill>
              <w14:schemeClr w14:val="tx1"/>
            </w14:solidFill>
          </w14:textFill>
        </w:rPr>
        <w:t>会同事发地做好受灾人员或受威胁人员的转移和临时安置工作</w:t>
      </w:r>
      <w:bookmarkEnd w:id="0"/>
      <w:r>
        <w:rPr>
          <w:rFonts w:eastAsia="仿宋_GB2312"/>
          <w:color w:val="000000" w:themeColor="text1"/>
          <w:sz w:val="32"/>
          <w:szCs w:val="32"/>
          <w14:textFill>
            <w14:solidFill>
              <w14:schemeClr w14:val="tx1"/>
            </w14:solidFill>
          </w14:textFill>
        </w:rPr>
        <w:t>。</w:t>
      </w:r>
    </w:p>
    <w:p w14:paraId="3444497E">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公安局：负责保障应急情况下重点部位、安全事故现场的安全保卫、治安管理等工作；负责维护事故现场抢险的外部治安秩序，疏散处于危险地段的人员，防范治安事件；负责保障救援物资及人员运输的道路交通安全畅通，必要时实施交通管制；配合做好善后社会稳定等工作。</w:t>
      </w:r>
    </w:p>
    <w:p w14:paraId="046904C4">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旗发改委：负责协调调运应急物资、装备及设备；参与配合事故调查处理；会同事发地做好受灾人员或受威胁人员的转移和临时安置工作。</w:t>
      </w:r>
    </w:p>
    <w:p w14:paraId="1DB1880E">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bookmarkStart w:id="1" w:name="_Hlk182512798"/>
      <w:r>
        <w:rPr>
          <w:rFonts w:eastAsia="仿宋_GB2312"/>
          <w:color w:val="000000" w:themeColor="text1"/>
          <w:sz w:val="32"/>
          <w:szCs w:val="32"/>
          <w14:textFill>
            <w14:solidFill>
              <w14:schemeClr w14:val="tx1"/>
            </w14:solidFill>
          </w14:textFill>
        </w:rPr>
        <w:t>旗工科局</w:t>
      </w:r>
      <w:bookmarkEnd w:id="1"/>
      <w:r>
        <w:rPr>
          <w:rFonts w:eastAsia="仿宋_GB2312"/>
          <w:color w:val="000000" w:themeColor="text1"/>
          <w:sz w:val="32"/>
          <w:szCs w:val="32"/>
          <w14:textFill>
            <w14:solidFill>
              <w14:schemeClr w14:val="tx1"/>
            </w14:solidFill>
          </w14:textFill>
        </w:rPr>
        <w:t>：配合有关部门单位协调做好工业应急物资的生产、征购等工作。负责在管道安全事故抢险救援期间加强生活必需品市场监测和分析，确保生活必需品市场供应稳定。</w:t>
      </w:r>
    </w:p>
    <w:p w14:paraId="00AAB5C5">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旗民政局：指导旗内各地区做好受灾群众基本生活救助，将符合条件的受灾困难群众纳入救助范围，配合有关部门单位做好遇难人员处置等有关事务。</w:t>
      </w:r>
    </w:p>
    <w:p w14:paraId="6789AB8A">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旗财政局：负责协调落实应急救灾资金，对天然气长输管道安全事故应急处置工作提供必要的资金保障。</w:t>
      </w:r>
    </w:p>
    <w:p w14:paraId="03FBB838">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自然资源局：负责提供测绘地理信息数据和卫星综合定位基准服务，提供事发地区域地图资料和基础测绘成果。负责做好事发地地质灾害风险预警和评估。因泥石流、山体滑坡等地质灾害引发事故的，会同有关部门单位尽快查明地质灾害发生原因、影响范围等情况，提出应急治理措施，减轻和控制地质灾害灾情。负责震情跟踪监视工作，配合开展因地震灾害引发的事故灾害调查、评估及分析，及时通报有关信息。</w:t>
      </w:r>
    </w:p>
    <w:p w14:paraId="3D8566D9">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bookmarkStart w:id="2" w:name="_Hlk182512808"/>
      <w:r>
        <w:rPr>
          <w:rFonts w:eastAsia="仿宋_GB2312"/>
          <w:color w:val="000000" w:themeColor="text1"/>
          <w:sz w:val="32"/>
          <w:szCs w:val="32"/>
          <w14:textFill>
            <w14:solidFill>
              <w14:schemeClr w14:val="tx1"/>
            </w14:solidFill>
          </w14:textFill>
        </w:rPr>
        <w:t>市生态环境局准旗分局</w:t>
      </w:r>
      <w:bookmarkEnd w:id="2"/>
      <w:r>
        <w:rPr>
          <w:rFonts w:eastAsia="仿宋_GB2312"/>
          <w:color w:val="000000" w:themeColor="text1"/>
          <w:sz w:val="32"/>
          <w:szCs w:val="32"/>
          <w14:textFill>
            <w14:solidFill>
              <w14:schemeClr w14:val="tx1"/>
            </w14:solidFill>
          </w14:textFill>
        </w:rPr>
        <w:t>：负责组织指导管道安全事故发生地环境应急监测，组织专家对事故现场次生环境污染状况及趋势变化进行分析研判，会同专家提出因事故引发次生环境污染的应急处置和污染区域防护措施的建议。</w:t>
      </w:r>
    </w:p>
    <w:p w14:paraId="7CF4BFFD">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旗住建局：负责协助和指导受事故损害或威胁的房屋建筑工程和市政公用设施等应急救援，提供技术支持。</w:t>
      </w:r>
    </w:p>
    <w:p w14:paraId="3191D0E2">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旗交通运输局：负责组织、协调管道安全事故应急救援人员和物资的运输保障。</w:t>
      </w:r>
    </w:p>
    <w:p w14:paraId="7179D2E1">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bookmarkStart w:id="3" w:name="_Hlk182512818"/>
      <w:r>
        <w:rPr>
          <w:rFonts w:eastAsia="仿宋_GB2312"/>
          <w:color w:val="000000" w:themeColor="text1"/>
          <w:sz w:val="32"/>
          <w:szCs w:val="32"/>
          <w14:textFill>
            <w14:solidFill>
              <w14:schemeClr w14:val="tx1"/>
            </w14:solidFill>
          </w14:textFill>
        </w:rPr>
        <w:t>旗水利局</w:t>
      </w:r>
      <w:bookmarkEnd w:id="3"/>
      <w:r>
        <w:rPr>
          <w:rFonts w:eastAsia="仿宋_GB2312"/>
          <w:color w:val="000000" w:themeColor="text1"/>
          <w:sz w:val="32"/>
          <w:szCs w:val="32"/>
          <w14:textFill>
            <w14:solidFill>
              <w14:schemeClr w14:val="tx1"/>
            </w14:solidFill>
          </w14:textFill>
        </w:rPr>
        <w:t>：负责指导、协调管道安全事故涉及水库、河道等重大水利设施的应急处置工作。</w:t>
      </w:r>
    </w:p>
    <w:p w14:paraId="4A3C79B1">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旗卫健委：负责组织协调管道安全事故应急医疗救援和卫生防疫工作，并为地方医疗卫生机构提供技术支持。</w:t>
      </w:r>
    </w:p>
    <w:p w14:paraId="5DB1DBF0">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旗林草局：负责指导管道安全事故区域内树木林草处置工作。</w:t>
      </w:r>
    </w:p>
    <w:p w14:paraId="6B530084">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旗市场监管局：参与管道安全事故中特种设备的应急处置、检测检验，预防次生、衍生事故发生。</w:t>
      </w:r>
    </w:p>
    <w:p w14:paraId="2F9ACB4D">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旗气象局：负责天气监测、预报、预测，及时提供气象信息服务，配合开展因气象灾害引发的事故灾害调查、评估及气象分析等工作。</w:t>
      </w:r>
    </w:p>
    <w:p w14:paraId="3FAB728F">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旗融媒体中心：在条件允许的情况下，根据管道安全事故应急播发部门指令信息，及时启动应急广播系统，播发应急信息。</w:t>
      </w:r>
    </w:p>
    <w:p w14:paraId="6F8B4F34">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旗消防救援大队：负责消防救援、控制和消除火灾险情等专业工作。</w:t>
      </w:r>
    </w:p>
    <w:p w14:paraId="3E8340D1">
      <w:pPr>
        <w:pStyle w:val="2"/>
        <w:adjustRightInd w:val="0"/>
        <w:snapToGrid w:val="0"/>
        <w:spacing w:line="550" w:lineRule="exact"/>
        <w:ind w:firstLine="608" w:firstLineChars="200"/>
        <w:rPr>
          <w:rFonts w:eastAsia="仿宋_GB2312"/>
          <w:color w:val="000000" w:themeColor="text1"/>
          <w:spacing w:val="-8"/>
          <w:sz w:val="32"/>
          <w:szCs w:val="32"/>
          <w14:textFill>
            <w14:solidFill>
              <w14:schemeClr w14:val="tx1"/>
            </w14:solidFill>
          </w14:textFill>
        </w:rPr>
      </w:pPr>
      <w:bookmarkStart w:id="4" w:name="_Hlk182512887"/>
      <w:r>
        <w:rPr>
          <w:rFonts w:eastAsia="仿宋_GB2312"/>
          <w:color w:val="000000" w:themeColor="text1"/>
          <w:spacing w:val="-8"/>
          <w:sz w:val="32"/>
          <w:szCs w:val="32"/>
          <w14:textFill>
            <w14:solidFill>
              <w14:schemeClr w14:val="tx1"/>
            </w14:solidFill>
          </w14:textFill>
        </w:rPr>
        <w:t>薛家湾供电公司</w:t>
      </w:r>
      <w:bookmarkEnd w:id="4"/>
      <w:r>
        <w:rPr>
          <w:rFonts w:eastAsia="仿宋_GB2312"/>
          <w:color w:val="000000" w:themeColor="text1"/>
          <w:spacing w:val="-8"/>
          <w:sz w:val="32"/>
          <w:szCs w:val="32"/>
          <w14:textFill>
            <w14:solidFill>
              <w14:schemeClr w14:val="tx1"/>
            </w14:solidFill>
          </w14:textFill>
        </w:rPr>
        <w:t>：负责天然气长输管道安全事故供电保障工作。</w:t>
      </w:r>
    </w:p>
    <w:p w14:paraId="5DA214DC">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事故发生地乡镇政府、工业园区管委会：配合管道企业、有关部门做好事故抢险、人员疏散、交通管制、物资供应、善后处理等相关工作；负责现场救援人员和专家的食宿、交通、通信等后勤保障工作；完成旗应急指挥部及其办公室交办的其他任务。</w:t>
      </w:r>
    </w:p>
    <w:p w14:paraId="553DF578">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承担管道安全事故第一时间应急救援处置的主体责任，负责本单位在应急情况下的运行调度和应急处置，完善管道运行保护措施，确保管道有关设备设施的启动能力和运行安全。发生管道安全事故后，做好应急物资供应，及时恢复管道设备设施运行，保障管道安全稳定运行和天然气供应保障。</w:t>
      </w:r>
    </w:p>
    <w:p w14:paraId="5F9445CF">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根据安全事故应对工作需要，旗应急指挥部可对成员单位及职责分工进行调整。</w:t>
      </w:r>
    </w:p>
    <w:p w14:paraId="2E6EF0B3">
      <w:pPr>
        <w:spacing w:line="550" w:lineRule="exact"/>
        <w:ind w:firstLine="640" w:firstLineChars="200"/>
        <w:rPr>
          <w:rFonts w:eastAsia="楷体_GB2312"/>
        </w:rPr>
      </w:pPr>
      <w:r>
        <w:rPr>
          <w:rFonts w:eastAsia="楷体_GB2312"/>
        </w:rPr>
        <w:t>（四）专家组</w:t>
      </w:r>
    </w:p>
    <w:p w14:paraId="4F15B035">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应急指挥部专家组由相关领域的专家组成，负责提供专业指导和技术支持，为应急救援行动提供科学依据，旗应急指挥部办公室牵头负责组建和管理。主要职责：协助现场指挥部分析研判事故原因、发展趋势和危害程度；提出应急处置措施和方案的建议，为现场指挥部决策提供技术支持。</w:t>
      </w:r>
    </w:p>
    <w:p w14:paraId="1EE39A98">
      <w:pPr>
        <w:spacing w:line="550" w:lineRule="exact"/>
        <w:ind w:firstLine="640" w:firstLineChars="200"/>
        <w:rPr>
          <w:rFonts w:eastAsia="楷体_GB2312"/>
        </w:rPr>
      </w:pPr>
      <w:r>
        <w:rPr>
          <w:rFonts w:eastAsia="楷体_GB2312"/>
        </w:rPr>
        <w:t>（五） 有关企业应急指挥机构</w:t>
      </w:r>
    </w:p>
    <w:p w14:paraId="41E5FEED">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有关管道企业应当成立应急指挥机构，作为管道安全事故的第一响应人，切实做好各项应对工作。主要职责：编制企业安全事故应急救援预案；建立企业专（兼）职应急队伍，定期开展应急演练；做好风险评估和隐患排查治理工作，及时消除安全隐患；做好信息报告和先期处置等工作；配合各级应急指挥机构做好抢险救援和应急处置工作。</w:t>
      </w:r>
    </w:p>
    <w:p w14:paraId="65AF6759">
      <w:pPr>
        <w:pStyle w:val="4"/>
        <w:spacing w:before="0" w:after="0" w:line="550"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三、管道现状及事故风险分析</w:t>
      </w:r>
    </w:p>
    <w:p w14:paraId="41588B29">
      <w:pPr>
        <w:spacing w:line="550" w:lineRule="exact"/>
        <w:ind w:firstLine="640" w:firstLineChars="200"/>
        <w:rPr>
          <w:rFonts w:eastAsia="楷体_GB2312"/>
        </w:rPr>
      </w:pPr>
      <w:r>
        <w:rPr>
          <w:rFonts w:eastAsia="楷体_GB2312"/>
        </w:rPr>
        <w:t>（一）管道基本情况</w:t>
      </w:r>
    </w:p>
    <w:p w14:paraId="68D8D49F">
      <w:pPr>
        <w:pStyle w:val="2"/>
        <w:adjustRightInd w:val="0"/>
        <w:snapToGrid w:val="0"/>
        <w:spacing w:line="55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全旗共有天然气长输管道3条，管道总长151公里。管道基本情况如下：</w:t>
      </w:r>
    </w:p>
    <w:tbl>
      <w:tblPr>
        <w:tblStyle w:val="6"/>
        <w:tblW w:w="8547"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584"/>
        <w:gridCol w:w="1647"/>
        <w:gridCol w:w="1267"/>
        <w:gridCol w:w="1017"/>
        <w:gridCol w:w="1183"/>
        <w:gridCol w:w="1087"/>
        <w:gridCol w:w="1762"/>
      </w:tblGrid>
      <w:tr w14:paraId="4D449C94">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893" w:hRule="atLeast"/>
          <w:jc w:val="center"/>
        </w:trPr>
        <w:tc>
          <w:tcPr>
            <w:tcW w:w="584"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3718E37">
            <w:pPr>
              <w:spacing w:line="30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序号</w:t>
            </w:r>
          </w:p>
        </w:tc>
        <w:tc>
          <w:tcPr>
            <w:tcW w:w="164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4EA332A">
            <w:pPr>
              <w:spacing w:line="30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管道名称</w:t>
            </w:r>
          </w:p>
        </w:tc>
        <w:tc>
          <w:tcPr>
            <w:tcW w:w="126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C0CC743">
            <w:pPr>
              <w:spacing w:line="30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总长度（km）</w:t>
            </w:r>
          </w:p>
        </w:tc>
        <w:tc>
          <w:tcPr>
            <w:tcW w:w="1017" w:type="dxa"/>
            <w:tcBorders>
              <w:top w:val="outset" w:color="auto" w:sz="6" w:space="0"/>
              <w:left w:val="outset" w:color="auto" w:sz="6" w:space="0"/>
              <w:bottom w:val="outset" w:color="auto" w:sz="6" w:space="0"/>
              <w:right w:val="outset" w:color="auto" w:sz="6" w:space="0"/>
            </w:tcBorders>
            <w:vAlign w:val="center"/>
          </w:tcPr>
          <w:p w14:paraId="1ADA0512">
            <w:pPr>
              <w:spacing w:line="30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旗内长度（km）</w:t>
            </w:r>
          </w:p>
        </w:tc>
        <w:tc>
          <w:tcPr>
            <w:tcW w:w="1183"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8F2A2ED">
            <w:pPr>
              <w:spacing w:line="30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设计压力（MPa）</w:t>
            </w:r>
          </w:p>
        </w:tc>
        <w:tc>
          <w:tcPr>
            <w:tcW w:w="108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BF35294">
            <w:pPr>
              <w:spacing w:line="30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管径（mm）</w:t>
            </w:r>
          </w:p>
        </w:tc>
        <w:tc>
          <w:tcPr>
            <w:tcW w:w="1762"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BD4945E">
            <w:pPr>
              <w:spacing w:line="30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所属企业</w:t>
            </w:r>
          </w:p>
        </w:tc>
      </w:tr>
      <w:tr w14:paraId="13E1CBFD">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403" w:hRule="atLeast"/>
          <w:jc w:val="center"/>
        </w:trPr>
        <w:tc>
          <w:tcPr>
            <w:tcW w:w="584"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E828C58">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164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2D27FF5">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陕京四线输气管道</w:t>
            </w:r>
          </w:p>
        </w:tc>
        <w:tc>
          <w:tcPr>
            <w:tcW w:w="126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8507588">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1098.6</w:t>
            </w:r>
          </w:p>
        </w:tc>
        <w:tc>
          <w:tcPr>
            <w:tcW w:w="1017" w:type="dxa"/>
            <w:tcBorders>
              <w:top w:val="outset" w:color="auto" w:sz="6" w:space="0"/>
              <w:left w:val="outset" w:color="auto" w:sz="6" w:space="0"/>
              <w:bottom w:val="outset" w:color="auto" w:sz="6" w:space="0"/>
              <w:right w:val="outset" w:color="auto" w:sz="6" w:space="0"/>
            </w:tcBorders>
            <w:vAlign w:val="center"/>
          </w:tcPr>
          <w:p w14:paraId="29AF7232">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39</w:t>
            </w:r>
          </w:p>
        </w:tc>
        <w:tc>
          <w:tcPr>
            <w:tcW w:w="1183"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D375C85">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12</w:t>
            </w:r>
          </w:p>
        </w:tc>
        <w:tc>
          <w:tcPr>
            <w:tcW w:w="108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A30E517">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1219</w:t>
            </w:r>
          </w:p>
        </w:tc>
        <w:tc>
          <w:tcPr>
            <w:tcW w:w="1762"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611D4CF">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国家管网集团北京管道公司内蒙古输油气分公司</w:t>
            </w:r>
          </w:p>
        </w:tc>
      </w:tr>
      <w:tr w14:paraId="01ECB2ED">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60" w:hRule="atLeast"/>
          <w:jc w:val="center"/>
        </w:trPr>
        <w:tc>
          <w:tcPr>
            <w:tcW w:w="584"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E23CD4B">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164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1D3304C">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苏—东—准天然气输气管道</w:t>
            </w:r>
          </w:p>
        </w:tc>
        <w:tc>
          <w:tcPr>
            <w:tcW w:w="126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3FF927A">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422</w:t>
            </w:r>
          </w:p>
        </w:tc>
        <w:tc>
          <w:tcPr>
            <w:tcW w:w="1017" w:type="dxa"/>
            <w:tcBorders>
              <w:top w:val="outset" w:color="auto" w:sz="6" w:space="0"/>
              <w:left w:val="outset" w:color="auto" w:sz="6" w:space="0"/>
              <w:bottom w:val="outset" w:color="auto" w:sz="6" w:space="0"/>
              <w:right w:val="outset" w:color="auto" w:sz="6" w:space="0"/>
            </w:tcBorders>
            <w:vAlign w:val="center"/>
          </w:tcPr>
          <w:p w14:paraId="70091A39">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95</w:t>
            </w:r>
          </w:p>
        </w:tc>
        <w:tc>
          <w:tcPr>
            <w:tcW w:w="1183"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4EF313D">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6.3</w:t>
            </w:r>
          </w:p>
        </w:tc>
        <w:tc>
          <w:tcPr>
            <w:tcW w:w="108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46E0C06E">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660</w:t>
            </w:r>
          </w:p>
        </w:tc>
        <w:tc>
          <w:tcPr>
            <w:tcW w:w="1762" w:type="dxa"/>
            <w:vMerge w:val="restart"/>
            <w:tcBorders>
              <w:top w:val="outset" w:color="auto" w:sz="6" w:space="0"/>
              <w:left w:val="outset" w:color="auto" w:sz="6" w:space="0"/>
              <w:right w:val="outset" w:color="auto" w:sz="6" w:space="0"/>
            </w:tcBorders>
            <w:tcMar>
              <w:top w:w="75" w:type="dxa"/>
              <w:left w:w="75" w:type="dxa"/>
              <w:bottom w:w="75" w:type="dxa"/>
              <w:right w:w="75" w:type="dxa"/>
            </w:tcMar>
            <w:vAlign w:val="center"/>
          </w:tcPr>
          <w:p w14:paraId="519D3C2B">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内蒙古新圣天然气管道有限公司</w:t>
            </w:r>
          </w:p>
        </w:tc>
      </w:tr>
      <w:tr w14:paraId="37753D5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823" w:hRule="atLeast"/>
          <w:jc w:val="center"/>
        </w:trPr>
        <w:tc>
          <w:tcPr>
            <w:tcW w:w="584"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E599927">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164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B35FDAE">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大—和天然气输气管道</w:t>
            </w:r>
          </w:p>
        </w:tc>
        <w:tc>
          <w:tcPr>
            <w:tcW w:w="126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0AB2D25">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134</w:t>
            </w:r>
          </w:p>
        </w:tc>
        <w:tc>
          <w:tcPr>
            <w:tcW w:w="1017" w:type="dxa"/>
            <w:tcBorders>
              <w:top w:val="outset" w:color="auto" w:sz="6" w:space="0"/>
              <w:left w:val="outset" w:color="auto" w:sz="6" w:space="0"/>
              <w:bottom w:val="outset" w:color="auto" w:sz="6" w:space="0"/>
              <w:right w:val="outset" w:color="auto" w:sz="6" w:space="0"/>
            </w:tcBorders>
            <w:vAlign w:val="center"/>
          </w:tcPr>
          <w:p w14:paraId="7E1CC7E1">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17</w:t>
            </w:r>
          </w:p>
        </w:tc>
        <w:tc>
          <w:tcPr>
            <w:tcW w:w="1183"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5FC21C5">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6.3</w:t>
            </w:r>
          </w:p>
        </w:tc>
        <w:tc>
          <w:tcPr>
            <w:tcW w:w="108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E2DECBA">
            <w:pPr>
              <w:spacing w:line="30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660</w:t>
            </w:r>
          </w:p>
        </w:tc>
        <w:tc>
          <w:tcPr>
            <w:tcW w:w="1762" w:type="dxa"/>
            <w:vMerge w:val="continue"/>
            <w:tcBorders>
              <w:left w:val="outset" w:color="auto" w:sz="6" w:space="0"/>
              <w:bottom w:val="outset" w:color="auto" w:sz="6" w:space="0"/>
              <w:right w:val="outset" w:color="auto" w:sz="6" w:space="0"/>
            </w:tcBorders>
            <w:tcMar>
              <w:top w:w="75" w:type="dxa"/>
              <w:left w:w="75" w:type="dxa"/>
              <w:bottom w:w="75" w:type="dxa"/>
              <w:right w:w="75" w:type="dxa"/>
            </w:tcMar>
            <w:vAlign w:val="center"/>
          </w:tcPr>
          <w:p w14:paraId="30A46A3B">
            <w:pPr>
              <w:spacing w:line="300" w:lineRule="exact"/>
              <w:jc w:val="center"/>
              <w:rPr>
                <w:rFonts w:eastAsiaTheme="minorEastAsia"/>
                <w:color w:val="000000" w:themeColor="text1"/>
                <w:sz w:val="21"/>
                <w:szCs w:val="21"/>
                <w14:textFill>
                  <w14:solidFill>
                    <w14:schemeClr w14:val="tx1"/>
                  </w14:solidFill>
                </w14:textFill>
              </w:rPr>
            </w:pPr>
          </w:p>
        </w:tc>
      </w:tr>
    </w:tbl>
    <w:p w14:paraId="5A37FCC8">
      <w:pPr>
        <w:adjustRightInd w:val="0"/>
        <w:snapToGrid w:val="0"/>
        <w:spacing w:line="580" w:lineRule="exact"/>
        <w:ind w:firstLine="640" w:firstLineChars="200"/>
        <w:rPr>
          <w:rFonts w:eastAsia="楷体_GB2312"/>
        </w:rPr>
      </w:pPr>
      <w:r>
        <w:rPr>
          <w:rFonts w:eastAsia="楷体_GB2312"/>
        </w:rPr>
        <w:t>（二） 事故风险</w:t>
      </w:r>
    </w:p>
    <w:p w14:paraId="5BC613D9">
      <w:pPr>
        <w:pStyle w:val="2"/>
        <w:adjustRightInd w:val="0"/>
        <w:snapToGri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天然气长输管道多为埋地敷设，且点多线长、周边环境复杂，在运行过程中易受人为损坏、自然灾害、管体腐蚀及其他外力因素影响出现泄漏事故，由于其输送介质（天然气）具有易燃、易爆、易扩散的特点，当发生泄漏后，可能因现场控制不当，形成火灾、爆炸等次生和衍生灾害。可能导致事故发生的风险因素有：</w:t>
      </w:r>
    </w:p>
    <w:p w14:paraId="2015D106">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1.自然灾害，如地震、崩塌、滑坡、泥石流、地面塌陷、地面沉降、地裂缝等地质灾害以及洪水、雷电等自然灾害因素。</w:t>
      </w:r>
    </w:p>
    <w:p w14:paraId="1AF6760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2.人为损害，如第三方施工危害、建（构）筑物占压、重载碾压管道，采用移动、切割、打孔、砸撬、拆卸等手段恶意损坏管道，在管道上打孔盗窃天然气，以及恐怖袭击等行为，也包括员工误操作等因素。</w:t>
      </w:r>
    </w:p>
    <w:p w14:paraId="4EE7F2F2">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3.管道本体，如施工不规范造成管道本体质量缺陷，管道年久失效、腐蚀穿孔，加压、加热、计量、截断等附属设施发生泄漏、火灾、爆炸引发管道本体泄漏。</w:t>
      </w:r>
    </w:p>
    <w:p w14:paraId="6C09B21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4.其他因素，如交叉或并行的相关管线、设施的相互影响（包含事故衍生、阴极保护的相互影响等）、同沟敷设的管线相关设施抢修等引发管道事故。</w:t>
      </w:r>
    </w:p>
    <w:p w14:paraId="2B903A77">
      <w:pPr>
        <w:adjustRightInd w:val="0"/>
        <w:snapToGrid w:val="0"/>
        <w:spacing w:line="578" w:lineRule="exact"/>
        <w:ind w:firstLine="640" w:firstLineChars="200"/>
        <w:rPr>
          <w:rFonts w:eastAsia="楷体_GB2312"/>
        </w:rPr>
      </w:pPr>
      <w:r>
        <w:rPr>
          <w:rFonts w:eastAsia="楷体_GB2312"/>
        </w:rPr>
        <w:t>（三）危害形成</w:t>
      </w:r>
    </w:p>
    <w:p w14:paraId="0DCF7539">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管道发生泄漏、火灾或者爆炸等安全事故，除可能导致人员伤亡和经济损失外，还可能影响部分区域正常生产生活秩序及对重要基础设施造成破坏。</w:t>
      </w:r>
    </w:p>
    <w:p w14:paraId="4FE2E28C">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1.造成人员伤亡和直接经济损失，以及上游油气田和下游工矿企业停工减产。</w:t>
      </w:r>
    </w:p>
    <w:p w14:paraId="4789BF3E">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2.导致下游工商用户、公共福利机构、交通运输及居民生活天然气供应中断。</w:t>
      </w:r>
    </w:p>
    <w:p w14:paraId="4E5EEBBE">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3.导致区域性水、电、气供应中断或交通、通信瘫痪等事故，引发群众恐慌，影响社会稳定。</w:t>
      </w:r>
    </w:p>
    <w:p w14:paraId="749B062C">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4.在当前新媒体时代极易成为社会舆论的热点；在公众不明真相的情况下，如有错误舆论，可能造成公众恐慌情绪，影响社会稳定。</w:t>
      </w:r>
    </w:p>
    <w:p w14:paraId="28633B0D">
      <w:pPr>
        <w:adjustRightInd w:val="0"/>
        <w:snapToGrid w:val="0"/>
        <w:spacing w:line="578" w:lineRule="exact"/>
        <w:ind w:firstLine="640" w:firstLineChars="200"/>
        <w:rPr>
          <w:rFonts w:eastAsia="楷体_GB2312"/>
        </w:rPr>
      </w:pPr>
      <w:r>
        <w:rPr>
          <w:rFonts w:eastAsia="楷体_GB2312"/>
        </w:rPr>
        <w:t>（四）主要风险</w:t>
      </w:r>
    </w:p>
    <w:p w14:paraId="68EFD6A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根据全旗天然气长输管道安全管理工作现状，目前面临的主要风险为：</w:t>
      </w:r>
    </w:p>
    <w:p w14:paraId="4BD83A99">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1.地质灾害。准格尔旗地形地貌复杂，管道在运行过程中易受滑坡、泥石流、地面塌陷等灾害的影响出现泄漏事故。</w:t>
      </w:r>
    </w:p>
    <w:p w14:paraId="7D6B8AB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2.高后果区。全旗共有高后果区1处。高后果区内管道一旦发生事故，将造成重大人员伤亡或重大环境影响。</w:t>
      </w:r>
    </w:p>
    <w:p w14:paraId="25AF865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3.第三方施工。随着城市建设步伐的加快和经济的发展，管道周边道路施工、基础设施改造、建筑施工等第三方施工逐渐增多，易出现违章占压管道及其他威胁管道的现象。</w:t>
      </w:r>
    </w:p>
    <w:p w14:paraId="66FF5218">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4.规划建设与管道保护的矛盾。城市建设快速发展与天然气长输管道用地的矛盾日益突出，部分新规划项目用地与管道高度重合，不满足安全距离，形成重大安全风险。</w:t>
      </w:r>
    </w:p>
    <w:p w14:paraId="4E7394CF">
      <w:pPr>
        <w:adjustRightInd w:val="0"/>
        <w:snapToGrid w:val="0"/>
        <w:spacing w:line="578" w:lineRule="exact"/>
        <w:ind w:firstLine="640" w:firstLineChars="200"/>
        <w:rPr>
          <w:rFonts w:eastAsia="楷体_GB2312"/>
        </w:rPr>
      </w:pPr>
      <w:r>
        <w:rPr>
          <w:rFonts w:eastAsia="楷体_GB2312"/>
        </w:rPr>
        <w:t>（五）防范措施</w:t>
      </w:r>
    </w:p>
    <w:p w14:paraId="395E5280">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城市规划和发展建设应充分考虑土地、人口、资源、环境等因素，科学规避天然气长输管道事故风险，实现统筹规划、合理布局，努力提高城市安全水平。</w:t>
      </w:r>
    </w:p>
    <w:p w14:paraId="2AEFF9A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应按照“预防为主，预防与应急相结合”的原则，严厉打击蓄意破坏天然气长输管道的行为，依法解决违章占压的现象；加强针对涉及天然气长输管道周边的第三方施工审批、监管力度；加强针对管道途经不良地段（穿越河流、涵洞、滑坡易发区等）的监测预报；必要时组织相关专家、技术人员对敏感度高的管段风险进行评估，采取相应的防范措施。</w:t>
      </w:r>
    </w:p>
    <w:p w14:paraId="62D09402">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管道企业应落实管道保护的主体责任，按照有关规定制定本单位管道安全事故应急救援预案，确保企业应急救援预案与各级人民政府及主管部门相关预案衔接畅通；加强应急救援力量建设，配备应急救援装备和器材，并定期组织开展应急演练和培训；建立、健全管道巡护制度，配备专门人员对管道线路进行日常巡护；对管道沿线及附属设施开展隐患排查，及时采取有效措施消除事故隐患，防止事故发生；定期对管道进行检测、维修，确保其处于良好状态；对管道安全风险较大的区段和场所应当进行重点监测，采取有效措施防止管道事故的发生；其他预防管道事故的必要性措施。</w:t>
      </w:r>
    </w:p>
    <w:p w14:paraId="2CA50841">
      <w:pPr>
        <w:pStyle w:val="4"/>
        <w:adjustRightInd w:val="0"/>
        <w:snapToGrid w:val="0"/>
        <w:spacing w:before="0" w:after="0" w:line="578"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四、隐患排查和预防</w:t>
      </w:r>
    </w:p>
    <w:p w14:paraId="2FB78934">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应当认真落实安全生产主体责任，建立健全管道巡护制度，定期对管道进行检测、维修，确保处于良好运行状态；对管道及附属设施存在的外部安全隐患，企业自身难以排除的，应当及时向旗管道保护主管部门、应急管理等有关部门单位报告；对管道安全风险较大的区段和场所进行重点监测，采取有效防范措施；建立健全管道保护长效机制。</w:t>
      </w:r>
    </w:p>
    <w:p w14:paraId="4C6155D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乡镇政府、工业园区管委会应当加强对辖区内管道安全状况的监督检查，督促企业开展隐患排查和治理；及时制止违法占压、损毁管道设施的行为；督促有关部门单位依法履行各自监管职责；加强管道安全应急管理体系建设。</w:t>
      </w:r>
    </w:p>
    <w:p w14:paraId="2DB2E370">
      <w:pPr>
        <w:pStyle w:val="4"/>
        <w:adjustRightInd w:val="0"/>
        <w:snapToGrid w:val="0"/>
        <w:spacing w:before="0" w:after="0" w:line="578"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五、监测预警与预警发布</w:t>
      </w:r>
    </w:p>
    <w:p w14:paraId="23B5797C">
      <w:pPr>
        <w:adjustRightInd w:val="0"/>
        <w:snapToGrid w:val="0"/>
        <w:spacing w:line="578" w:lineRule="exact"/>
        <w:ind w:firstLine="640" w:firstLineChars="200"/>
        <w:rPr>
          <w:rFonts w:eastAsia="楷体_GB2312"/>
        </w:rPr>
      </w:pPr>
      <w:r>
        <w:rPr>
          <w:rFonts w:eastAsia="楷体_GB2312"/>
        </w:rPr>
        <w:t>（一）监测预报</w:t>
      </w:r>
    </w:p>
    <w:p w14:paraId="19393F1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管道保护主管部门单位应当加强管道保护智能化建设，利用信息化和互联网技术逐步完成对重点设施设备、重点区域、重要岗位以及影响生产作业安全的环境状态的监测，对可能发生的管道安全事故进行综合评估和趋势分析，及时提示风险，提供预警支持。</w:t>
      </w:r>
    </w:p>
    <w:p w14:paraId="09A61CF4">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是事故监测预警的责任主体，应当加强视频监控、远程监测、自动报警、智能识别等智能化监测预警系统建设；建立完善管道安全事故信息监测预警机制，将事故监测信息按规定报送旗应急指挥部办公室，并逐级报送至鄂尔多斯市应急指挥部办公室。重大节假日、重大活动、敏感时段、灾害性天气等特殊时段，应当加大监督检查力度，强化应急值守和信息报告工作。</w:t>
      </w:r>
    </w:p>
    <w:p w14:paraId="31229E89">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监测信息报告的主要内容包括：基本情况、经研判可能产生的危害及程度、可能影响的范围及建议措施等。</w:t>
      </w:r>
    </w:p>
    <w:p w14:paraId="6E2500B7">
      <w:pPr>
        <w:adjustRightInd w:val="0"/>
        <w:snapToGrid w:val="0"/>
        <w:spacing w:line="578" w:lineRule="exact"/>
        <w:ind w:firstLine="640" w:firstLineChars="200"/>
        <w:rPr>
          <w:rFonts w:eastAsia="楷体_GB2312"/>
        </w:rPr>
      </w:pPr>
      <w:r>
        <w:rPr>
          <w:rFonts w:eastAsia="楷体_GB2312"/>
        </w:rPr>
        <w:t>（二） 管道安全事故分级</w:t>
      </w:r>
    </w:p>
    <w:p w14:paraId="053B8BD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依据《生产安全事故报告和调查处理条例》，按事故的严重程度、社会危害程度、影响范围，管道安全事故分为特别重大（I 级）、重大（Ⅱ级）、较大（Ⅲ级）、一般（IV 级）四个等级。分级如下：</w:t>
      </w:r>
    </w:p>
    <w:p w14:paraId="37269680">
      <w:pPr>
        <w:adjustRightInd w:val="0"/>
        <w:snapToGrid w:val="0"/>
        <w:spacing w:line="578" w:lineRule="exact"/>
        <w:ind w:firstLine="640" w:firstLineChars="200"/>
        <w:rPr>
          <w:rFonts w:eastAsia="仿宋_GB2312"/>
        </w:rPr>
      </w:pPr>
      <w:r>
        <w:rPr>
          <w:rFonts w:eastAsia="仿宋_GB2312"/>
        </w:rPr>
        <w:t>1. 特别重大天然气长输管道安全事故（I 级）</w:t>
      </w:r>
    </w:p>
    <w:p w14:paraId="6301D96C">
      <w:pPr>
        <w:pStyle w:val="2"/>
        <w:adjustRightInd w:val="0"/>
        <w:snapToGrid w:val="0"/>
        <w:spacing w:line="578" w:lineRule="exact"/>
        <w:ind w:firstLine="608" w:firstLineChars="200"/>
        <w:rPr>
          <w:rFonts w:eastAsia="仿宋_GB2312"/>
          <w:color w:val="000000" w:themeColor="text1"/>
          <w:spacing w:val="-8"/>
          <w:sz w:val="32"/>
          <w:szCs w:val="32"/>
          <w14:textFill>
            <w14:solidFill>
              <w14:schemeClr w14:val="tx1"/>
            </w14:solidFill>
          </w14:textFill>
        </w:rPr>
      </w:pPr>
      <w:r>
        <w:rPr>
          <w:rFonts w:eastAsia="仿宋_GB2312"/>
          <w:color w:val="000000" w:themeColor="text1"/>
          <w:spacing w:val="-8"/>
          <w:sz w:val="32"/>
          <w:szCs w:val="32"/>
          <w14:textFill>
            <w14:solidFill>
              <w14:schemeClr w14:val="tx1"/>
            </w14:solidFill>
          </w14:textFill>
        </w:rPr>
        <w:t>（1）造成30人以上死亡（含失踪），或者100人以上重伤。</w:t>
      </w:r>
    </w:p>
    <w:p w14:paraId="497B5D3E">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（2）直接经济损失达1亿元以上。</w:t>
      </w:r>
    </w:p>
    <w:p w14:paraId="1F55954B">
      <w:pPr>
        <w:pStyle w:val="2"/>
        <w:adjustRightInd w:val="0"/>
        <w:snapToGrid w:val="0"/>
        <w:spacing w:line="578" w:lineRule="exact"/>
        <w:ind w:firstLine="640" w:firstLineChars="200"/>
        <w:rPr>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（3）对社会安全、环境造成重大影响，需要紧急转移安置1000人以上。</w:t>
      </w:r>
    </w:p>
    <w:p w14:paraId="52FB48DE">
      <w:pPr>
        <w:adjustRightInd w:val="0"/>
        <w:snapToGrid w:val="0"/>
        <w:spacing w:line="578" w:lineRule="exact"/>
        <w:ind w:firstLine="640" w:firstLineChars="200"/>
        <w:rPr>
          <w:rFonts w:eastAsia="仿宋_GB2312"/>
        </w:rPr>
      </w:pPr>
      <w:r>
        <w:rPr>
          <w:rFonts w:eastAsia="仿宋_GB2312"/>
        </w:rPr>
        <w:t>2.重大天然气长输管道安全事故（Ⅱ级）</w:t>
      </w:r>
    </w:p>
    <w:p w14:paraId="7C36428D">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（1）造成10人以上30人以下死亡（含失踪），或者50人以上100人以下重伤。</w:t>
      </w:r>
    </w:p>
    <w:p w14:paraId="2054CA1C">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（2）直接经济损失达5000万元以上1亿元以下。</w:t>
      </w:r>
    </w:p>
    <w:p w14:paraId="042EBF0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（3）对社会安全、环境造成重大影响，需要紧急转移安置200至1000人。</w:t>
      </w:r>
    </w:p>
    <w:p w14:paraId="64B4034A">
      <w:pPr>
        <w:adjustRightInd w:val="0"/>
        <w:snapToGrid w:val="0"/>
        <w:spacing w:line="578" w:lineRule="exact"/>
        <w:ind w:firstLine="640" w:firstLineChars="200"/>
        <w:rPr>
          <w:rFonts w:eastAsia="仿宋_GB2312"/>
        </w:rPr>
      </w:pPr>
      <w:r>
        <w:rPr>
          <w:rFonts w:eastAsia="仿宋_GB2312"/>
        </w:rPr>
        <w:t>3.较大天然气长输管安全事故（Ⅲ级）</w:t>
      </w:r>
    </w:p>
    <w:p w14:paraId="1B9390F8">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（1）造成3人以上10人以下死亡（含失踪），或者10人以上50人以下重伤。</w:t>
      </w:r>
    </w:p>
    <w:p w14:paraId="5B31450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（2）直接经济损失达1000万元以上5000万元以下。</w:t>
      </w:r>
    </w:p>
    <w:p w14:paraId="59E4FEE1">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（3）对社会安全、环境造成严重影响，需要紧急转移安置100至200人。</w:t>
      </w:r>
    </w:p>
    <w:p w14:paraId="03B9D8BC">
      <w:pPr>
        <w:adjustRightInd w:val="0"/>
        <w:snapToGrid w:val="0"/>
        <w:spacing w:line="578" w:lineRule="exact"/>
        <w:ind w:firstLine="640" w:firstLineChars="200"/>
        <w:rPr>
          <w:rFonts w:eastAsia="仿宋_GB2312"/>
        </w:rPr>
      </w:pPr>
      <w:r>
        <w:rPr>
          <w:rFonts w:eastAsia="仿宋_GB2312"/>
        </w:rPr>
        <w:t>4.一般天然气长输管道安全事故（IV 级）</w:t>
      </w:r>
    </w:p>
    <w:p w14:paraId="4F0960B9">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（1）造成3人以下死亡（含失踪），或者10人以下重伤。</w:t>
      </w:r>
    </w:p>
    <w:p w14:paraId="7A2BA05D">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（2）直接经济损失达1000万元以下。</w:t>
      </w:r>
    </w:p>
    <w:p w14:paraId="424668C5">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（3）对社会安全、环境造成影响，需要紧急转移安置100人以下。</w:t>
      </w:r>
    </w:p>
    <w:p w14:paraId="3B343886">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注：以上有关数值表述中，“以上”包括本数，“以下”不包括本数。</w:t>
      </w:r>
    </w:p>
    <w:p w14:paraId="62353D00">
      <w:pPr>
        <w:adjustRightInd w:val="0"/>
        <w:snapToGrid w:val="0"/>
        <w:spacing w:line="578" w:lineRule="exact"/>
        <w:ind w:firstLine="640" w:firstLineChars="200"/>
        <w:rPr>
          <w:rFonts w:eastAsia="楷体_GB2312"/>
        </w:rPr>
      </w:pPr>
      <w:r>
        <w:rPr>
          <w:rFonts w:eastAsia="楷体_GB2312"/>
        </w:rPr>
        <w:t>（三）预警分级</w:t>
      </w:r>
    </w:p>
    <w:p w14:paraId="52DD56C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天然气长输管道事故发生的紧急程度、发展趋势和危害程度等因素，预计可能发生的事故等级，预警级别由低到高划分为特别重大（I级）、重大（Ⅱ级）、较大（Ⅲ级）、一般（IV级），分别用红色、橙色、黄色、蓝色标示，I 级为最高级别。</w:t>
      </w:r>
    </w:p>
    <w:p w14:paraId="6726D93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红色预警（I级）：预计将要发生特别重大管道安全事故，事故会随时发生，事态正在不断蔓延。</w:t>
      </w:r>
    </w:p>
    <w:p w14:paraId="771ED41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橙色预警（Ⅱ级）：预计将要发生重大以上管道安全事故，事故即将发生，事态正在逐步扩大。</w:t>
      </w:r>
    </w:p>
    <w:p w14:paraId="7F7BC62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黄色预警（Ⅲ级）：预计将要发生较大以上管道安全事故，事故已经临近，事态有扩大的趋势。</w:t>
      </w:r>
    </w:p>
    <w:p w14:paraId="1392092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蓝色预警（IV级）：预计将要发生一般以上管道安全事故，事故即将临近，事态可能会扩大。</w:t>
      </w:r>
    </w:p>
    <w:p w14:paraId="41FE3BE6">
      <w:pPr>
        <w:adjustRightInd w:val="0"/>
        <w:snapToGrid w:val="0"/>
        <w:spacing w:line="578" w:lineRule="exact"/>
        <w:ind w:firstLine="640" w:firstLineChars="200"/>
        <w:rPr>
          <w:rFonts w:eastAsia="楷体_GB2312"/>
        </w:rPr>
      </w:pPr>
      <w:r>
        <w:rPr>
          <w:rFonts w:eastAsia="楷体_GB2312"/>
        </w:rPr>
        <w:t>（四）预警发布</w:t>
      </w:r>
    </w:p>
    <w:p w14:paraId="26E9966E">
      <w:pPr>
        <w:adjustRightInd w:val="0"/>
        <w:snapToGrid w:val="0"/>
        <w:spacing w:line="578" w:lineRule="exact"/>
        <w:ind w:firstLine="640" w:firstLineChars="200"/>
        <w:rPr>
          <w:rFonts w:eastAsia="仿宋_GB2312"/>
        </w:rPr>
      </w:pPr>
      <w:r>
        <w:rPr>
          <w:rFonts w:eastAsia="仿宋_GB2312"/>
        </w:rPr>
        <w:t>1.发布权限</w:t>
      </w:r>
    </w:p>
    <w:p w14:paraId="0E83E75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旗应急指挥部办公室、相关乡镇政府、工业园区管委会及管道企业经监测、预测和会商认定将出现达到预警级别标准的安全事故时，应当立即按照有关规定组织发布预警信息。</w:t>
      </w:r>
    </w:p>
    <w:p w14:paraId="1D58ACFC">
      <w:pPr>
        <w:pStyle w:val="2"/>
        <w:adjustRightInd w:val="0"/>
        <w:snapToGrid w:val="0"/>
        <w:spacing w:line="578" w:lineRule="exact"/>
        <w:ind w:firstLine="640" w:firstLineChars="200"/>
        <w:rPr>
          <w:rFonts w:eastAsia="仿宋_GB2312"/>
          <w:color w:val="000000" w:themeColor="text1"/>
          <w:spacing w:val="-8"/>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红色、橙色预警：由旗应急指挥部办公室报鄂尔多斯市</w:t>
      </w:r>
      <w:bookmarkStart w:id="5" w:name="OLE_LINK1"/>
      <w:r>
        <w:rPr>
          <w:rFonts w:eastAsia="仿宋_GB2312"/>
          <w:color w:val="000000" w:themeColor="text1"/>
          <w:sz w:val="32"/>
          <w:szCs w:val="32"/>
          <w14:textFill>
            <w14:solidFill>
              <w14:schemeClr w14:val="tx1"/>
            </w14:solidFill>
          </w14:textFill>
        </w:rPr>
        <w:t>石油</w:t>
      </w:r>
      <w:r>
        <w:rPr>
          <w:rFonts w:eastAsia="仿宋_GB2312"/>
          <w:color w:val="000000" w:themeColor="text1"/>
          <w:spacing w:val="-8"/>
          <w:sz w:val="32"/>
          <w:szCs w:val="32"/>
          <w14:textFill>
            <w14:solidFill>
              <w14:schemeClr w14:val="tx1"/>
            </w14:solidFill>
          </w14:textFill>
        </w:rPr>
        <w:t>天然气长输管道安全事故应急救援指挥部批准后发布</w:t>
      </w:r>
      <w:bookmarkEnd w:id="5"/>
      <w:r>
        <w:rPr>
          <w:rFonts w:eastAsia="仿宋_GB2312"/>
          <w:color w:val="000000" w:themeColor="text1"/>
          <w:spacing w:val="-8"/>
          <w:sz w:val="32"/>
          <w:szCs w:val="32"/>
          <w14:textFill>
            <w14:solidFill>
              <w14:schemeClr w14:val="tx1"/>
            </w14:solidFill>
          </w14:textFill>
        </w:rPr>
        <w:t>、调整和解除。</w:t>
      </w:r>
    </w:p>
    <w:p w14:paraId="1E47F21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黄色预警：由旗能源局报鄂尔多斯市能源局批准后发布、调整和解除。</w:t>
      </w:r>
    </w:p>
    <w:p w14:paraId="1B3125F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蓝色预警：由旗能源局报旗应急指挥部批准后发布、调整和解除，并宣布有关地区进入预警期。</w:t>
      </w:r>
    </w:p>
    <w:p w14:paraId="3C3EE648">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管道事故预警信息发布内容应当包括但不限于：发布单位、发布时间、可能发生的安全事故类别、安全事故预警级别、起始时间、可能影响范围、预警时效等信息。</w:t>
      </w:r>
    </w:p>
    <w:p w14:paraId="6245C164">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解除管道安全事故预警信息内容应包括但不限于：解除单位名称、安全事故预警等级和解除时间。</w:t>
      </w:r>
    </w:p>
    <w:p w14:paraId="774A5E34">
      <w:pPr>
        <w:adjustRightInd w:val="0"/>
        <w:snapToGrid w:val="0"/>
        <w:spacing w:line="578" w:lineRule="exact"/>
        <w:ind w:firstLine="640" w:firstLineChars="200"/>
        <w:rPr>
          <w:rFonts w:eastAsia="仿宋_GB2312"/>
        </w:rPr>
      </w:pPr>
      <w:r>
        <w:rPr>
          <w:rFonts w:eastAsia="仿宋_GB2312"/>
        </w:rPr>
        <w:t>2.预警调整</w:t>
      </w:r>
    </w:p>
    <w:p w14:paraId="12D14450">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根据管道安全事故的发展态势和处置进展，预警信息发布部门单位应对预警级别和处置措施做出调整。</w:t>
      </w:r>
    </w:p>
    <w:p w14:paraId="2192CC34">
      <w:pPr>
        <w:adjustRightInd w:val="0"/>
        <w:snapToGrid w:val="0"/>
        <w:spacing w:line="578" w:lineRule="exact"/>
        <w:ind w:firstLine="640" w:firstLineChars="200"/>
        <w:rPr>
          <w:rFonts w:eastAsia="仿宋_GB2312"/>
        </w:rPr>
      </w:pPr>
      <w:r>
        <w:rPr>
          <w:rFonts w:eastAsia="仿宋_GB2312"/>
        </w:rPr>
        <w:t>3.发布渠道</w:t>
      </w:r>
    </w:p>
    <w:p w14:paraId="3387B658">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安全事故预警信息要采取有效措施向可能受影响人群发布，应当充分发挥安全事故预警信息发布系统作用，通过广播、电视、手机、通信与信息网络、警报器、宣传车、大喇叭或者组织人员逐户通知等方式进行，对老、幼、病、残、孕等特殊人群和学校等特殊场所以及警报盲区应当采取有针对性的通知方式。媒体单位应当优先做好预警信息传播和应急宣传工作。</w:t>
      </w:r>
    </w:p>
    <w:p w14:paraId="38349B40">
      <w:pPr>
        <w:adjustRightInd w:val="0"/>
        <w:snapToGrid w:val="0"/>
        <w:spacing w:line="578" w:lineRule="exact"/>
        <w:ind w:firstLine="640" w:firstLineChars="200"/>
        <w:rPr>
          <w:rFonts w:eastAsia="楷体_GB2312"/>
        </w:rPr>
      </w:pPr>
      <w:r>
        <w:rPr>
          <w:rFonts w:eastAsia="楷体_GB2312"/>
        </w:rPr>
        <w:t>（五）预警行动</w:t>
      </w:r>
    </w:p>
    <w:p w14:paraId="7693AFDE">
      <w:pPr>
        <w:pStyle w:val="2"/>
        <w:adjustRightInd w:val="0"/>
        <w:snapToGrid w:val="0"/>
        <w:spacing w:line="578" w:lineRule="exact"/>
        <w:ind w:firstLine="640" w:firstLineChars="200"/>
        <w:rPr>
          <w:rFonts w:eastAsia="仿宋_GB2312"/>
          <w:color w:val="000000" w:themeColor="text1"/>
          <w:spacing w:val="-8"/>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天然气长输管道安全事故可能发生并达到预警级别的，旗应急指挥机构办公室和管道保护主管部门应当对事故信息密切关注，评估分析，及时报告。根据可能造成的影响和危害程度，研究应</w:t>
      </w:r>
      <w:r>
        <w:rPr>
          <w:rFonts w:eastAsia="仿宋_GB2312"/>
          <w:color w:val="000000" w:themeColor="text1"/>
          <w:spacing w:val="-8"/>
          <w:sz w:val="32"/>
          <w:szCs w:val="32"/>
          <w14:textFill>
            <w14:solidFill>
              <w14:schemeClr w14:val="tx1"/>
            </w14:solidFill>
          </w14:textFill>
        </w:rPr>
        <w:t>对方案，提出防控措施，及时预警，并视情况采取以下预防性措施：</w:t>
      </w:r>
    </w:p>
    <w:p w14:paraId="7CFD2D1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1.准备或者直接启动相应的应急处置预案，降低天然气长输管道事故发生的可能性；</w:t>
      </w:r>
    </w:p>
    <w:p w14:paraId="5A64009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2.落实24小时值班制度，加强天然气长输管道实时信息监控、收集，及时发布最新动态；</w:t>
      </w:r>
    </w:p>
    <w:p w14:paraId="406E56F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3.及时组织对天然气长输管道情况进行分析评估，预测事故发生的可能性、影响范围、强度、级别等；</w:t>
      </w:r>
    </w:p>
    <w:p w14:paraId="67C6C2F5">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4.加强舆情监测，及时澄清谣言传言，做好舆论引导工作；</w:t>
      </w:r>
    </w:p>
    <w:p w14:paraId="54D7E351">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5.提示受影响或可能受影响区域的单位和居民做好天然气供应中断的应对工作；</w:t>
      </w:r>
    </w:p>
    <w:p w14:paraId="4B0C293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6.组织对重点区域进行防控，限制使用易受天然气长输管道安全事故危害的场所；</w:t>
      </w:r>
    </w:p>
    <w:p w14:paraId="2885A6CE">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7.必要时，向可能受到事故影响的公众发布相关信息、避免或者减轻危害的指导建议，并做好相关区域内人员疏散撤离准备；</w:t>
      </w:r>
    </w:p>
    <w:p w14:paraId="0619FC9D">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8.组织有关应急救援队伍和专业人员进入待命状态；</w:t>
      </w:r>
    </w:p>
    <w:p w14:paraId="71214DF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9.调集、筹措应急处置和救援所需物资及设备，并确保其处于良好状态、随时可投入正常使用；</w:t>
      </w:r>
    </w:p>
    <w:p w14:paraId="13B684D5">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 根据需要，对有关天然气长输管道及附属设施采取临时性工程措施；</w:t>
      </w:r>
    </w:p>
    <w:p w14:paraId="46A142E1">
      <w:pPr>
        <w:pStyle w:val="2"/>
        <w:adjustRightInd w:val="0"/>
        <w:snapToGrid w:val="0"/>
        <w:spacing w:line="578" w:lineRule="exact"/>
        <w:ind w:firstLine="608" w:firstLineChars="200"/>
        <w:rPr>
          <w:rFonts w:eastAsia="仿宋_GB2312"/>
          <w:color w:val="000000" w:themeColor="text1"/>
          <w:spacing w:val="-8"/>
          <w:sz w:val="32"/>
          <w:szCs w:val="32"/>
          <w14:textFill>
            <w14:solidFill>
              <w14:schemeClr w14:val="tx1"/>
            </w14:solidFill>
          </w14:textFill>
        </w:rPr>
      </w:pPr>
      <w:r>
        <w:rPr>
          <w:rFonts w:eastAsia="仿宋_GB2312"/>
          <w:color w:val="000000" w:themeColor="text1"/>
          <w:spacing w:val="-8"/>
          <w:sz w:val="32"/>
          <w:szCs w:val="32"/>
          <w14:textFill>
            <w14:solidFill>
              <w14:schemeClr w14:val="tx1"/>
            </w14:solidFill>
          </w14:textFill>
        </w:rPr>
        <w:t>11.法律、法规、规章规定的其他必要的防范性、保护性措施。</w:t>
      </w:r>
    </w:p>
    <w:p w14:paraId="4E98BFEB">
      <w:pPr>
        <w:adjustRightInd w:val="0"/>
        <w:snapToGrid w:val="0"/>
        <w:spacing w:line="578" w:lineRule="exact"/>
        <w:ind w:firstLine="640" w:firstLineChars="200"/>
        <w:rPr>
          <w:rFonts w:eastAsia="楷体_GB2312"/>
        </w:rPr>
      </w:pPr>
      <w:r>
        <w:rPr>
          <w:rFonts w:eastAsia="楷体_GB2312"/>
        </w:rPr>
        <w:t>（六）预警解除</w:t>
      </w:r>
    </w:p>
    <w:p w14:paraId="6655495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预警信息发布单位要密切关注事故进展情况，依据事态变化情况和专家组提出的建议，按照有关规定适时调整预警级别并重新发布。</w:t>
      </w:r>
    </w:p>
    <w:p w14:paraId="6B44C5B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确定不可能发生天然气长输管道安全事故或危险已经解除时，按照“谁发布，谁解除”原则，发布预警信息的单位应当立即宣布解除警报，适时终止相关措施。</w:t>
      </w:r>
    </w:p>
    <w:p w14:paraId="74B7F8F8">
      <w:pPr>
        <w:pStyle w:val="4"/>
        <w:adjustRightInd w:val="0"/>
        <w:snapToGrid w:val="0"/>
        <w:spacing w:before="0" w:after="0" w:line="578"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六、信息报告与处置</w:t>
      </w:r>
    </w:p>
    <w:p w14:paraId="265A4D0B">
      <w:pPr>
        <w:adjustRightInd w:val="0"/>
        <w:snapToGrid w:val="0"/>
        <w:spacing w:line="578" w:lineRule="exact"/>
        <w:ind w:firstLine="640" w:firstLineChars="200"/>
        <w:rPr>
          <w:rFonts w:eastAsia="楷体_GB2312"/>
        </w:rPr>
      </w:pPr>
      <w:r>
        <w:rPr>
          <w:rFonts w:eastAsia="楷体_GB2312"/>
        </w:rPr>
        <w:t>（一）信息报告</w:t>
      </w:r>
    </w:p>
    <w:p w14:paraId="3FC141E8">
      <w:pPr>
        <w:adjustRightInd w:val="0"/>
        <w:snapToGrid w:val="0"/>
        <w:spacing w:line="578" w:lineRule="exact"/>
        <w:ind w:firstLine="640" w:firstLineChars="200"/>
        <w:rPr>
          <w:rFonts w:eastAsia="仿宋_GB2312"/>
        </w:rPr>
      </w:pPr>
      <w:r>
        <w:rPr>
          <w:rFonts w:eastAsia="仿宋_GB2312"/>
        </w:rPr>
        <w:t>1.信息报告程序和时限</w:t>
      </w:r>
    </w:p>
    <w:p w14:paraId="76E452F6">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（1）管道安全事故发生后，事故企业应当立即通过电话向准格尔旗能源、应急管理、公安等有关部门单位报告事故相关信息</w:t>
      </w:r>
      <w:r>
        <w:rPr>
          <w:rFonts w:hint="eastAsia" w:eastAsia="仿宋_GB2312"/>
          <w:color w:val="000000" w:themeColor="text1"/>
          <w:sz w:val="32"/>
          <w:szCs w:val="32"/>
          <w:lang w:eastAsia="zh-CN"/>
          <w14:textFill>
            <w14:solidFill>
              <w14:schemeClr w14:val="tx1"/>
            </w14:solidFill>
          </w14:textFill>
        </w:rPr>
        <w:t>，并</w:t>
      </w:r>
      <w:r>
        <w:rPr>
          <w:rFonts w:eastAsia="仿宋_GB2312"/>
          <w:color w:val="000000" w:themeColor="text1"/>
          <w:sz w:val="32"/>
          <w:szCs w:val="32"/>
          <w14:textFill>
            <w14:solidFill>
              <w14:schemeClr w14:val="tx1"/>
            </w14:solidFill>
          </w14:textFill>
        </w:rPr>
        <w:t>在1小时内向有关部门单位进行书面报告；并立即启动本单位事故应急预案或应急方案，采取必要的先期处置措施。公众可通过“110”公安报警电话或旗政务服务热线进行报告。</w:t>
      </w:r>
    </w:p>
    <w:p w14:paraId="27C117FC">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（2）接到事件报告后，旗人民政府及有关部门单位立即如实向鄂尔多斯市人民政府及有关部门单位报告，最迟不得超过 1 小时，不得迟报、谎报、瞒报和漏报，同时通报可能受影响的地区、部门、单位和企业等。</w:t>
      </w:r>
    </w:p>
    <w:p w14:paraId="74AC282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特别重大、重大管道安全事故信息应当及时逐级报送至国务院及其有关部门单位；较大管道安全事故应当及时逐级报送至自治区人民政府及其有关部门单位；一般管道安全事故应当及时逐级报送至鄂尔多斯市人民政府及其有关部门单位。必要时，可以越级上报安全事故情况。</w:t>
      </w:r>
    </w:p>
    <w:p w14:paraId="4B011B55">
      <w:pPr>
        <w:adjustRightInd w:val="0"/>
        <w:snapToGrid w:val="0"/>
        <w:spacing w:line="578" w:lineRule="exact"/>
        <w:ind w:firstLine="640" w:firstLineChars="200"/>
        <w:rPr>
          <w:rFonts w:eastAsia="仿宋_GB2312"/>
        </w:rPr>
      </w:pPr>
      <w:r>
        <w:rPr>
          <w:rFonts w:eastAsia="仿宋_GB2312"/>
        </w:rPr>
        <w:t>2.信息报告内容与方式</w:t>
      </w:r>
    </w:p>
    <w:p w14:paraId="1DA76B80">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管道安全事故的报告分为初始报告、后续报告和终止报告，当管道安全事故影响范围可能超出准格尔旗行政区域时，应当及时向鄂尔多斯市或自治区沟通对接。</w:t>
      </w:r>
    </w:p>
    <w:p w14:paraId="43C77522">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（1）初始报告。初始报告在发现或者得知管道事故后首次上报，紧急时也可用电话直接报告，随后采用书面形式报告。初报内容一般包括：安全事故信息来源， 事发单位基本信息，事发时间、地点、危害结果，已采取处置措施，事故发展趋势的分析研判，现场指挥负责人及救援力量，拟采取的措施以及下一步工作建议，以及其他应当报告的事项。极端情况下，确实无法及时获得完整信息时，可调整报告内容，并根据事态发展随时报告。</w:t>
      </w:r>
    </w:p>
    <w:p w14:paraId="07C72B98">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后续报告。在初报基础上，根据事态进展，及时续报管道安全事故处置等有关情况，续报可根据事态发展情况进行多次报告。主要内容包括：有关监测数据，事故发生原因、过程、进展情况，事故危害程度、趋势分析，以及采取的措施、取得的效果等。</w:t>
      </w:r>
    </w:p>
    <w:p w14:paraId="2A4D287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终止报告。终止报告在管道事故应急处置结束后进行报告。主要报告内容：报告处理事故采取的应急措施、过程和结果，事故潜在或间接的危害、社会影响、处理后的遗留问题，事故经验教训，参加应急响应工作的有关部门和工作内容，需开展的善后工作等。</w:t>
      </w:r>
    </w:p>
    <w:p w14:paraId="0DED7010">
      <w:pPr>
        <w:adjustRightInd w:val="0"/>
        <w:snapToGrid w:val="0"/>
        <w:spacing w:line="578" w:lineRule="exact"/>
        <w:ind w:firstLine="640" w:firstLineChars="200"/>
        <w:rPr>
          <w:rFonts w:eastAsia="楷体_GB2312"/>
        </w:rPr>
      </w:pPr>
      <w:r>
        <w:rPr>
          <w:rFonts w:eastAsia="楷体_GB2312"/>
        </w:rPr>
        <w:t>（二）先期处置</w:t>
      </w:r>
    </w:p>
    <w:p w14:paraId="69AF725A">
      <w:pPr>
        <w:adjustRightInd w:val="0"/>
        <w:snapToGrid w:val="0"/>
        <w:spacing w:line="578" w:lineRule="exact"/>
        <w:ind w:firstLine="640" w:firstLineChars="200"/>
        <w:rPr>
          <w:rFonts w:eastAsia="仿宋_GB2312"/>
        </w:rPr>
      </w:pPr>
      <w:r>
        <w:rPr>
          <w:rFonts w:eastAsia="仿宋_GB2312"/>
        </w:rPr>
        <w:t>1.事故企业</w:t>
      </w:r>
    </w:p>
    <w:p w14:paraId="5F541BF6">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发生事故的管道企业或者受影响部门单位要向所在地人民政府及其有关部门单位报告，应迅速切断天然气来源，立即组织本部门单位应急队伍和工作人员营救受害人员，疏散、撤离、安置受威胁人员；控制危险源，标明危险区域，管控危险场所，并采取其他防止危险扩大的必要措施。</w:t>
      </w:r>
    </w:p>
    <w:p w14:paraId="48BF9DCD">
      <w:pPr>
        <w:adjustRightInd w:val="0"/>
        <w:snapToGrid w:val="0"/>
        <w:spacing w:line="578" w:lineRule="exact"/>
        <w:ind w:firstLine="640" w:firstLineChars="200"/>
        <w:rPr>
          <w:rFonts w:eastAsia="仿宋_GB2312"/>
        </w:rPr>
      </w:pPr>
      <w:r>
        <w:rPr>
          <w:rFonts w:eastAsia="仿宋_GB2312"/>
        </w:rPr>
        <w:t>2.事故所在地人民政府</w:t>
      </w:r>
    </w:p>
    <w:p w14:paraId="65ADF51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根据事故性质、危害程度、影响范围和发展态势，迅速调集力量，开展抢险救援；采取有力措施控制事态发展；迅速转移、疏散、撤离受安全事故危害或威胁的人员并妥善安置；组织开展医疗救治、交通管制、维护社会治安等工作。</w:t>
      </w:r>
    </w:p>
    <w:p w14:paraId="4FBBC210">
      <w:pPr>
        <w:pStyle w:val="4"/>
        <w:adjustRightInd w:val="0"/>
        <w:snapToGrid w:val="0"/>
        <w:spacing w:before="0" w:after="0" w:line="578"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七、应急响应</w:t>
      </w:r>
    </w:p>
    <w:p w14:paraId="071C039B">
      <w:pPr>
        <w:adjustRightInd w:val="0"/>
        <w:snapToGrid w:val="0"/>
        <w:spacing w:line="578" w:lineRule="exact"/>
        <w:ind w:firstLine="640" w:firstLineChars="200"/>
        <w:rPr>
          <w:rFonts w:eastAsia="楷体_GB2312"/>
        </w:rPr>
      </w:pPr>
      <w:r>
        <w:rPr>
          <w:rFonts w:eastAsia="楷体_GB2312"/>
        </w:rPr>
        <w:t>（一）分级应对</w:t>
      </w:r>
    </w:p>
    <w:p w14:paraId="60E2962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安全事故应对遵循分级负责、属地为主的原则。当事故超出事发地应对处置能力时，由上一级政府提供支援或组织应对。一般安全事故由旗人民政府组织应对；较大事故由鄂尔多斯市政府组织应对；特别重大、重大事故由自治区政府组织应对。</w:t>
      </w:r>
    </w:p>
    <w:p w14:paraId="69587842">
      <w:pPr>
        <w:adjustRightInd w:val="0"/>
        <w:snapToGrid w:val="0"/>
        <w:spacing w:line="578" w:lineRule="exact"/>
        <w:ind w:firstLine="640" w:firstLineChars="200"/>
        <w:rPr>
          <w:rFonts w:eastAsia="楷体_GB2312"/>
        </w:rPr>
      </w:pPr>
      <w:r>
        <w:rPr>
          <w:rFonts w:eastAsia="楷体_GB2312"/>
        </w:rPr>
        <w:t>（二）分级响应</w:t>
      </w:r>
    </w:p>
    <w:p w14:paraId="11D87262">
      <w:pPr>
        <w:pStyle w:val="2"/>
        <w:adjustRightInd w:val="0"/>
        <w:snapToGrid w:val="0"/>
        <w:spacing w:line="578" w:lineRule="exact"/>
        <w:ind w:firstLine="640" w:firstLineChars="200"/>
        <w:rPr>
          <w:rFonts w:eastAsia="仿宋_GB2312"/>
          <w:color w:val="000000" w:themeColor="text1"/>
          <w:sz w:val="32"/>
          <w:szCs w:val="32"/>
          <w:highlight w:val="yellow"/>
          <w14:textFill>
            <w14:solidFill>
              <w14:schemeClr w14:val="tx1"/>
            </w14:solidFill>
          </w14:textFill>
        </w:rPr>
      </w:pPr>
      <w:r>
        <w:rPr>
          <w:rFonts w:eastAsia="仿宋_GB2312"/>
          <w:color w:val="000000" w:themeColor="text1"/>
          <w:sz w:val="32"/>
          <w:szCs w:val="32"/>
          <w14:textFill>
            <w14:solidFill>
              <w14:schemeClr w14:val="tx1"/>
            </w14:solidFill>
          </w14:textFill>
        </w:rPr>
        <w:t>按照管道安全事故的可控性、严重程度和影响范围，应急响应分为I级、Ⅱ级、Ⅲ级、IV级四个等级，I级为最高级别。按照管道安全事故分级标准，发生I级、Ⅱ级、Ⅲ级管道安全事故时，旗应急指挥部办公室应立即按本预案要求，将事故信息及应急处置情况及时上报鄂尔多斯市应急指挥部办公室，请求上级支援和提出启动I级、Ⅱ级、Ⅲ级响应的建议。发生IV级管道安全事故时，由旗应急指挥部办公室决定，应急响应命令由旗应急指挥部副总指挥或旗应急指挥部办公室主任签发；对于事故本身比较敏感、容易引发舆论热议，或者发生在重点区域、重要会议及重大活动期间的，可视情况报批提级启动。</w:t>
      </w:r>
    </w:p>
    <w:p w14:paraId="11C5034B">
      <w:pPr>
        <w:adjustRightInd w:val="0"/>
        <w:snapToGrid w:val="0"/>
        <w:spacing w:line="578" w:lineRule="exact"/>
        <w:ind w:firstLine="640" w:firstLineChars="200"/>
        <w:rPr>
          <w:rFonts w:eastAsia="楷体_GB2312"/>
        </w:rPr>
      </w:pPr>
      <w:r>
        <w:rPr>
          <w:rFonts w:eastAsia="楷体_GB2312"/>
        </w:rPr>
        <w:t>（三）分级处置</w:t>
      </w:r>
    </w:p>
    <w:p w14:paraId="674200AB">
      <w:pPr>
        <w:adjustRightInd w:val="0"/>
        <w:snapToGrid w:val="0"/>
        <w:spacing w:line="578" w:lineRule="exact"/>
        <w:ind w:firstLine="640" w:firstLineChars="200"/>
        <w:rPr>
          <w:rFonts w:eastAsia="仿宋_GB2312"/>
        </w:rPr>
      </w:pPr>
      <w:r>
        <w:rPr>
          <w:rFonts w:eastAsia="仿宋_GB2312"/>
        </w:rPr>
        <w:t>1. IV级响应（一般事故）</w:t>
      </w:r>
    </w:p>
    <w:p w14:paraId="73B3A34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发生一般安全事故时，立即启动本级应急预案，旗应急指挥部办公室进入IV级应急响应状态，旗应急指挥部全体成员单位执行24小时值班制度。及时将事故信息通报有关成员单位，跟踪事故应急处置进展，按规定向上级部门报告事故信息。副总指挥带领有关成员部门单位负责人、专家组、应急抢险队伍赶赴现场，成立现场指挥部，统筹做好现场应急处置工作。视情况成立各工作组，迅速开展管道安全事故应对工作。</w:t>
      </w:r>
    </w:p>
    <w:p w14:paraId="63C709D1">
      <w:pPr>
        <w:adjustRightInd w:val="0"/>
        <w:snapToGrid w:val="0"/>
        <w:spacing w:line="578" w:lineRule="exact"/>
        <w:ind w:firstLine="640" w:firstLineChars="200"/>
        <w:rPr>
          <w:rFonts w:eastAsia="仿宋_GB2312"/>
        </w:rPr>
      </w:pPr>
      <w:r>
        <w:rPr>
          <w:rFonts w:eastAsia="仿宋_GB2312"/>
        </w:rPr>
        <w:t>2. Ⅲ级响应处置（较大事故）</w:t>
      </w:r>
    </w:p>
    <w:p w14:paraId="0B92A40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初判发生较大安全事故或跨区域的一般安全事故时，旗应急指挥部办公室进入Ⅲ级应急响应状态，旗应急指挥部全体成员单位执行24小时值班制度。总指挥带领相关成员单位负责人、专家组、应急抢险队伍赶赴现场，在鄂尔多斯市应急处置现场指挥部成立前，在旗IV级响应有关处置工作的基础上，积极开展先期处置工作。鄂尔多斯市应急处置现场指挥部成立后，在鄂尔多斯市应急处置现场指挥部的统一领导下开展应急处置工作，旗应急指挥部直接组织旗内资源调运，必要时，向鄂尔多斯市人民政府请求支援。</w:t>
      </w:r>
    </w:p>
    <w:p w14:paraId="1DCD5C18">
      <w:pPr>
        <w:adjustRightInd w:val="0"/>
        <w:snapToGrid w:val="0"/>
        <w:spacing w:line="578" w:lineRule="exact"/>
        <w:ind w:firstLine="640" w:firstLineChars="200"/>
        <w:rPr>
          <w:rFonts w:eastAsia="仿宋_GB2312"/>
        </w:rPr>
      </w:pPr>
      <w:r>
        <w:rPr>
          <w:rFonts w:eastAsia="仿宋_GB2312"/>
        </w:rPr>
        <w:t>3.Ⅱ级响应处置（重大事故）</w:t>
      </w:r>
    </w:p>
    <w:p w14:paraId="3BF6E0F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初判发生重大安全事故时，旗应急指挥部办公室进入Ⅱ级应急响应状态，旗应急指挥部全体成员单位执行24小时值班制度。总指挥带领相关成员单位负责人、专家组、应急抢险队伍赶赴现场，在自治区应急处置现场指挥部成立前，在旗Ⅲ级响应处置的基础上，迅速组织可能受到事故危害的单位和居民疏散，做好安全警戒、交通管制工作；因油气长输管道事故造成人员伤害的，应先搜寻、抢救、转运受伤人员；迅速开展现场清理、物件转移和环境监测。</w:t>
      </w:r>
    </w:p>
    <w:p w14:paraId="1DA3113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旗应急指挥部办公室及时收集调度事故信息报告，随时掌握事故处置情况；按规定向鄂尔多斯市人民政府、鄂尔多斯市能源局报告事故信息，同时，旗人民政府应当按照相关要求直报自治区及自治区有关部门。 </w:t>
      </w:r>
    </w:p>
    <w:p w14:paraId="7EAB527A">
      <w:pPr>
        <w:adjustRightInd w:val="0"/>
        <w:snapToGrid w:val="0"/>
        <w:spacing w:line="578" w:lineRule="exact"/>
        <w:ind w:firstLine="640" w:firstLineChars="200"/>
        <w:rPr>
          <w:rFonts w:eastAsia="仿宋_GB2312"/>
        </w:rPr>
      </w:pPr>
      <w:r>
        <w:rPr>
          <w:rFonts w:eastAsia="仿宋_GB2312"/>
        </w:rPr>
        <w:t>4.I级响应处置（特别重大事故）</w:t>
      </w:r>
    </w:p>
    <w:p w14:paraId="165381BD">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当启动I级响应时，旗应急指挥部进入I级应急响应状态，旗应急指挥部成员单位迅速到位，总指挥带领有关成员单位、专家组、应急抢险队伍赶赴现场，在国家、自治区应急处置现场指挥部成立前，在Ⅱ级响应有关处置工作的基础上，积极开展先期处置，国家、自治区应急处置现场指挥部成立后，在自治区应急处置现场指挥部的统一领导下，开展应急处置工作；跨区域协调专业应急抢险设备和物资进行支援；对危险区域内国家重要设施和目标采取必要的防护加固等临时保护措施，防止二次事故和次生、衍生灾害。</w:t>
      </w:r>
    </w:p>
    <w:p w14:paraId="4E18184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旗应急指挥部办公室及时收集调度事故信息报告，随时掌握事故处置情况；按规定向鄂尔多斯市人民政府、鄂尔多斯市能源局报告事故信息，同时，旗人民政府应当按照相关要求直报自治区及自治区有关部门。 </w:t>
      </w:r>
    </w:p>
    <w:p w14:paraId="0DF8ACE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对跨旗县区或跨盟市影响严重的管道安全事故，旗应急指挥部应当及时通报相关旗县区或有关盟市，实行区域联动。 </w:t>
      </w:r>
    </w:p>
    <w:p w14:paraId="2CE131F8">
      <w:pPr>
        <w:adjustRightInd w:val="0"/>
        <w:snapToGrid w:val="0"/>
        <w:spacing w:line="578" w:lineRule="exact"/>
        <w:ind w:firstLine="640" w:firstLineChars="200"/>
        <w:rPr>
          <w:rFonts w:eastAsia="楷体_GB2312"/>
        </w:rPr>
      </w:pPr>
      <w:r>
        <w:rPr>
          <w:rFonts w:eastAsia="楷体_GB2312"/>
        </w:rPr>
        <w:t>（四）处置措施</w:t>
      </w:r>
    </w:p>
    <w:p w14:paraId="0DC77BB0">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1.现场信息获取。组织现场人员、应急测绘和勘察队伍等， 利用卫星或无人机遥感、地面勘察等手段获取现场影像，分析研判基础设施和居民住房损毁情况，重要目标物、人员密集场所和人口分布等信息，提出初步评估意见，向现场指挥机构和有关部门报告。</w:t>
      </w:r>
    </w:p>
    <w:p w14:paraId="3AD339BD">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2.组织营救受灾和被困人员，疏散、撤离并妥善安置受威胁人员，必要时组织动员社会应急力量有序参与应急处置与救援、受灾人员救助工作。</w:t>
      </w:r>
    </w:p>
    <w:p w14:paraId="2ECA1CB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3.视情组织开展伤病员救治、卫生防疫调查处理、应急心理援助等医疗卫生救援工作。</w:t>
      </w:r>
    </w:p>
    <w:p w14:paraId="7343C1C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4.迅速组织开展抢险工作，控制危险源、减轻或者消除危害，并标明危险区域，封锁危险场所，划定警戒区，实行交通管制以及其他控制措施。</w:t>
      </w:r>
    </w:p>
    <w:p w14:paraId="277AB7D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5.开展环境应急监测，追踪研判污染范围、程度和发展趋势。切断污染源，控制和处置污染物。开展灾后环境风险排查，整治污染隐患。</w:t>
      </w:r>
    </w:p>
    <w:p w14:paraId="07AB57A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6.关闭或者限制使用有关场所，中止人员密集的活动或者可能导致危险扩大的生产经营活动，视情采取其他有关保护措施。</w:t>
      </w:r>
    </w:p>
    <w:p w14:paraId="1366546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7.做好受灾群众的基本生活保障工作，提供食品、饮用水、衣被、燃料等基本生活物资和临时住所，确保灾区群众有饭吃、有水喝、有衣穿、有住处。</w:t>
      </w:r>
    </w:p>
    <w:p w14:paraId="21422CFE">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8.开展遇难人员善后处置工作，妥善处理遇难人员遗体， 做好遇难人员家属安抚，加强群众心理疏导和危机干预等工作。</w:t>
      </w:r>
    </w:p>
    <w:p w14:paraId="6870F0E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9.分析预判灾害事件再次发生发展的趋势，采取防止发生次生、衍生灾害和事件的必要措施。</w:t>
      </w:r>
    </w:p>
    <w:p w14:paraId="0F7DC1B7">
      <w:pPr>
        <w:pStyle w:val="2"/>
        <w:adjustRightInd w:val="0"/>
        <w:snapToGrid w:val="0"/>
        <w:spacing w:line="578" w:lineRule="exact"/>
        <w:ind w:firstLine="640" w:firstLineChars="200"/>
        <w:rPr>
          <w:rFonts w:eastAsia="仿宋_GB2312"/>
          <w:color w:val="000000" w:themeColor="text1"/>
          <w:spacing w:val="-8"/>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10.因抢救人员、防止事故扩大，需要移动现场物件时，有关</w:t>
      </w:r>
      <w:r>
        <w:rPr>
          <w:rFonts w:eastAsia="仿宋_GB2312"/>
          <w:color w:val="000000" w:themeColor="text1"/>
          <w:spacing w:val="-8"/>
          <w:sz w:val="32"/>
          <w:szCs w:val="32"/>
          <w14:textFill>
            <w14:solidFill>
              <w14:schemeClr w14:val="tx1"/>
            </w14:solidFill>
          </w14:textFill>
        </w:rPr>
        <w:t>部门应当采取记录、拍照等方式进行现场标志，尽量妥善保护现场。</w:t>
      </w:r>
    </w:p>
    <w:p w14:paraId="5D62672F">
      <w:pPr>
        <w:adjustRightInd w:val="0"/>
        <w:snapToGrid w:val="0"/>
        <w:spacing w:line="578" w:lineRule="exact"/>
        <w:ind w:firstLine="640" w:firstLineChars="200"/>
        <w:rPr>
          <w:rFonts w:eastAsia="楷体_GB2312"/>
        </w:rPr>
      </w:pPr>
      <w:r>
        <w:rPr>
          <w:rFonts w:eastAsia="楷体_GB2312"/>
        </w:rPr>
        <w:t>（五）信息发布与舆论引导</w:t>
      </w:r>
    </w:p>
    <w:p w14:paraId="0EAAE075">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发生特别重大、重大、较大天然气长输管道事故后，要按照自治区政府、鄂尔多斯市政府或应急指挥机构指示和部署适时通过主流媒体向社会发布简要信息，最迟要在5小时内发布权威信息；随后发布初步核实情况、应对措施和公众防范措施等，最迟要在 24 小时内举行新闻发布会；根据事故处置情况做好后续发布工作。发生一般安全事故后，旗人民政府、事发地或者应急指挥机构根据处置进展动态及时发布权威信息。</w:t>
      </w:r>
    </w:p>
    <w:p w14:paraId="38974995">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信息发布形式主要包括提供新闻稿、举行新闻发布会、接受媒体采访，以及运用官方网站、微博、微信、移动客户端、手机短信等官方信息平台等发布，具体发布按照信息发布工作有关规定执行。</w:t>
      </w:r>
    </w:p>
    <w:p w14:paraId="3F3C1A24">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履行统一领导职责的各级人民政府及党委宣传部门要加强网络媒体、移动新媒体信息发布内容管理和舆情分析，及时回应社会关切，迅速澄清谣言，引导网民依法、理性表达意见，形成积极健康的社会舆论。</w:t>
      </w:r>
    </w:p>
    <w:p w14:paraId="089FAD71">
      <w:pPr>
        <w:adjustRightInd w:val="0"/>
        <w:snapToGrid w:val="0"/>
        <w:spacing w:line="578" w:lineRule="exact"/>
        <w:ind w:firstLine="640" w:firstLineChars="200"/>
        <w:rPr>
          <w:rFonts w:eastAsia="楷体_GB2312"/>
        </w:rPr>
      </w:pPr>
      <w:r>
        <w:rPr>
          <w:rFonts w:eastAsia="楷体_GB2312"/>
        </w:rPr>
        <w:t>（六）维护稳定</w:t>
      </w:r>
    </w:p>
    <w:p w14:paraId="7B5A26F9">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加强受影响区域社会治安管理，严厉打击借机传播谣言制造社会恐慌、哄抢救灾物资和生活必需品等违法犯罪行为；加强转移人员安置点、救灾物资存放点等重点区域治安管控；做好矛盾纠纷化解、政策解答和法律服务工作，防止出现群体性事件，维护社会稳定。</w:t>
      </w:r>
    </w:p>
    <w:p w14:paraId="10E962FB">
      <w:pPr>
        <w:adjustRightInd w:val="0"/>
        <w:snapToGrid w:val="0"/>
        <w:spacing w:line="578" w:lineRule="exact"/>
        <w:ind w:firstLine="640" w:firstLineChars="200"/>
        <w:rPr>
          <w:rFonts w:eastAsia="楷体_GB2312"/>
        </w:rPr>
      </w:pPr>
      <w:r>
        <w:rPr>
          <w:rFonts w:eastAsia="楷体_GB2312"/>
        </w:rPr>
        <w:t>（七）响应终止</w:t>
      </w:r>
    </w:p>
    <w:p w14:paraId="1A16CF8A">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在确认较大管道安全事故处置工作已基本完成、事故灾害得到有效控制、危害已经基本消除后，经现场专家组认定后，旗应急指挥部宣布应急响应终止；一般管道安全事故应急响应终止，由旗应急指挥机构决定。</w:t>
      </w:r>
    </w:p>
    <w:p w14:paraId="077CF474">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应采取或者继续实施必要措施，防止发生次生、衍生事件或者重新引发社会安全事件。现场指挥机构停止运行后，通知有关方面解除应急措施，进入过渡时期，逐步恢复生产生活秩序。</w:t>
      </w:r>
    </w:p>
    <w:p w14:paraId="1542952F">
      <w:pPr>
        <w:pStyle w:val="4"/>
        <w:adjustRightInd w:val="0"/>
        <w:snapToGrid w:val="0"/>
        <w:spacing w:before="0" w:after="0" w:line="578"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八、后期处置</w:t>
      </w:r>
    </w:p>
    <w:p w14:paraId="798AE771">
      <w:pPr>
        <w:adjustRightInd w:val="0"/>
        <w:snapToGrid w:val="0"/>
        <w:spacing w:line="578" w:lineRule="exact"/>
        <w:ind w:firstLine="640" w:firstLineChars="200"/>
        <w:rPr>
          <w:rFonts w:eastAsia="楷体_GB2312"/>
        </w:rPr>
      </w:pPr>
      <w:r>
        <w:rPr>
          <w:rFonts w:eastAsia="楷体_GB2312"/>
        </w:rPr>
        <w:t>（一）善后处置</w:t>
      </w:r>
    </w:p>
    <w:p w14:paraId="4D5BAF2D">
      <w:pPr>
        <w:pStyle w:val="2"/>
        <w:adjustRightInd w:val="0"/>
        <w:snapToGrid w:val="0"/>
        <w:spacing w:line="578" w:lineRule="exact"/>
        <w:ind w:firstLine="640" w:firstLineChars="200"/>
        <w:rPr>
          <w:rFonts w:eastAsia="仿宋_GB2312"/>
          <w:color w:val="000000" w:themeColor="text1"/>
          <w:spacing w:val="-8"/>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管道安全事故现场处置结束后，事发地、有关保险机构、管道企业和有关部门单位各司其职，做好伤亡人员及家属的安抚、</w:t>
      </w:r>
      <w:r>
        <w:rPr>
          <w:rFonts w:eastAsia="仿宋_GB2312"/>
          <w:color w:val="000000" w:themeColor="text1"/>
          <w:spacing w:val="-8"/>
          <w:sz w:val="32"/>
          <w:szCs w:val="32"/>
          <w14:textFill>
            <w14:solidFill>
              <w14:schemeClr w14:val="tx1"/>
            </w14:solidFill>
          </w14:textFill>
        </w:rPr>
        <w:t>抚恤、理赔、灾后重建和污染物收集、清理与处理等善后处理工作。</w:t>
      </w:r>
    </w:p>
    <w:p w14:paraId="286172EF">
      <w:pPr>
        <w:adjustRightInd w:val="0"/>
        <w:snapToGrid w:val="0"/>
        <w:spacing w:line="578" w:lineRule="exact"/>
        <w:ind w:firstLine="640" w:firstLineChars="200"/>
        <w:rPr>
          <w:rFonts w:eastAsia="楷体_GB2312"/>
        </w:rPr>
      </w:pPr>
      <w:r>
        <w:rPr>
          <w:rFonts w:eastAsia="楷体_GB2312"/>
        </w:rPr>
        <w:t>（二）事故调查</w:t>
      </w:r>
    </w:p>
    <w:p w14:paraId="7B0FF360">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安全事故应急工作结束后，根据《生产安全事故报告和调查处理条例》有关规定，按照科学严谨、依法依规、实事求是、注重实效的原则，及时、准确地查清事故原因，查明事故性质和责任，总结事故教训，提出整改措施，并对事故责任者提出处理意见。一般管道安全事故，由旗能源局或者旗政府授权的相关部门牵头，其他有关部门单位配合进行调查处理。</w:t>
      </w:r>
    </w:p>
    <w:p w14:paraId="5FEE95B5">
      <w:pPr>
        <w:adjustRightInd w:val="0"/>
        <w:snapToGrid w:val="0"/>
        <w:spacing w:line="578" w:lineRule="exact"/>
        <w:ind w:firstLine="640" w:firstLineChars="200"/>
        <w:rPr>
          <w:rFonts w:eastAsia="楷体_GB2312"/>
        </w:rPr>
      </w:pPr>
      <w:r>
        <w:rPr>
          <w:rFonts w:eastAsia="楷体_GB2312"/>
        </w:rPr>
        <w:t>（三）总结评估</w:t>
      </w:r>
    </w:p>
    <w:p w14:paraId="758DF141">
      <w:pPr>
        <w:adjustRightInd w:val="0"/>
        <w:snapToGrid w:val="0"/>
        <w:spacing w:line="578" w:lineRule="exact"/>
        <w:ind w:firstLine="640" w:firstLineChars="200"/>
        <w:rPr>
          <w:rFonts w:eastAsia="仿宋_GB2312"/>
        </w:rPr>
      </w:pPr>
      <w:r>
        <w:rPr>
          <w:rFonts w:eastAsia="仿宋_GB2312"/>
          <w:color w:val="000000" w:themeColor="text1"/>
          <w:szCs w:val="32"/>
          <w14:textFill>
            <w14:solidFill>
              <w14:schemeClr w14:val="tx1"/>
            </w14:solidFill>
          </w14:textFill>
        </w:rPr>
        <w:t>一般管道安全事故总结、评估工作，由旗应急指挥部办公室负责。旗应急指挥部办公室将应急处置有关文字、图片、录像等资料整理归档，并对事故应急响应情况进行总结、评估，总结评</w:t>
      </w:r>
      <w:r>
        <w:rPr>
          <w:rFonts w:eastAsia="仿宋_GB2312"/>
        </w:rPr>
        <w:t>估报告报送旗人民政府。</w:t>
      </w:r>
    </w:p>
    <w:p w14:paraId="3530D986">
      <w:pPr>
        <w:adjustRightInd w:val="0"/>
        <w:snapToGrid w:val="0"/>
        <w:spacing w:line="578" w:lineRule="exact"/>
        <w:ind w:firstLine="640" w:firstLineChars="200"/>
        <w:rPr>
          <w:rFonts w:eastAsia="楷体_GB2312"/>
        </w:rPr>
      </w:pPr>
      <w:r>
        <w:rPr>
          <w:rFonts w:eastAsia="楷体_GB2312"/>
        </w:rPr>
        <w:t>（四）恢复重建</w:t>
      </w:r>
    </w:p>
    <w:p w14:paraId="142B2014">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根据事故级别和受损情况，恢复重建工作分别由事发地负责。事故应急处置工作结束后，事发地要立即组织制定恢复重建计划，并向上一级政府报告。</w:t>
      </w:r>
    </w:p>
    <w:p w14:paraId="2930471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管道企业应当在有关部门单位和专家的指导下，抓紧进行设施设备修复和现场清理，要在确保安全的前提下，尽快恢复天然气长输管道运行和稳定供应。</w:t>
      </w:r>
    </w:p>
    <w:p w14:paraId="1AB6B72C">
      <w:pPr>
        <w:pStyle w:val="4"/>
        <w:adjustRightInd w:val="0"/>
        <w:snapToGrid w:val="0"/>
        <w:spacing w:before="0" w:after="0" w:line="578"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九、应急保障</w:t>
      </w:r>
    </w:p>
    <w:p w14:paraId="3FACA348">
      <w:pPr>
        <w:adjustRightInd w:val="0"/>
        <w:snapToGrid w:val="0"/>
        <w:spacing w:line="578" w:lineRule="exact"/>
        <w:ind w:firstLine="640" w:firstLineChars="200"/>
        <w:rPr>
          <w:rFonts w:eastAsia="楷体_GB2312"/>
        </w:rPr>
      </w:pPr>
      <w:r>
        <w:rPr>
          <w:rFonts w:eastAsia="楷体_GB2312"/>
        </w:rPr>
        <w:t>（一）队伍保障</w:t>
      </w:r>
    </w:p>
    <w:p w14:paraId="6DE7299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应当建立健全管道抢修应急专业队伍，对于生产经营规模较小的，可以不建立应急救援组织，但应当指定兼职的应急救援人员，加强设备维护和应急抢修技能方面的人员培训，定期开展应急演练，提高应急救援能力。各级人民政府根据需要组织动员其他专业应急队伍参与管道安全事故及其次生、衍生灾害处置工作。旗应急管理局、旗消防救援大队等应当做好应急力量支援保障。</w:t>
      </w:r>
    </w:p>
    <w:p w14:paraId="3E94341E">
      <w:pPr>
        <w:adjustRightInd w:val="0"/>
        <w:snapToGrid w:val="0"/>
        <w:spacing w:line="578" w:lineRule="exact"/>
        <w:ind w:firstLine="640" w:firstLineChars="200"/>
        <w:rPr>
          <w:rFonts w:eastAsia="楷体_GB2312"/>
        </w:rPr>
      </w:pPr>
      <w:r>
        <w:rPr>
          <w:rFonts w:eastAsia="楷体_GB2312"/>
        </w:rPr>
        <w:t>（二）物资装备保障</w:t>
      </w:r>
    </w:p>
    <w:p w14:paraId="3406B249">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应当根据应急需要，储备应急物资、常用装备和特种装备，建立应急物资、装备数据库，并向旗能源局和旗应急指挥部办公室报备。当出现安全事故情况，抢险救援物资装备不足时，由旗应急指挥部统一调配。各有关部门单位要加强应急救援装备物资及生产生活物资的紧急生产、储备调拨和紧急配送工作，保障支援天然气长输管道事故应对工作需要。</w:t>
      </w:r>
    </w:p>
    <w:p w14:paraId="6E9D6A77">
      <w:pPr>
        <w:adjustRightInd w:val="0"/>
        <w:snapToGrid w:val="0"/>
        <w:spacing w:line="578" w:lineRule="exact"/>
        <w:ind w:firstLine="640" w:firstLineChars="200"/>
        <w:rPr>
          <w:rFonts w:eastAsia="楷体_GB2312"/>
        </w:rPr>
      </w:pPr>
      <w:r>
        <w:rPr>
          <w:rFonts w:eastAsia="楷体_GB2312"/>
        </w:rPr>
        <w:t>（三）通信、交通与运输保障</w:t>
      </w:r>
    </w:p>
    <w:p w14:paraId="56CF4F0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通信主管部门要建立健全天然气长输管道事故应急通信保障体系，形成可靠的通信保障能力，确保应急期间通信联络和信息传递需要。交通运输部门要健全紧急运输保障体系，保障应急响应所需人员、物资、装备、器材等的运输；公安部门要加强交通应急管理，保障应急救援车辆优先通行；各级应急指挥机构应配备必要的应急车辆，保障应急救援需要。</w:t>
      </w:r>
    </w:p>
    <w:p w14:paraId="1C928DF2">
      <w:pPr>
        <w:adjustRightInd w:val="0"/>
        <w:snapToGrid w:val="0"/>
        <w:spacing w:line="578" w:lineRule="exact"/>
        <w:ind w:firstLine="640" w:firstLineChars="200"/>
        <w:rPr>
          <w:rFonts w:eastAsia="楷体_GB2312"/>
        </w:rPr>
      </w:pPr>
      <w:r>
        <w:rPr>
          <w:rFonts w:eastAsia="楷体_GB2312"/>
        </w:rPr>
        <w:t>（四）资金保障</w:t>
      </w:r>
    </w:p>
    <w:p w14:paraId="4380D4D8">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现场处置所需经费由管道安全事故责任单位承担，事故单位暂时无力承担或责任暂无法明确的，由旗人民政府按照旗应急指挥部指令先行垫付。</w:t>
      </w:r>
    </w:p>
    <w:p w14:paraId="1DA6210C">
      <w:pPr>
        <w:adjustRightInd w:val="0"/>
        <w:snapToGrid w:val="0"/>
        <w:spacing w:line="578" w:lineRule="exact"/>
        <w:ind w:firstLine="640" w:firstLineChars="200"/>
        <w:rPr>
          <w:rFonts w:eastAsia="楷体_GB2312"/>
        </w:rPr>
      </w:pPr>
      <w:r>
        <w:rPr>
          <w:rFonts w:eastAsia="楷体_GB2312"/>
        </w:rPr>
        <w:t>（五）技术保障</w:t>
      </w:r>
    </w:p>
    <w:p w14:paraId="0DD5AC8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要加强管道安全事故应对能力建设，使用先进成熟技术装备，加强管道运行安全应急信息化平台建设，着重开展信息化系统安全防护工作。旗应急指挥部办公室应当牵头建立旗管道安全事故应急救援专家库，为应急救援提供技术支持和保障。充分发挥有关行业、领域的机构和专家的作用，研发专业处置技术，强化技术支撑。管道企业应当加强管道运行安全应急信息化平台建设， 着重开展信息化系统安全防护工作。</w:t>
      </w:r>
    </w:p>
    <w:p w14:paraId="2926765D">
      <w:pPr>
        <w:adjustRightInd w:val="0"/>
        <w:snapToGrid w:val="0"/>
        <w:spacing w:line="578" w:lineRule="exact"/>
        <w:ind w:firstLine="640" w:firstLineChars="200"/>
        <w:rPr>
          <w:rFonts w:eastAsia="楷体_GB2312"/>
        </w:rPr>
      </w:pPr>
      <w:r>
        <w:rPr>
          <w:rFonts w:eastAsia="楷体_GB2312"/>
        </w:rPr>
        <w:t>（六）宣传与培训</w:t>
      </w:r>
    </w:p>
    <w:p w14:paraId="5ACFD233">
      <w:pPr>
        <w:adjustRightInd w:val="0"/>
        <w:snapToGrid w:val="0"/>
        <w:spacing w:line="578" w:lineRule="exact"/>
        <w:ind w:firstLine="640" w:firstLineChars="200"/>
        <w:rPr>
          <w:rFonts w:eastAsia="仿宋_GB2312"/>
        </w:rPr>
      </w:pPr>
      <w:r>
        <w:rPr>
          <w:rFonts w:eastAsia="仿宋_GB2312"/>
        </w:rPr>
        <w:t>1.宣传</w:t>
      </w:r>
    </w:p>
    <w:p w14:paraId="38156AA4">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旗各有关部门要加强管道安全事故的有关宣传教育工作，企业应当告知员工和周边群众管道安全事故的主要危险及危害， 宣传应急</w:t>
      </w:r>
      <w:r>
        <w:rPr>
          <w:rFonts w:hint="eastAsia" w:eastAsia="仿宋_GB2312"/>
          <w:color w:val="000000" w:themeColor="text1"/>
          <w:sz w:val="32"/>
          <w:szCs w:val="32"/>
          <w:lang w:eastAsia="zh-CN"/>
          <w14:textFill>
            <w14:solidFill>
              <w14:schemeClr w14:val="tx1"/>
            </w14:solidFill>
          </w14:textFill>
        </w:rPr>
        <w:t>法律法规</w:t>
      </w:r>
      <w:r>
        <w:rPr>
          <w:rFonts w:eastAsia="仿宋_GB2312"/>
          <w:color w:val="000000" w:themeColor="text1"/>
          <w:sz w:val="32"/>
          <w:szCs w:val="32"/>
          <w14:textFill>
            <w14:solidFill>
              <w14:schemeClr w14:val="tx1"/>
            </w14:solidFill>
          </w14:textFill>
        </w:rPr>
        <w:t>和事故预防、避险、自救、互救知识。</w:t>
      </w:r>
    </w:p>
    <w:p w14:paraId="1622324E">
      <w:pPr>
        <w:adjustRightInd w:val="0"/>
        <w:snapToGrid w:val="0"/>
        <w:spacing w:line="578" w:lineRule="exact"/>
        <w:ind w:firstLine="640" w:firstLineChars="200"/>
        <w:rPr>
          <w:rFonts w:eastAsia="仿宋_GB2312"/>
        </w:rPr>
      </w:pPr>
      <w:r>
        <w:rPr>
          <w:rFonts w:eastAsia="仿宋_GB2312"/>
        </w:rPr>
        <w:t>2.培训</w:t>
      </w:r>
    </w:p>
    <w:p w14:paraId="166E8077">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旗各有关部门单位牵头组织指导管道企业、专业救援机构和专业救援人员开展业务培训，使其掌握管道安全事故抢险救援技能。管道企业应当将管道安全事故应急救援预案纳入经常性培训计划。</w:t>
      </w:r>
    </w:p>
    <w:p w14:paraId="14EFD15D">
      <w:pPr>
        <w:adjustRightInd w:val="0"/>
        <w:snapToGrid w:val="0"/>
        <w:spacing w:line="578" w:lineRule="exact"/>
        <w:ind w:firstLine="640" w:firstLineChars="200"/>
        <w:rPr>
          <w:rFonts w:eastAsia="楷体_GB2312"/>
        </w:rPr>
      </w:pPr>
      <w:r>
        <w:rPr>
          <w:rFonts w:eastAsia="楷体_GB2312"/>
        </w:rPr>
        <w:t>（七）应急演练</w:t>
      </w:r>
    </w:p>
    <w:p w14:paraId="4DAE0C03">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能源局会同应急管理、公安、消防救援、发展改革等有关部门单位，定期组织本行政区域内综合性或专业性的管道安全事故应急演练。管道企业和重要天然气需求单位定期组织开展本企业、本单位专业性的管道安全事故应急演练。</w:t>
      </w:r>
    </w:p>
    <w:p w14:paraId="5CFF73B6">
      <w:pPr>
        <w:pStyle w:val="4"/>
        <w:adjustRightInd w:val="0"/>
        <w:snapToGrid w:val="0"/>
        <w:spacing w:before="0" w:after="0" w:line="578" w:lineRule="exact"/>
        <w:ind w:left="0" w:leftChars="0" w:firstLine="640" w:firstLineChars="200"/>
        <w:jc w:val="left"/>
        <w:rPr>
          <w:rFonts w:ascii="Times New Roman" w:hAnsi="Times New Roman" w:eastAsia="黑体"/>
          <w:b w:val="0"/>
          <w:bCs/>
          <w:color w:val="000000" w:themeColor="text1"/>
          <w14:textFill>
            <w14:solidFill>
              <w14:schemeClr w14:val="tx1"/>
            </w14:solidFill>
          </w14:textFill>
        </w:rPr>
      </w:pPr>
      <w:r>
        <w:rPr>
          <w:rFonts w:ascii="Times New Roman" w:hAnsi="Times New Roman" w:eastAsia="黑体"/>
          <w:b w:val="0"/>
          <w:color w:val="000000" w:themeColor="text1"/>
          <w14:textFill>
            <w14:solidFill>
              <w14:schemeClr w14:val="tx1"/>
            </w14:solidFill>
          </w14:textFill>
        </w:rPr>
        <w:t>十、附则</w:t>
      </w:r>
    </w:p>
    <w:p w14:paraId="21DB6DE4">
      <w:pPr>
        <w:adjustRightInd w:val="0"/>
        <w:snapToGrid w:val="0"/>
        <w:spacing w:line="578" w:lineRule="exact"/>
        <w:ind w:firstLine="640" w:firstLineChars="200"/>
        <w:rPr>
          <w:rFonts w:eastAsia="楷体_GB2312"/>
        </w:rPr>
      </w:pPr>
      <w:r>
        <w:rPr>
          <w:rFonts w:eastAsia="楷体_GB2312"/>
        </w:rPr>
        <w:t>（一）应急救援预案管理</w:t>
      </w:r>
    </w:p>
    <w:p w14:paraId="172DC04E">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管道企业应当制定并完善企业应急救援预案，并报管道所在地旗主管部门备案。</w:t>
      </w:r>
    </w:p>
    <w:p w14:paraId="3A933527">
      <w:pPr>
        <w:adjustRightInd w:val="0"/>
        <w:snapToGrid w:val="0"/>
        <w:spacing w:line="578" w:lineRule="exact"/>
        <w:ind w:firstLine="640" w:firstLineChars="200"/>
        <w:rPr>
          <w:rFonts w:eastAsia="楷体_GB2312"/>
        </w:rPr>
      </w:pPr>
      <w:r>
        <w:rPr>
          <w:rFonts w:eastAsia="楷体_GB2312"/>
        </w:rPr>
        <w:t>（二）预案实施</w:t>
      </w:r>
    </w:p>
    <w:p w14:paraId="13FD29D6">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本预案自印发之日起施行，施行过程中的具体问题由旗能源局负责解释。</w:t>
      </w:r>
    </w:p>
    <w:p w14:paraId="483ED125">
      <w:pPr>
        <w:adjustRightInd w:val="0"/>
        <w:snapToGrid w:val="0"/>
        <w:spacing w:line="578" w:lineRule="exact"/>
        <w:ind w:firstLine="640" w:firstLineChars="200"/>
        <w:rPr>
          <w:rFonts w:eastAsia="楷体_GB2312"/>
        </w:rPr>
      </w:pPr>
      <w:r>
        <w:rPr>
          <w:rFonts w:eastAsia="楷体_GB2312"/>
        </w:rPr>
        <w:t>（三）工作组组成及主要职责</w:t>
      </w:r>
    </w:p>
    <w:p w14:paraId="46ECF049">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抢险救援组：由旗能源局及事发地牵头，旗应急管理局、自然资源局、市生态环境局准旗分局、交通运输局、水利局、市场监管局、气象局、消防救援等部门单位和管道企业参加。负责管道安全事故现场应急处置和抢险救援工作。</w:t>
      </w:r>
    </w:p>
    <w:p w14:paraId="18BE64AB">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医疗救治组：由旗卫健委牵头，事发地和有关医疗机构参加。负责组织专家及医疗队伍对受伤人员进行紧急救治。</w:t>
      </w:r>
    </w:p>
    <w:p w14:paraId="0EC6DD86">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治安警戒组：由旗公安局牵头，事发地参加。负责管道安全事故现场交通管制、人员疏散和现场秩序维护。</w:t>
      </w:r>
    </w:p>
    <w:p w14:paraId="5CE64FF2">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转移安置组：由旗应急管理局牵头，公安局、交通运输局等部门单位和事发地参加。负责紧急转移和临时安置工作。</w:t>
      </w:r>
    </w:p>
    <w:p w14:paraId="65532F4F">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新闻报道组：由旗委宣传部牵头，旗委网信办和旗融媒体中心、旗应急管理局、发展改革委等部门单位参加。负责管道安全事故信息发布、新闻报道及舆论引导等工作。</w:t>
      </w:r>
    </w:p>
    <w:p w14:paraId="159FD65D">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调查处理组：由旗能源局、应急管理局、发展改革委牵头，旗纪委监委、公安局、市场监管局等部门单位参加。负责管道安全事故的调查处理工作。</w:t>
      </w:r>
    </w:p>
    <w:p w14:paraId="735FBB90">
      <w:pPr>
        <w:pStyle w:val="2"/>
        <w:adjustRightInd w:val="0"/>
        <w:snapToGrid w:val="0"/>
        <w:spacing w:line="578"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旗应急指挥部可根据实际情况，对各工作组组成及职责进行适当调整。</w:t>
      </w:r>
    </w:p>
    <w:p w14:paraId="60C80A9F">
      <w:pPr>
        <w:adjustRightInd w:val="0"/>
        <w:snapToGrid w:val="0"/>
        <w:spacing w:line="578" w:lineRule="exact"/>
        <w:ind w:firstLine="640" w:firstLineChars="200"/>
        <w:rPr>
          <w:rFonts w:eastAsia="楷体_GB2312"/>
        </w:rPr>
      </w:pPr>
      <w:r>
        <w:rPr>
          <w:rFonts w:eastAsia="楷体_GB2312"/>
        </w:rPr>
        <w:t>（四）应急响应程序示意图</w:t>
      </w:r>
    </w:p>
    <w:p w14:paraId="53647404">
      <w:pPr>
        <w:pStyle w:val="2"/>
        <w:jc w:val="center"/>
        <w:rPr>
          <w:rFonts w:eastAsia="楷体_GB2312"/>
          <w:sz w:val="32"/>
          <w:szCs w:val="32"/>
        </w:rPr>
      </w:pPr>
      <w:r>
        <w:rPr>
          <w:color w:val="000000" w:themeColor="text1"/>
          <w14:textFill>
            <w14:solidFill>
              <w14:schemeClr w14:val="tx1"/>
            </w14:solidFill>
          </w14:textFill>
        </w:rPr>
        <w:drawing>
          <wp:inline distT="0" distB="0" distL="0" distR="0">
            <wp:extent cx="5632450" cy="7583170"/>
            <wp:effectExtent l="0" t="0" r="6350" b="11430"/>
            <wp:docPr id="12805948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94850" name="图片 1"/>
                    <pic:cNvPicPr>
                      <a:picLocks noChangeAspect="1"/>
                    </pic:cNvPicPr>
                  </pic:nvPicPr>
                  <pic:blipFill>
                    <a:blip r:embed="rId4"/>
                    <a:stretch>
                      <a:fillRect/>
                    </a:stretch>
                  </pic:blipFill>
                  <pic:spPr>
                    <a:xfrm>
                      <a:off x="0" y="0"/>
                      <a:ext cx="5677498" cy="7644009"/>
                    </a:xfrm>
                    <a:prstGeom prst="rect">
                      <a:avLst/>
                    </a:prstGeom>
                  </pic:spPr>
                </pic:pic>
              </a:graphicData>
            </a:graphic>
          </wp:inline>
        </w:drawing>
      </w:r>
    </w:p>
    <w:p w14:paraId="38B8300C">
      <w:pPr>
        <w:pStyle w:val="2"/>
        <w:spacing w:line="578" w:lineRule="exact"/>
        <w:ind w:firstLine="320" w:firstLineChars="100"/>
        <w:rPr>
          <w:rFonts w:eastAsia="楷体_GB2312"/>
          <w:sz w:val="32"/>
          <w:szCs w:val="32"/>
        </w:rPr>
      </w:pPr>
    </w:p>
    <w:p w14:paraId="1B7DF267">
      <w:pPr>
        <w:pStyle w:val="2"/>
        <w:spacing w:line="578" w:lineRule="exact"/>
        <w:ind w:firstLine="320" w:firstLineChars="100"/>
        <w:rPr>
          <w:rFonts w:eastAsia="楷体_GB2312"/>
          <w:sz w:val="32"/>
          <w:szCs w:val="32"/>
        </w:rPr>
      </w:pPr>
      <w:r>
        <w:rPr>
          <w:rFonts w:eastAsia="楷体_GB2312"/>
          <w:sz w:val="32"/>
          <w:szCs w:val="32"/>
        </w:rPr>
        <w:t>（五）应急救援专家名单及联系方式</w:t>
      </w:r>
    </w:p>
    <w:tbl>
      <w:tblPr>
        <w:tblStyle w:val="6"/>
        <w:tblW w:w="9899"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558"/>
        <w:gridCol w:w="849"/>
        <w:gridCol w:w="3657"/>
        <w:gridCol w:w="1985"/>
        <w:gridCol w:w="1417"/>
        <w:gridCol w:w="1433"/>
      </w:tblGrid>
      <w:tr w14:paraId="36F448E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3A5C2DA1">
            <w:pPr>
              <w:spacing w:line="38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序号</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330E8243">
            <w:pPr>
              <w:spacing w:line="38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姓名</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4B4E3C8F">
            <w:pPr>
              <w:spacing w:line="38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单位</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B49857C">
            <w:pPr>
              <w:spacing w:line="38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职称</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3F67DAA">
            <w:pPr>
              <w:spacing w:line="38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专业方向</w:t>
            </w:r>
          </w:p>
        </w:tc>
        <w:tc>
          <w:tcPr>
            <w:tcW w:w="1433" w:type="dxa"/>
            <w:tcBorders>
              <w:top w:val="outset" w:color="auto" w:sz="6" w:space="0"/>
              <w:left w:val="outset" w:color="auto" w:sz="6" w:space="0"/>
              <w:bottom w:val="outset" w:color="auto" w:sz="6" w:space="0"/>
              <w:right w:val="outset" w:color="auto" w:sz="6" w:space="0"/>
            </w:tcBorders>
            <w:vAlign w:val="center"/>
          </w:tcPr>
          <w:p w14:paraId="2A56C882">
            <w:pPr>
              <w:spacing w:line="38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联系方式</w:t>
            </w:r>
          </w:p>
        </w:tc>
      </w:tr>
      <w:tr w14:paraId="7D4AE590">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420D2EA">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CE0A84E">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李  响</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188F6E3">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中油管道检测技术有限责任公司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5CE59D0">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02E8BDC">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油气管道安全</w:t>
            </w:r>
          </w:p>
        </w:tc>
        <w:tc>
          <w:tcPr>
            <w:tcW w:w="1433" w:type="dxa"/>
            <w:tcBorders>
              <w:top w:val="outset" w:color="auto" w:sz="6" w:space="0"/>
              <w:left w:val="outset" w:color="auto" w:sz="6" w:space="0"/>
              <w:bottom w:val="outset" w:color="auto" w:sz="6" w:space="0"/>
              <w:right w:val="outset" w:color="auto" w:sz="6" w:space="0"/>
            </w:tcBorders>
            <w:vAlign w:val="center"/>
          </w:tcPr>
          <w:p w14:paraId="539BF32B">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15132636350</w:t>
            </w:r>
          </w:p>
        </w:tc>
      </w:tr>
      <w:tr w14:paraId="2FC7608D">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709B45D">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2D4BEAF">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刘  洋</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A146184">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中国船级社质量认证有限公司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F933605">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30BFB9DF">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化学工程</w:t>
            </w:r>
          </w:p>
        </w:tc>
        <w:tc>
          <w:tcPr>
            <w:tcW w:w="1433" w:type="dxa"/>
            <w:tcBorders>
              <w:top w:val="outset" w:color="auto" w:sz="6" w:space="0"/>
              <w:left w:val="outset" w:color="auto" w:sz="6" w:space="0"/>
              <w:bottom w:val="outset" w:color="auto" w:sz="6" w:space="0"/>
              <w:right w:val="outset" w:color="auto" w:sz="6" w:space="0"/>
            </w:tcBorders>
            <w:vAlign w:val="center"/>
          </w:tcPr>
          <w:p w14:paraId="2CC46166">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18004884222</w:t>
            </w:r>
          </w:p>
        </w:tc>
      </w:tr>
      <w:tr w14:paraId="1D100A67">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69"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91B9A09">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47D85F07">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石市银</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0B24A38">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中国船级社质量认证有限公司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5FB9127">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注册安全工程师、注册消防工程师、一级建造师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A1C98A1">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消防安全、</w:t>
            </w:r>
          </w:p>
          <w:p w14:paraId="79A2F26B">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安全生产</w:t>
            </w:r>
          </w:p>
        </w:tc>
        <w:tc>
          <w:tcPr>
            <w:tcW w:w="1433" w:type="dxa"/>
            <w:tcBorders>
              <w:top w:val="outset" w:color="auto" w:sz="6" w:space="0"/>
              <w:left w:val="outset" w:color="auto" w:sz="6" w:space="0"/>
              <w:bottom w:val="outset" w:color="auto" w:sz="6" w:space="0"/>
              <w:right w:val="outset" w:color="auto" w:sz="6" w:space="0"/>
            </w:tcBorders>
            <w:vAlign w:val="center"/>
          </w:tcPr>
          <w:p w14:paraId="4A585004">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19997615025</w:t>
            </w:r>
          </w:p>
        </w:tc>
      </w:tr>
      <w:tr w14:paraId="4D6F7926">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11D5FC8">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D2C9263">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高嘉宁</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DFA619C">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中国船级社质量认证有限公司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4C5B4C0">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高级工程师、一级建造师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0426441">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化学工程</w:t>
            </w:r>
          </w:p>
        </w:tc>
        <w:tc>
          <w:tcPr>
            <w:tcW w:w="1433" w:type="dxa"/>
            <w:tcBorders>
              <w:top w:val="outset" w:color="auto" w:sz="6" w:space="0"/>
              <w:left w:val="outset" w:color="auto" w:sz="6" w:space="0"/>
              <w:bottom w:val="outset" w:color="auto" w:sz="6" w:space="0"/>
              <w:right w:val="outset" w:color="auto" w:sz="6" w:space="0"/>
            </w:tcBorders>
            <w:vAlign w:val="center"/>
          </w:tcPr>
          <w:p w14:paraId="5074707D">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15538590811</w:t>
            </w:r>
          </w:p>
        </w:tc>
      </w:tr>
      <w:tr w14:paraId="1BC58063">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FDC70BB">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65AA04A">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苏  磊</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C466E08">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内蒙古西部天然气管道运行有限责任公司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9EF1125">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中级燃气工程师/二级安全评价师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3CF85582">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油气长输管道</w:t>
            </w:r>
          </w:p>
        </w:tc>
        <w:tc>
          <w:tcPr>
            <w:tcW w:w="1433" w:type="dxa"/>
            <w:tcBorders>
              <w:top w:val="outset" w:color="auto" w:sz="6" w:space="0"/>
              <w:left w:val="outset" w:color="auto" w:sz="6" w:space="0"/>
              <w:bottom w:val="outset" w:color="auto" w:sz="6" w:space="0"/>
              <w:right w:val="outset" w:color="auto" w:sz="6" w:space="0"/>
            </w:tcBorders>
            <w:vAlign w:val="center"/>
          </w:tcPr>
          <w:p w14:paraId="41972EAA">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15047715540</w:t>
            </w:r>
          </w:p>
        </w:tc>
      </w:tr>
      <w:tr w14:paraId="769C979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E49A526">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79D3AB7">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张翔宇</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4810824">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内蒙古西部天然气管道运行有限责任公司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29AB13D">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高级工程师、注册安全工程师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AE083EB">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油气储运</w:t>
            </w:r>
          </w:p>
        </w:tc>
        <w:tc>
          <w:tcPr>
            <w:tcW w:w="1433" w:type="dxa"/>
            <w:tcBorders>
              <w:top w:val="outset" w:color="auto" w:sz="6" w:space="0"/>
              <w:left w:val="outset" w:color="auto" w:sz="6" w:space="0"/>
              <w:bottom w:val="outset" w:color="auto" w:sz="6" w:space="0"/>
              <w:right w:val="outset" w:color="auto" w:sz="6" w:space="0"/>
            </w:tcBorders>
            <w:vAlign w:val="center"/>
          </w:tcPr>
          <w:p w14:paraId="545FB64E">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15847763110</w:t>
            </w:r>
          </w:p>
        </w:tc>
      </w:tr>
      <w:tr w14:paraId="78B5A7F0">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554F99C">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613A84F">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赵海涛</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C144754">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内蒙古西部天然气管道运行有限责任公司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3A05B664">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3AF507A">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油气长输管道</w:t>
            </w:r>
          </w:p>
        </w:tc>
        <w:tc>
          <w:tcPr>
            <w:tcW w:w="1433" w:type="dxa"/>
            <w:tcBorders>
              <w:top w:val="outset" w:color="auto" w:sz="6" w:space="0"/>
              <w:left w:val="outset" w:color="auto" w:sz="6" w:space="0"/>
              <w:bottom w:val="outset" w:color="auto" w:sz="6" w:space="0"/>
              <w:right w:val="outset" w:color="auto" w:sz="6" w:space="0"/>
            </w:tcBorders>
            <w:vAlign w:val="center"/>
          </w:tcPr>
          <w:p w14:paraId="104ACF2C">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15947137857</w:t>
            </w:r>
          </w:p>
        </w:tc>
      </w:tr>
      <w:tr w14:paraId="115C8AE2">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E480B9A">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195AD67">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刘  民</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EFBAC72">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内蒙古新圣天然气管道有限公司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C76F696">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4B7A6313">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油气管道安全</w:t>
            </w:r>
          </w:p>
        </w:tc>
        <w:tc>
          <w:tcPr>
            <w:tcW w:w="1433" w:type="dxa"/>
            <w:tcBorders>
              <w:top w:val="outset" w:color="auto" w:sz="6" w:space="0"/>
              <w:left w:val="outset" w:color="auto" w:sz="6" w:space="0"/>
              <w:bottom w:val="outset" w:color="auto" w:sz="6" w:space="0"/>
              <w:right w:val="outset" w:color="auto" w:sz="6" w:space="0"/>
            </w:tcBorders>
            <w:vAlign w:val="center"/>
          </w:tcPr>
          <w:p w14:paraId="39E2C24A">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13904774528</w:t>
            </w:r>
          </w:p>
        </w:tc>
      </w:tr>
      <w:tr w14:paraId="53DB962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61"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AD030C8">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24240A8">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徐连水</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6F09DE8">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原内蒙古自治区锅炉压力容器检验所</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CC98615">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5FD8BE4">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压力容器</w:t>
            </w:r>
          </w:p>
        </w:tc>
        <w:tc>
          <w:tcPr>
            <w:tcW w:w="1433" w:type="dxa"/>
            <w:tcBorders>
              <w:top w:val="outset" w:color="auto" w:sz="6" w:space="0"/>
              <w:left w:val="outset" w:color="auto" w:sz="6" w:space="0"/>
              <w:bottom w:val="outset" w:color="auto" w:sz="6" w:space="0"/>
              <w:right w:val="outset" w:color="auto" w:sz="6" w:space="0"/>
            </w:tcBorders>
            <w:vAlign w:val="center"/>
          </w:tcPr>
          <w:p w14:paraId="78AD4563">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13848133105</w:t>
            </w:r>
          </w:p>
        </w:tc>
      </w:tr>
      <w:tr w14:paraId="48BBEBA5">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3"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3CE3C40">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7F07BA3">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张  皋</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32766A36">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原内蒙古自治区特种设备检验研究院</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287F7FD">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7FCBD79">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压力容器</w:t>
            </w:r>
          </w:p>
        </w:tc>
        <w:tc>
          <w:tcPr>
            <w:tcW w:w="1433" w:type="dxa"/>
            <w:tcBorders>
              <w:top w:val="outset" w:color="auto" w:sz="6" w:space="0"/>
              <w:left w:val="outset" w:color="auto" w:sz="6" w:space="0"/>
              <w:bottom w:val="outset" w:color="auto" w:sz="6" w:space="0"/>
              <w:right w:val="outset" w:color="auto" w:sz="6" w:space="0"/>
            </w:tcBorders>
            <w:vAlign w:val="center"/>
          </w:tcPr>
          <w:p w14:paraId="08E5F9EB">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15847766916</w:t>
            </w:r>
          </w:p>
        </w:tc>
      </w:tr>
      <w:tr w14:paraId="7D43B805">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99"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AFCE321">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11</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2B6C1A9">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齐炳涛</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BA53028">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内蒙古城市更新研究发展有限公司</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4432DFB">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注册消防工程师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DC4875D">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消防安全</w:t>
            </w:r>
          </w:p>
        </w:tc>
        <w:tc>
          <w:tcPr>
            <w:tcW w:w="1433" w:type="dxa"/>
            <w:tcBorders>
              <w:top w:val="outset" w:color="auto" w:sz="6" w:space="0"/>
              <w:left w:val="outset" w:color="auto" w:sz="6" w:space="0"/>
              <w:bottom w:val="outset" w:color="auto" w:sz="6" w:space="0"/>
              <w:right w:val="outset" w:color="auto" w:sz="6" w:space="0"/>
            </w:tcBorders>
            <w:vAlign w:val="center"/>
          </w:tcPr>
          <w:p w14:paraId="5CDEC9C6">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18847134615</w:t>
            </w:r>
          </w:p>
        </w:tc>
      </w:tr>
      <w:tr w14:paraId="1402B5F7">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55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826EA29">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12</w:t>
            </w:r>
          </w:p>
        </w:tc>
        <w:tc>
          <w:tcPr>
            <w:tcW w:w="849"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61B374D">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曾登高</w:t>
            </w:r>
          </w:p>
        </w:tc>
        <w:tc>
          <w:tcPr>
            <w:tcW w:w="365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DA512EE">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石油天然气长庆工程质量监督站</w:t>
            </w:r>
          </w:p>
        </w:tc>
        <w:tc>
          <w:tcPr>
            <w:tcW w:w="198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6789662">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高级工程师、一级建造师（机电）、一级质量监督工程师</w:t>
            </w:r>
          </w:p>
        </w:tc>
        <w:tc>
          <w:tcPr>
            <w:tcW w:w="1417"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A9EC235">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油气管道安全</w:t>
            </w:r>
          </w:p>
        </w:tc>
        <w:tc>
          <w:tcPr>
            <w:tcW w:w="1433" w:type="dxa"/>
            <w:tcBorders>
              <w:top w:val="outset" w:color="auto" w:sz="6" w:space="0"/>
              <w:left w:val="outset" w:color="auto" w:sz="6" w:space="0"/>
              <w:bottom w:val="outset" w:color="auto" w:sz="6" w:space="0"/>
              <w:right w:val="outset" w:color="auto" w:sz="6" w:space="0"/>
            </w:tcBorders>
            <w:vAlign w:val="center"/>
          </w:tcPr>
          <w:p w14:paraId="258077D6">
            <w:pPr>
              <w:spacing w:line="38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15339018860</w:t>
            </w:r>
          </w:p>
        </w:tc>
      </w:tr>
    </w:tbl>
    <w:p w14:paraId="0D653DF6">
      <w:pPr>
        <w:spacing w:line="578" w:lineRule="exact"/>
        <w:ind w:firstLine="640" w:firstLineChars="200"/>
        <w:rPr>
          <w:rFonts w:eastAsia="楷体_GB2312"/>
        </w:rPr>
      </w:pPr>
      <w:r>
        <w:rPr>
          <w:rFonts w:eastAsia="楷体_GB2312"/>
        </w:rPr>
        <w:t>（六）各部门应急电话</w:t>
      </w:r>
    </w:p>
    <w:p w14:paraId="438B0C32">
      <w:pPr>
        <w:spacing w:line="578" w:lineRule="exact"/>
        <w:ind w:firstLine="640" w:firstLineChars="200"/>
        <w:rPr>
          <w:rFonts w:eastAsia="楷体_GB2312"/>
        </w:rPr>
      </w:pPr>
      <w:r>
        <w:rPr>
          <w:rFonts w:eastAsia="仿宋_GB2312"/>
        </w:rPr>
        <w:t>1.政府部门及维抢修中心应急电话</w:t>
      </w:r>
    </w:p>
    <w:tbl>
      <w:tblPr>
        <w:tblStyle w:val="6"/>
        <w:tblW w:w="9490"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978"/>
        <w:gridCol w:w="2842"/>
        <w:gridCol w:w="2551"/>
        <w:gridCol w:w="3119"/>
      </w:tblGrid>
      <w:tr w14:paraId="69FAC46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09"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50930CD">
            <w:pPr>
              <w:spacing w:line="24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序号</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4894A112">
            <w:pPr>
              <w:spacing w:line="24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单  位</w:t>
            </w:r>
          </w:p>
        </w:tc>
        <w:tc>
          <w:tcPr>
            <w:tcW w:w="3119" w:type="dxa"/>
            <w:tcBorders>
              <w:top w:val="outset" w:color="auto" w:sz="6" w:space="0"/>
              <w:left w:val="outset" w:color="auto" w:sz="6" w:space="0"/>
              <w:bottom w:val="outset" w:color="auto" w:sz="6" w:space="0"/>
              <w:right w:val="outset" w:color="auto" w:sz="6" w:space="0"/>
            </w:tcBorders>
            <w:vAlign w:val="center"/>
          </w:tcPr>
          <w:p w14:paraId="5DC5B473">
            <w:pPr>
              <w:spacing w:line="240" w:lineRule="exact"/>
              <w:jc w:val="center"/>
              <w:rPr>
                <w:rFonts w:eastAsiaTheme="minorEastAsia"/>
                <w:bCs/>
                <w:color w:val="000000" w:themeColor="text1"/>
                <w:sz w:val="21"/>
                <w:szCs w:val="21"/>
                <w14:textFill>
                  <w14:solidFill>
                    <w14:schemeClr w14:val="tx1"/>
                  </w14:solidFill>
                </w14:textFill>
              </w:rPr>
            </w:pPr>
            <w:r>
              <w:rPr>
                <w:rFonts w:eastAsiaTheme="minorEastAsia"/>
                <w:bCs/>
                <w:color w:val="000000" w:themeColor="text1"/>
                <w:sz w:val="21"/>
                <w:szCs w:val="21"/>
                <w14:textFill>
                  <w14:solidFill>
                    <w14:schemeClr w14:val="tx1"/>
                  </w14:solidFill>
                </w14:textFill>
              </w:rPr>
              <w:t>值班电话</w:t>
            </w:r>
          </w:p>
        </w:tc>
      </w:tr>
      <w:tr w14:paraId="6A188B7A">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15"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6C6A813">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898B7F3">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准格尔旗能源局</w:t>
            </w:r>
          </w:p>
        </w:tc>
        <w:tc>
          <w:tcPr>
            <w:tcW w:w="3119" w:type="dxa"/>
            <w:tcBorders>
              <w:top w:val="outset" w:color="auto" w:sz="6" w:space="0"/>
              <w:left w:val="outset" w:color="auto" w:sz="6" w:space="0"/>
              <w:bottom w:val="outset" w:color="auto" w:sz="6" w:space="0"/>
              <w:right w:val="outset" w:color="auto" w:sz="6" w:space="0"/>
            </w:tcBorders>
            <w:vAlign w:val="center"/>
          </w:tcPr>
          <w:p w14:paraId="71C292A8">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0477—4705618</w:t>
            </w:r>
          </w:p>
        </w:tc>
      </w:tr>
      <w:tr w14:paraId="66F9C1C5">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94"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3D97A86">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2</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80294E4">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准格尔旗应急局</w:t>
            </w:r>
          </w:p>
        </w:tc>
        <w:tc>
          <w:tcPr>
            <w:tcW w:w="3119" w:type="dxa"/>
            <w:tcBorders>
              <w:top w:val="outset" w:color="auto" w:sz="6" w:space="0"/>
              <w:left w:val="outset" w:color="auto" w:sz="6" w:space="0"/>
              <w:bottom w:val="outset" w:color="auto" w:sz="6" w:space="0"/>
              <w:right w:val="outset" w:color="auto" w:sz="6" w:space="0"/>
            </w:tcBorders>
            <w:vAlign w:val="center"/>
          </w:tcPr>
          <w:p w14:paraId="0D596826">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0477—4886400</w:t>
            </w:r>
          </w:p>
        </w:tc>
      </w:tr>
      <w:tr w14:paraId="3FF61A35">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88"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02F3BF0D">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3</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EB93B52">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准格尔旗公安局</w:t>
            </w:r>
          </w:p>
        </w:tc>
        <w:tc>
          <w:tcPr>
            <w:tcW w:w="3119" w:type="dxa"/>
            <w:tcBorders>
              <w:top w:val="outset" w:color="auto" w:sz="6" w:space="0"/>
              <w:left w:val="outset" w:color="auto" w:sz="6" w:space="0"/>
              <w:bottom w:val="outset" w:color="auto" w:sz="6" w:space="0"/>
              <w:right w:val="outset" w:color="auto" w:sz="6" w:space="0"/>
            </w:tcBorders>
            <w:vAlign w:val="center"/>
          </w:tcPr>
          <w:p w14:paraId="1CDD2246">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0477—4225316</w:t>
            </w:r>
          </w:p>
        </w:tc>
      </w:tr>
      <w:tr w14:paraId="68D8477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11"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564B1116">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4</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57A95CA">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准格尔旗发展和改革委员会</w:t>
            </w:r>
          </w:p>
        </w:tc>
        <w:tc>
          <w:tcPr>
            <w:tcW w:w="3119" w:type="dxa"/>
            <w:tcBorders>
              <w:top w:val="outset" w:color="auto" w:sz="6" w:space="0"/>
              <w:left w:val="outset" w:color="auto" w:sz="6" w:space="0"/>
              <w:bottom w:val="outset" w:color="auto" w:sz="6" w:space="0"/>
              <w:right w:val="outset" w:color="auto" w:sz="6" w:space="0"/>
            </w:tcBorders>
            <w:vAlign w:val="center"/>
          </w:tcPr>
          <w:p w14:paraId="75763A3F">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0477—3863219</w:t>
            </w:r>
          </w:p>
        </w:tc>
      </w:tr>
      <w:tr w14:paraId="45771EF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15"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F29CDC9">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5</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F43618B">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准格尔旗人民政府值班室</w:t>
            </w:r>
          </w:p>
        </w:tc>
        <w:tc>
          <w:tcPr>
            <w:tcW w:w="3119" w:type="dxa"/>
            <w:tcBorders>
              <w:top w:val="outset" w:color="auto" w:sz="6" w:space="0"/>
              <w:left w:val="outset" w:color="auto" w:sz="6" w:space="0"/>
              <w:bottom w:val="outset" w:color="auto" w:sz="6" w:space="0"/>
              <w:right w:val="outset" w:color="auto" w:sz="6" w:space="0"/>
            </w:tcBorders>
            <w:vAlign w:val="center"/>
          </w:tcPr>
          <w:p w14:paraId="5007FF21">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0477—4211140</w:t>
            </w:r>
          </w:p>
        </w:tc>
      </w:tr>
      <w:tr w14:paraId="7DB7A027">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10F3D57E">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6</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722B01B7">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鄂尔多斯市能源局</w:t>
            </w:r>
          </w:p>
        </w:tc>
        <w:tc>
          <w:tcPr>
            <w:tcW w:w="3119" w:type="dxa"/>
            <w:tcBorders>
              <w:top w:val="outset" w:color="auto" w:sz="6" w:space="0"/>
              <w:left w:val="outset" w:color="auto" w:sz="6" w:space="0"/>
              <w:bottom w:val="outset" w:color="auto" w:sz="6" w:space="0"/>
              <w:right w:val="outset" w:color="auto" w:sz="6" w:space="0"/>
            </w:tcBorders>
            <w:vAlign w:val="center"/>
          </w:tcPr>
          <w:p w14:paraId="4A685B70">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0477—8599557</w:t>
            </w:r>
          </w:p>
        </w:tc>
      </w:tr>
      <w:tr w14:paraId="02E7AC8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6"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451256E">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7</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28EE8FB2">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鄂尔多斯市应急管理局</w:t>
            </w:r>
          </w:p>
        </w:tc>
        <w:tc>
          <w:tcPr>
            <w:tcW w:w="3119" w:type="dxa"/>
            <w:tcBorders>
              <w:top w:val="outset" w:color="auto" w:sz="6" w:space="0"/>
              <w:left w:val="outset" w:color="auto" w:sz="6" w:space="0"/>
              <w:bottom w:val="outset" w:color="auto" w:sz="6" w:space="0"/>
              <w:right w:val="outset" w:color="auto" w:sz="6" w:space="0"/>
            </w:tcBorders>
            <w:vAlign w:val="center"/>
          </w:tcPr>
          <w:p w14:paraId="34163724">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0477—8589577</w:t>
            </w:r>
          </w:p>
        </w:tc>
      </w:tr>
      <w:tr w14:paraId="74552F7C">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6"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836D279">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8</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4BC55183">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鄂尔多斯市政府值班室</w:t>
            </w:r>
          </w:p>
        </w:tc>
        <w:tc>
          <w:tcPr>
            <w:tcW w:w="3119" w:type="dxa"/>
            <w:tcBorders>
              <w:top w:val="outset" w:color="auto" w:sz="6" w:space="0"/>
              <w:left w:val="outset" w:color="auto" w:sz="6" w:space="0"/>
              <w:bottom w:val="outset" w:color="auto" w:sz="6" w:space="0"/>
              <w:right w:val="outset" w:color="auto" w:sz="6" w:space="0"/>
            </w:tcBorders>
            <w:vAlign w:val="center"/>
          </w:tcPr>
          <w:p w14:paraId="5F8B0762">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0477—8589990/8589988</w:t>
            </w:r>
          </w:p>
        </w:tc>
      </w:tr>
      <w:tr w14:paraId="462EA37A">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4EB1F350">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9</w:t>
            </w:r>
          </w:p>
        </w:tc>
        <w:tc>
          <w:tcPr>
            <w:tcW w:w="5393" w:type="dxa"/>
            <w:gridSpan w:val="2"/>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FC76C94">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内蒙古自治区能源局</w:t>
            </w:r>
          </w:p>
        </w:tc>
        <w:tc>
          <w:tcPr>
            <w:tcW w:w="3119" w:type="dxa"/>
            <w:tcBorders>
              <w:top w:val="outset" w:color="auto" w:sz="6" w:space="0"/>
              <w:left w:val="outset" w:color="auto" w:sz="6" w:space="0"/>
              <w:bottom w:val="outset" w:color="auto" w:sz="6" w:space="0"/>
              <w:right w:val="outset" w:color="auto" w:sz="6" w:space="0"/>
            </w:tcBorders>
            <w:vAlign w:val="center"/>
          </w:tcPr>
          <w:p w14:paraId="20B433C1">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0471—5221011</w:t>
            </w:r>
          </w:p>
        </w:tc>
      </w:tr>
      <w:tr w14:paraId="1BFE3D8D">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78" w:type="dxa"/>
            <w:vMerge w:val="restart"/>
            <w:tcBorders>
              <w:top w:val="outset" w:color="auto" w:sz="6" w:space="0"/>
              <w:left w:val="outset" w:color="auto" w:sz="6" w:space="0"/>
              <w:right w:val="outset" w:color="auto" w:sz="6" w:space="0"/>
            </w:tcBorders>
            <w:tcMar>
              <w:top w:w="75" w:type="dxa"/>
              <w:left w:w="75" w:type="dxa"/>
              <w:bottom w:w="75" w:type="dxa"/>
              <w:right w:w="75" w:type="dxa"/>
            </w:tcMar>
            <w:vAlign w:val="center"/>
          </w:tcPr>
          <w:p w14:paraId="1BC91CB2">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10</w:t>
            </w:r>
          </w:p>
        </w:tc>
        <w:tc>
          <w:tcPr>
            <w:tcW w:w="2842" w:type="dxa"/>
            <w:vMerge w:val="restart"/>
            <w:tcBorders>
              <w:top w:val="outset" w:color="auto" w:sz="6" w:space="0"/>
              <w:left w:val="outset" w:color="auto" w:sz="6" w:space="0"/>
              <w:right w:val="outset" w:color="auto" w:sz="6" w:space="0"/>
            </w:tcBorders>
            <w:tcMar>
              <w:top w:w="75" w:type="dxa"/>
              <w:left w:w="75" w:type="dxa"/>
              <w:bottom w:w="75" w:type="dxa"/>
              <w:right w:w="75" w:type="dxa"/>
            </w:tcMar>
            <w:vAlign w:val="center"/>
          </w:tcPr>
          <w:p w14:paraId="6293C2AD">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国家管网集团西北管道有限责任公司呼和浩特输油气分公司</w:t>
            </w:r>
          </w:p>
        </w:tc>
        <w:tc>
          <w:tcPr>
            <w:tcW w:w="2551" w:type="dxa"/>
            <w:tcBorders>
              <w:top w:val="outset" w:color="auto" w:sz="6" w:space="0"/>
              <w:left w:val="outset" w:color="auto" w:sz="6" w:space="0"/>
              <w:bottom w:val="outset" w:color="auto" w:sz="6" w:space="0"/>
              <w:right w:val="outset" w:color="auto" w:sz="6" w:space="0"/>
            </w:tcBorders>
            <w:vAlign w:val="center"/>
          </w:tcPr>
          <w:p w14:paraId="3D22BC0D">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呼和浩特维抢修中心</w:t>
            </w:r>
          </w:p>
        </w:tc>
        <w:tc>
          <w:tcPr>
            <w:tcW w:w="3119" w:type="dxa"/>
            <w:tcBorders>
              <w:top w:val="outset" w:color="auto" w:sz="6" w:space="0"/>
              <w:left w:val="outset" w:color="auto" w:sz="6" w:space="0"/>
              <w:bottom w:val="outset" w:color="auto" w:sz="6" w:space="0"/>
              <w:right w:val="outset" w:color="auto" w:sz="6" w:space="0"/>
            </w:tcBorders>
            <w:vAlign w:val="center"/>
          </w:tcPr>
          <w:p w14:paraId="17A32C3A">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15849399499</w:t>
            </w:r>
          </w:p>
        </w:tc>
      </w:tr>
      <w:tr w14:paraId="6B0237B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72" w:hRule="atLeast"/>
          <w:jc w:val="center"/>
        </w:trPr>
        <w:tc>
          <w:tcPr>
            <w:tcW w:w="978" w:type="dxa"/>
            <w:vMerge w:val="continue"/>
            <w:tcBorders>
              <w:left w:val="outset" w:color="auto" w:sz="6" w:space="0"/>
              <w:bottom w:val="outset" w:color="auto" w:sz="6" w:space="0"/>
              <w:right w:val="outset" w:color="auto" w:sz="6" w:space="0"/>
            </w:tcBorders>
            <w:tcMar>
              <w:top w:w="75" w:type="dxa"/>
              <w:left w:w="75" w:type="dxa"/>
              <w:bottom w:w="75" w:type="dxa"/>
              <w:right w:w="75" w:type="dxa"/>
            </w:tcMar>
            <w:vAlign w:val="center"/>
          </w:tcPr>
          <w:p w14:paraId="72765C66">
            <w:pPr>
              <w:spacing w:line="240" w:lineRule="exact"/>
              <w:jc w:val="center"/>
              <w:rPr>
                <w:rFonts w:eastAsiaTheme="minorEastAsia"/>
                <w:color w:val="000000" w:themeColor="text1"/>
                <w:sz w:val="21"/>
                <w:szCs w:val="21"/>
                <w14:textFill>
                  <w14:solidFill>
                    <w14:schemeClr w14:val="tx1"/>
                  </w14:solidFill>
                </w14:textFill>
              </w:rPr>
            </w:pPr>
          </w:p>
        </w:tc>
        <w:tc>
          <w:tcPr>
            <w:tcW w:w="2842" w:type="dxa"/>
            <w:vMerge w:val="continue"/>
            <w:tcBorders>
              <w:left w:val="outset" w:color="auto" w:sz="6" w:space="0"/>
              <w:bottom w:val="outset" w:color="auto" w:sz="6" w:space="0"/>
              <w:right w:val="outset" w:color="auto" w:sz="6" w:space="0"/>
            </w:tcBorders>
            <w:tcMar>
              <w:top w:w="75" w:type="dxa"/>
              <w:left w:w="75" w:type="dxa"/>
              <w:bottom w:w="75" w:type="dxa"/>
              <w:right w:w="75" w:type="dxa"/>
            </w:tcMar>
            <w:vAlign w:val="center"/>
          </w:tcPr>
          <w:p w14:paraId="4FA108ED">
            <w:pPr>
              <w:spacing w:line="240" w:lineRule="exact"/>
              <w:jc w:val="center"/>
              <w:rPr>
                <w:rFonts w:eastAsiaTheme="minorEastAsia"/>
                <w:color w:val="000000" w:themeColor="text1"/>
                <w:sz w:val="21"/>
                <w:szCs w:val="21"/>
                <w14:textFill>
                  <w14:solidFill>
                    <w14:schemeClr w14:val="tx1"/>
                  </w14:solidFill>
                </w14:textFill>
              </w:rPr>
            </w:pPr>
          </w:p>
        </w:tc>
        <w:tc>
          <w:tcPr>
            <w:tcW w:w="2551" w:type="dxa"/>
            <w:tcBorders>
              <w:top w:val="outset" w:color="auto" w:sz="6" w:space="0"/>
              <w:left w:val="outset" w:color="auto" w:sz="6" w:space="0"/>
              <w:bottom w:val="outset" w:color="auto" w:sz="6" w:space="0"/>
              <w:right w:val="outset" w:color="auto" w:sz="6" w:space="0"/>
            </w:tcBorders>
            <w:vAlign w:val="center"/>
          </w:tcPr>
          <w:p w14:paraId="1EAFBC6E">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东胜维抢修队</w:t>
            </w:r>
          </w:p>
        </w:tc>
        <w:tc>
          <w:tcPr>
            <w:tcW w:w="3119" w:type="dxa"/>
            <w:tcBorders>
              <w:top w:val="outset" w:color="auto" w:sz="6" w:space="0"/>
              <w:left w:val="outset" w:color="auto" w:sz="6" w:space="0"/>
              <w:bottom w:val="outset" w:color="auto" w:sz="6" w:space="0"/>
              <w:right w:val="outset" w:color="auto" w:sz="6" w:space="0"/>
            </w:tcBorders>
            <w:vAlign w:val="center"/>
          </w:tcPr>
          <w:p w14:paraId="24925800">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18847706911</w:t>
            </w:r>
          </w:p>
        </w:tc>
      </w:tr>
      <w:tr w14:paraId="13FEEA4F">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9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9CDD89C">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11</w:t>
            </w:r>
          </w:p>
        </w:tc>
        <w:tc>
          <w:tcPr>
            <w:tcW w:w="2842"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vAlign w:val="center"/>
          </w:tcPr>
          <w:p w14:paraId="68BCFBA4">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内蒙古西部天然气管道运行有限责任公司</w:t>
            </w:r>
          </w:p>
        </w:tc>
        <w:tc>
          <w:tcPr>
            <w:tcW w:w="2551" w:type="dxa"/>
            <w:tcBorders>
              <w:top w:val="outset" w:color="auto" w:sz="6" w:space="0"/>
              <w:left w:val="outset" w:color="auto" w:sz="6" w:space="0"/>
              <w:bottom w:val="outset" w:color="auto" w:sz="6" w:space="0"/>
              <w:right w:val="outset" w:color="auto" w:sz="6" w:space="0"/>
            </w:tcBorders>
            <w:vAlign w:val="center"/>
          </w:tcPr>
          <w:p w14:paraId="2D98B925">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调度中心</w:t>
            </w:r>
          </w:p>
        </w:tc>
        <w:tc>
          <w:tcPr>
            <w:tcW w:w="3119" w:type="dxa"/>
            <w:tcBorders>
              <w:top w:val="outset" w:color="auto" w:sz="6" w:space="0"/>
              <w:left w:val="outset" w:color="auto" w:sz="6" w:space="0"/>
              <w:bottom w:val="outset" w:color="auto" w:sz="6" w:space="0"/>
              <w:right w:val="outset" w:color="auto" w:sz="6" w:space="0"/>
            </w:tcBorders>
            <w:vAlign w:val="center"/>
          </w:tcPr>
          <w:p w14:paraId="523E681A">
            <w:pPr>
              <w:spacing w:line="240" w:lineRule="exact"/>
              <w:jc w:val="center"/>
              <w:rPr>
                <w:rFonts w:eastAsiaTheme="minorEastAsia"/>
                <w:color w:val="000000" w:themeColor="text1"/>
                <w:sz w:val="21"/>
                <w:szCs w:val="21"/>
                <w14:textFill>
                  <w14:solidFill>
                    <w14:schemeClr w14:val="tx1"/>
                  </w14:solidFill>
                </w14:textFill>
              </w:rPr>
            </w:pPr>
            <w:r>
              <w:rPr>
                <w:rFonts w:eastAsiaTheme="minorEastAsia"/>
                <w:color w:val="000000" w:themeColor="text1"/>
                <w:sz w:val="21"/>
                <w:szCs w:val="21"/>
                <w14:textFill>
                  <w14:solidFill>
                    <w14:schemeClr w14:val="tx1"/>
                  </w14:solidFill>
                </w14:textFill>
              </w:rPr>
              <w:t>0471—3604277</w:t>
            </w:r>
          </w:p>
        </w:tc>
      </w:tr>
    </w:tbl>
    <w:p w14:paraId="4D7CECC9">
      <w:pPr>
        <w:spacing w:line="578" w:lineRule="exact"/>
        <w:ind w:firstLine="640" w:firstLineChars="200"/>
        <w:rPr>
          <w:rFonts w:eastAsia="仿宋_GB2312"/>
        </w:rPr>
      </w:pPr>
      <w:r>
        <w:rPr>
          <w:rFonts w:eastAsia="仿宋_GB2312"/>
        </w:rPr>
        <w:t>2.其他部门应急电话</w:t>
      </w:r>
    </w:p>
    <w:tbl>
      <w:tblPr>
        <w:tblStyle w:val="6"/>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3701"/>
        <w:gridCol w:w="1855"/>
        <w:gridCol w:w="2963"/>
      </w:tblGrid>
      <w:tr w14:paraId="2370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14" w:type="dxa"/>
            <w:vAlign w:val="center"/>
          </w:tcPr>
          <w:p w14:paraId="7428081F">
            <w:pPr>
              <w:spacing w:line="240" w:lineRule="exact"/>
              <w:jc w:val="center"/>
              <w:rPr>
                <w:rFonts w:asciiTheme="minorEastAsia" w:hAnsiTheme="minorEastAsia" w:eastAsiaTheme="minorEastAsia"/>
                <w:bCs/>
                <w:color w:val="000000" w:themeColor="text1"/>
                <w:sz w:val="21"/>
                <w:szCs w:val="21"/>
                <w14:textFill>
                  <w14:solidFill>
                    <w14:schemeClr w14:val="tx1"/>
                  </w14:solidFill>
                </w14:textFill>
              </w:rPr>
            </w:pPr>
            <w:r>
              <w:rPr>
                <w:rFonts w:asciiTheme="minorEastAsia" w:hAnsiTheme="minorEastAsia" w:eastAsiaTheme="minorEastAsia"/>
                <w:bCs/>
                <w:color w:val="000000" w:themeColor="text1"/>
                <w:sz w:val="21"/>
                <w:szCs w:val="21"/>
                <w14:textFill>
                  <w14:solidFill>
                    <w14:schemeClr w14:val="tx1"/>
                  </w14:solidFill>
                </w14:textFill>
              </w:rPr>
              <w:t>序号</w:t>
            </w:r>
          </w:p>
        </w:tc>
        <w:tc>
          <w:tcPr>
            <w:tcW w:w="3701" w:type="dxa"/>
            <w:vAlign w:val="center"/>
          </w:tcPr>
          <w:p w14:paraId="3CC4DA0B">
            <w:pPr>
              <w:spacing w:line="240" w:lineRule="exact"/>
              <w:jc w:val="center"/>
              <w:rPr>
                <w:rFonts w:asciiTheme="minorEastAsia" w:hAnsiTheme="minorEastAsia" w:eastAsiaTheme="minorEastAsia"/>
                <w:bCs/>
                <w:color w:val="000000" w:themeColor="text1"/>
                <w:sz w:val="21"/>
                <w:szCs w:val="21"/>
                <w14:textFill>
                  <w14:solidFill>
                    <w14:schemeClr w14:val="tx1"/>
                  </w14:solidFill>
                </w14:textFill>
              </w:rPr>
            </w:pPr>
            <w:r>
              <w:rPr>
                <w:rFonts w:asciiTheme="minorEastAsia" w:hAnsiTheme="minorEastAsia" w:eastAsiaTheme="minorEastAsia"/>
                <w:bCs/>
                <w:color w:val="000000" w:themeColor="text1"/>
                <w:sz w:val="21"/>
                <w:szCs w:val="21"/>
                <w14:textFill>
                  <w14:solidFill>
                    <w14:schemeClr w14:val="tx1"/>
                  </w14:solidFill>
                </w14:textFill>
              </w:rPr>
              <w:t>单    位</w:t>
            </w:r>
          </w:p>
        </w:tc>
        <w:tc>
          <w:tcPr>
            <w:tcW w:w="1855" w:type="dxa"/>
            <w:vAlign w:val="center"/>
          </w:tcPr>
          <w:p w14:paraId="49F86FFB">
            <w:pPr>
              <w:spacing w:line="240" w:lineRule="exact"/>
              <w:jc w:val="center"/>
              <w:rPr>
                <w:rFonts w:asciiTheme="minorEastAsia" w:hAnsiTheme="minorEastAsia" w:eastAsiaTheme="minorEastAsia"/>
                <w:bCs/>
                <w:color w:val="000000" w:themeColor="text1"/>
                <w:sz w:val="21"/>
                <w:szCs w:val="21"/>
                <w14:textFill>
                  <w14:solidFill>
                    <w14:schemeClr w14:val="tx1"/>
                  </w14:solidFill>
                </w14:textFill>
              </w:rPr>
            </w:pPr>
            <w:r>
              <w:rPr>
                <w:rFonts w:asciiTheme="minorEastAsia" w:hAnsiTheme="minorEastAsia" w:eastAsiaTheme="minorEastAsia"/>
                <w:bCs/>
                <w:color w:val="000000" w:themeColor="text1"/>
                <w:sz w:val="21"/>
                <w:szCs w:val="21"/>
                <w14:textFill>
                  <w14:solidFill>
                    <w14:schemeClr w14:val="tx1"/>
                  </w14:solidFill>
                </w14:textFill>
              </w:rPr>
              <w:t>部  门</w:t>
            </w:r>
          </w:p>
        </w:tc>
        <w:tc>
          <w:tcPr>
            <w:tcW w:w="2963" w:type="dxa"/>
            <w:vAlign w:val="center"/>
          </w:tcPr>
          <w:p w14:paraId="22AB3224">
            <w:pPr>
              <w:spacing w:line="240" w:lineRule="exact"/>
              <w:jc w:val="center"/>
              <w:rPr>
                <w:rFonts w:asciiTheme="minorEastAsia" w:hAnsiTheme="minorEastAsia" w:eastAsiaTheme="minorEastAsia"/>
                <w:bCs/>
                <w:color w:val="000000" w:themeColor="text1"/>
                <w:sz w:val="21"/>
                <w:szCs w:val="21"/>
                <w14:textFill>
                  <w14:solidFill>
                    <w14:schemeClr w14:val="tx1"/>
                  </w14:solidFill>
                </w14:textFill>
              </w:rPr>
            </w:pPr>
            <w:bookmarkStart w:id="6" w:name="_Toc11056"/>
            <w:r>
              <w:rPr>
                <w:rFonts w:asciiTheme="minorEastAsia" w:hAnsiTheme="minorEastAsia" w:eastAsiaTheme="minorEastAsia"/>
                <w:bCs/>
                <w:color w:val="000000" w:themeColor="text1"/>
                <w:sz w:val="21"/>
                <w:szCs w:val="21"/>
                <w14:textFill>
                  <w14:solidFill>
                    <w14:schemeClr w14:val="tx1"/>
                  </w14:solidFill>
                </w14:textFill>
              </w:rPr>
              <w:t>联系电话</w:t>
            </w:r>
            <w:bookmarkEnd w:id="6"/>
          </w:p>
        </w:tc>
      </w:tr>
      <w:tr w14:paraId="4F14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014" w:type="dxa"/>
            <w:vAlign w:val="center"/>
          </w:tcPr>
          <w:p w14:paraId="71FA4030">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1</w:t>
            </w:r>
          </w:p>
        </w:tc>
        <w:tc>
          <w:tcPr>
            <w:tcW w:w="3701" w:type="dxa"/>
            <w:vAlign w:val="center"/>
          </w:tcPr>
          <w:p w14:paraId="661531C9">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中国石油管道通讯与电力工程总公司</w:t>
            </w:r>
          </w:p>
        </w:tc>
        <w:tc>
          <w:tcPr>
            <w:tcW w:w="1855" w:type="dxa"/>
            <w:vAlign w:val="center"/>
          </w:tcPr>
          <w:p w14:paraId="587A1164">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办公室</w:t>
            </w:r>
          </w:p>
        </w:tc>
        <w:tc>
          <w:tcPr>
            <w:tcW w:w="2963" w:type="dxa"/>
            <w:vAlign w:val="center"/>
          </w:tcPr>
          <w:p w14:paraId="2815BD32">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010—81365820</w:t>
            </w:r>
          </w:p>
        </w:tc>
      </w:tr>
      <w:tr w14:paraId="05AA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014" w:type="dxa"/>
            <w:vAlign w:val="center"/>
          </w:tcPr>
          <w:p w14:paraId="52DF3F0A">
            <w:pPr>
              <w:spacing w:line="240" w:lineRule="exact"/>
              <w:ind w:right="-16" w:rightChars="-5"/>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2</w:t>
            </w:r>
          </w:p>
        </w:tc>
        <w:tc>
          <w:tcPr>
            <w:tcW w:w="3701" w:type="dxa"/>
            <w:vAlign w:val="center"/>
          </w:tcPr>
          <w:p w14:paraId="67908172">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长庆油田油房庄生产运行储备库</w:t>
            </w:r>
          </w:p>
        </w:tc>
        <w:tc>
          <w:tcPr>
            <w:tcW w:w="1855" w:type="dxa"/>
            <w:vAlign w:val="center"/>
          </w:tcPr>
          <w:p w14:paraId="5FDA1718">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调度</w:t>
            </w:r>
          </w:p>
        </w:tc>
        <w:tc>
          <w:tcPr>
            <w:tcW w:w="2963" w:type="dxa"/>
            <w:vAlign w:val="center"/>
          </w:tcPr>
          <w:p w14:paraId="5C4CA551">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15719120885</w:t>
            </w:r>
          </w:p>
        </w:tc>
      </w:tr>
      <w:tr w14:paraId="1EED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014" w:type="dxa"/>
            <w:vAlign w:val="center"/>
          </w:tcPr>
          <w:p w14:paraId="32A2F147">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3</w:t>
            </w:r>
          </w:p>
        </w:tc>
        <w:tc>
          <w:tcPr>
            <w:tcW w:w="3701" w:type="dxa"/>
            <w:vAlign w:val="center"/>
          </w:tcPr>
          <w:p w14:paraId="7D24C9AB">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中国石油天然气股份有限公司呼和浩特石化分公司</w:t>
            </w:r>
          </w:p>
        </w:tc>
        <w:tc>
          <w:tcPr>
            <w:tcW w:w="1855" w:type="dxa"/>
            <w:vAlign w:val="center"/>
          </w:tcPr>
          <w:p w14:paraId="013FBD8F">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调度</w:t>
            </w:r>
          </w:p>
        </w:tc>
        <w:tc>
          <w:tcPr>
            <w:tcW w:w="2963" w:type="dxa"/>
            <w:vAlign w:val="center"/>
          </w:tcPr>
          <w:p w14:paraId="33C47A3D">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0471—3351526</w:t>
            </w:r>
          </w:p>
          <w:p w14:paraId="2B9A8CED">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0171—3351088</w:t>
            </w:r>
          </w:p>
        </w:tc>
      </w:tr>
      <w:tr w14:paraId="7153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014" w:type="dxa"/>
            <w:vAlign w:val="center"/>
          </w:tcPr>
          <w:p w14:paraId="5138A31E">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4</w:t>
            </w:r>
          </w:p>
        </w:tc>
        <w:tc>
          <w:tcPr>
            <w:tcW w:w="3701" w:type="dxa"/>
            <w:vAlign w:val="center"/>
          </w:tcPr>
          <w:p w14:paraId="46066FF3">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内蒙古高速公路</w:t>
            </w:r>
          </w:p>
        </w:tc>
        <w:tc>
          <w:tcPr>
            <w:tcW w:w="1855" w:type="dxa"/>
            <w:vAlign w:val="center"/>
          </w:tcPr>
          <w:p w14:paraId="5F984B47">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值班电话</w:t>
            </w:r>
          </w:p>
        </w:tc>
        <w:tc>
          <w:tcPr>
            <w:tcW w:w="2963" w:type="dxa"/>
            <w:vAlign w:val="center"/>
          </w:tcPr>
          <w:p w14:paraId="7EDE50FE">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0471—96155</w:t>
            </w:r>
          </w:p>
          <w:p w14:paraId="6FF92CFF">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0471—12122</w:t>
            </w:r>
          </w:p>
        </w:tc>
      </w:tr>
      <w:tr w14:paraId="3FBA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14" w:type="dxa"/>
            <w:vAlign w:val="center"/>
          </w:tcPr>
          <w:p w14:paraId="20B615DF">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5</w:t>
            </w:r>
          </w:p>
        </w:tc>
        <w:tc>
          <w:tcPr>
            <w:tcW w:w="3701" w:type="dxa"/>
            <w:vAlign w:val="center"/>
          </w:tcPr>
          <w:p w14:paraId="3E6F96F2">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陕西省高速公路</w:t>
            </w:r>
          </w:p>
        </w:tc>
        <w:tc>
          <w:tcPr>
            <w:tcW w:w="1855" w:type="dxa"/>
            <w:vAlign w:val="center"/>
          </w:tcPr>
          <w:p w14:paraId="5B08F27F">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值班电话</w:t>
            </w:r>
          </w:p>
        </w:tc>
        <w:tc>
          <w:tcPr>
            <w:tcW w:w="2963" w:type="dxa"/>
            <w:vAlign w:val="center"/>
          </w:tcPr>
          <w:p w14:paraId="1F64BB97">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029—12122</w:t>
            </w:r>
          </w:p>
          <w:p w14:paraId="7C710F91">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029—88408777</w:t>
            </w:r>
          </w:p>
        </w:tc>
      </w:tr>
      <w:tr w14:paraId="6778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14" w:type="dxa"/>
            <w:vAlign w:val="center"/>
          </w:tcPr>
          <w:p w14:paraId="5A64C5F9">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6</w:t>
            </w:r>
          </w:p>
        </w:tc>
        <w:tc>
          <w:tcPr>
            <w:tcW w:w="3701" w:type="dxa"/>
            <w:vAlign w:val="center"/>
          </w:tcPr>
          <w:p w14:paraId="4D6A0F46">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呼和浩特铁路局</w:t>
            </w:r>
          </w:p>
        </w:tc>
        <w:tc>
          <w:tcPr>
            <w:tcW w:w="1855" w:type="dxa"/>
            <w:vAlign w:val="center"/>
          </w:tcPr>
          <w:p w14:paraId="783E3569">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值班电话</w:t>
            </w:r>
          </w:p>
        </w:tc>
        <w:tc>
          <w:tcPr>
            <w:tcW w:w="2963" w:type="dxa"/>
            <w:vAlign w:val="center"/>
          </w:tcPr>
          <w:p w14:paraId="66ABD3DA">
            <w:pPr>
              <w:spacing w:line="240" w:lineRule="exact"/>
              <w:jc w:val="center"/>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0471—2242852</w:t>
            </w:r>
          </w:p>
        </w:tc>
      </w:tr>
    </w:tbl>
    <w:p w14:paraId="7ACC1D05">
      <w:pPr>
        <w:spacing w:line="578" w:lineRule="exact"/>
        <w:ind w:firstLine="640" w:firstLineChars="200"/>
        <w:rPr>
          <w:rFonts w:eastAsia="楷体_GB2312"/>
        </w:rPr>
      </w:pPr>
      <w:r>
        <w:rPr>
          <w:rFonts w:eastAsia="楷体_GB2312"/>
        </w:rPr>
        <w:t>（七）天然气的理化性质与危险、有害特性表</w:t>
      </w:r>
    </w:p>
    <w:tbl>
      <w:tblPr>
        <w:tblStyle w:val="8"/>
        <w:tblpPr w:leftFromText="180" w:rightFromText="180" w:vertAnchor="text" w:horzAnchor="margin" w:tblpXSpec="center" w:tblpY="179"/>
        <w:tblW w:w="92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9"/>
        <w:gridCol w:w="1432"/>
        <w:gridCol w:w="1310"/>
        <w:gridCol w:w="1002"/>
        <w:gridCol w:w="1562"/>
        <w:gridCol w:w="1215"/>
        <w:gridCol w:w="1654"/>
      </w:tblGrid>
      <w:tr w14:paraId="50295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blHeader/>
        </w:trPr>
        <w:tc>
          <w:tcPr>
            <w:tcW w:w="1119" w:type="dxa"/>
            <w:vAlign w:val="center"/>
          </w:tcPr>
          <w:p w14:paraId="4F998FBC">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名称</w:t>
            </w:r>
          </w:p>
        </w:tc>
        <w:tc>
          <w:tcPr>
            <w:tcW w:w="8175" w:type="dxa"/>
            <w:gridSpan w:val="6"/>
            <w:vAlign w:val="center"/>
          </w:tcPr>
          <w:p w14:paraId="1CD182E3">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中文名：天然气、沼气；英文名：methane、Marsh gas</w:t>
            </w:r>
          </w:p>
        </w:tc>
      </w:tr>
      <w:tr w14:paraId="63DC5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blHeader/>
        </w:trPr>
        <w:tc>
          <w:tcPr>
            <w:tcW w:w="1119" w:type="dxa"/>
            <w:vMerge w:val="restart"/>
            <w:vAlign w:val="center"/>
          </w:tcPr>
          <w:p w14:paraId="3242EB7E">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危化品分类及编号</w:t>
            </w:r>
          </w:p>
        </w:tc>
        <w:tc>
          <w:tcPr>
            <w:tcW w:w="1432" w:type="dxa"/>
            <w:vAlign w:val="center"/>
          </w:tcPr>
          <w:p w14:paraId="1D697BA2">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CAS 号</w:t>
            </w:r>
          </w:p>
        </w:tc>
        <w:tc>
          <w:tcPr>
            <w:tcW w:w="1310" w:type="dxa"/>
            <w:vAlign w:val="center"/>
          </w:tcPr>
          <w:p w14:paraId="70CAA773">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8006-14-2</w:t>
            </w:r>
          </w:p>
        </w:tc>
        <w:tc>
          <w:tcPr>
            <w:tcW w:w="1002" w:type="dxa"/>
            <w:vAlign w:val="center"/>
          </w:tcPr>
          <w:p w14:paraId="1DD13003">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UN 号</w:t>
            </w:r>
          </w:p>
        </w:tc>
        <w:tc>
          <w:tcPr>
            <w:tcW w:w="1562" w:type="dxa"/>
            <w:vAlign w:val="center"/>
          </w:tcPr>
          <w:p w14:paraId="212B4728">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1971</w:t>
            </w:r>
          </w:p>
        </w:tc>
        <w:tc>
          <w:tcPr>
            <w:tcW w:w="1215" w:type="dxa"/>
            <w:vAlign w:val="center"/>
          </w:tcPr>
          <w:p w14:paraId="6F74F37E">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危规号</w:t>
            </w:r>
          </w:p>
        </w:tc>
        <w:tc>
          <w:tcPr>
            <w:tcW w:w="1654" w:type="dxa"/>
            <w:vAlign w:val="center"/>
          </w:tcPr>
          <w:p w14:paraId="64870166">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21007</w:t>
            </w:r>
          </w:p>
        </w:tc>
      </w:tr>
      <w:tr w14:paraId="54375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blHeader/>
        </w:trPr>
        <w:tc>
          <w:tcPr>
            <w:tcW w:w="1119" w:type="dxa"/>
            <w:vMerge w:val="continue"/>
            <w:tcBorders>
              <w:top w:val="nil"/>
            </w:tcBorders>
            <w:vAlign w:val="center"/>
          </w:tcPr>
          <w:p w14:paraId="29E87BBF">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1432" w:type="dxa"/>
            <w:vAlign w:val="center"/>
          </w:tcPr>
          <w:p w14:paraId="4419F01A">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分子式</w:t>
            </w:r>
          </w:p>
        </w:tc>
        <w:tc>
          <w:tcPr>
            <w:tcW w:w="2312" w:type="dxa"/>
            <w:gridSpan w:val="2"/>
            <w:vAlign w:val="center"/>
          </w:tcPr>
          <w:p w14:paraId="6D497CCD">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CH</w:t>
            </w:r>
            <w:r>
              <w:rPr>
                <w:rFonts w:cs="Times New Roman" w:asciiTheme="minorEastAsia" w:hAnsiTheme="minorEastAsia" w:eastAsiaTheme="minorEastAsia"/>
                <w:color w:val="000000" w:themeColor="text1"/>
                <w:sz w:val="21"/>
                <w:szCs w:val="21"/>
                <w:vertAlign w:val="subscript"/>
                <w:lang w:eastAsia="en-US"/>
                <w14:textFill>
                  <w14:solidFill>
                    <w14:schemeClr w14:val="tx1"/>
                  </w14:solidFill>
                </w14:textFill>
              </w:rPr>
              <w:t>4</w:t>
            </w:r>
          </w:p>
        </w:tc>
        <w:tc>
          <w:tcPr>
            <w:tcW w:w="1562" w:type="dxa"/>
            <w:vAlign w:val="center"/>
          </w:tcPr>
          <w:p w14:paraId="3C8FE16C">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分子量</w:t>
            </w:r>
          </w:p>
        </w:tc>
        <w:tc>
          <w:tcPr>
            <w:tcW w:w="2869" w:type="dxa"/>
            <w:gridSpan w:val="2"/>
            <w:vAlign w:val="center"/>
          </w:tcPr>
          <w:p w14:paraId="2E28EF8A">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16.04</w:t>
            </w:r>
          </w:p>
        </w:tc>
      </w:tr>
      <w:tr w14:paraId="28130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blHeader/>
        </w:trPr>
        <w:tc>
          <w:tcPr>
            <w:tcW w:w="1119" w:type="dxa"/>
            <w:vMerge w:val="restart"/>
            <w:vAlign w:val="center"/>
          </w:tcPr>
          <w:p w14:paraId="55B7E179">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理化性质</w:t>
            </w:r>
          </w:p>
        </w:tc>
        <w:tc>
          <w:tcPr>
            <w:tcW w:w="1432" w:type="dxa"/>
            <w:vAlign w:val="center"/>
          </w:tcPr>
          <w:p w14:paraId="071FE656">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外观与形状</w:t>
            </w:r>
          </w:p>
        </w:tc>
        <w:tc>
          <w:tcPr>
            <w:tcW w:w="6743" w:type="dxa"/>
            <w:gridSpan w:val="5"/>
            <w:vAlign w:val="center"/>
          </w:tcPr>
          <w:p w14:paraId="50CEE68D">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无色、无臭气体</w:t>
            </w:r>
          </w:p>
        </w:tc>
      </w:tr>
      <w:tr w14:paraId="34893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blHeader/>
        </w:trPr>
        <w:tc>
          <w:tcPr>
            <w:tcW w:w="1119" w:type="dxa"/>
            <w:vMerge w:val="continue"/>
            <w:tcBorders>
              <w:top w:val="nil"/>
            </w:tcBorders>
            <w:vAlign w:val="center"/>
          </w:tcPr>
          <w:p w14:paraId="35C21389">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1432" w:type="dxa"/>
            <w:vAlign w:val="center"/>
          </w:tcPr>
          <w:p w14:paraId="029820FF">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主要用途</w:t>
            </w:r>
          </w:p>
        </w:tc>
        <w:tc>
          <w:tcPr>
            <w:tcW w:w="6743" w:type="dxa"/>
            <w:gridSpan w:val="5"/>
            <w:vAlign w:val="center"/>
          </w:tcPr>
          <w:p w14:paraId="1AE3BC59">
            <w:pPr>
              <w:autoSpaceDE/>
              <w:autoSpaceDN/>
              <w:spacing w:line="240" w:lineRule="exact"/>
              <w:jc w:val="center"/>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用作燃料和用于炭黑、氢、乙炔、甲醛等的制造</w:t>
            </w:r>
          </w:p>
        </w:tc>
      </w:tr>
      <w:tr w14:paraId="7A417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blHeader/>
        </w:trPr>
        <w:tc>
          <w:tcPr>
            <w:tcW w:w="1119" w:type="dxa"/>
            <w:vMerge w:val="continue"/>
            <w:tcBorders>
              <w:top w:val="nil"/>
            </w:tcBorders>
            <w:vAlign w:val="center"/>
          </w:tcPr>
          <w:p w14:paraId="567CBA6A">
            <w:pPr>
              <w:autoSpaceDE/>
              <w:autoSpaceDN/>
              <w:spacing w:line="240" w:lineRule="exact"/>
              <w:jc w:val="center"/>
              <w:rPr>
                <w:rFonts w:cs="Times New Roman" w:asciiTheme="minorEastAsia" w:hAnsiTheme="minorEastAsia" w:eastAsiaTheme="minorEastAsia"/>
                <w:bCs/>
                <w:color w:val="000000" w:themeColor="text1"/>
                <w:sz w:val="21"/>
                <w:szCs w:val="21"/>
                <w:lang w:eastAsia="zh-CN"/>
                <w14:textFill>
                  <w14:solidFill>
                    <w14:schemeClr w14:val="tx1"/>
                  </w14:solidFill>
                </w14:textFill>
              </w:rPr>
            </w:pPr>
          </w:p>
        </w:tc>
        <w:tc>
          <w:tcPr>
            <w:tcW w:w="1432" w:type="dxa"/>
            <w:vAlign w:val="center"/>
          </w:tcPr>
          <w:p w14:paraId="576092F5">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溶解性</w:t>
            </w:r>
          </w:p>
        </w:tc>
        <w:tc>
          <w:tcPr>
            <w:tcW w:w="6743" w:type="dxa"/>
            <w:gridSpan w:val="5"/>
            <w:vAlign w:val="center"/>
          </w:tcPr>
          <w:p w14:paraId="671941C2">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微溶于水，溶于醇、乙醚</w:t>
            </w:r>
          </w:p>
        </w:tc>
      </w:tr>
      <w:tr w14:paraId="0D841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blHeader/>
        </w:trPr>
        <w:tc>
          <w:tcPr>
            <w:tcW w:w="1119" w:type="dxa"/>
            <w:vMerge w:val="continue"/>
            <w:tcBorders>
              <w:top w:val="nil"/>
            </w:tcBorders>
            <w:vAlign w:val="center"/>
          </w:tcPr>
          <w:p w14:paraId="12E99128">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3744" w:type="dxa"/>
            <w:gridSpan w:val="3"/>
            <w:vAlign w:val="center"/>
          </w:tcPr>
          <w:p w14:paraId="7596D2CA">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危险化学品序号：2123</w:t>
            </w:r>
          </w:p>
        </w:tc>
        <w:tc>
          <w:tcPr>
            <w:tcW w:w="4431" w:type="dxa"/>
            <w:gridSpan w:val="3"/>
            <w:vAlign w:val="center"/>
          </w:tcPr>
          <w:p w14:paraId="5C1C52AF">
            <w:pPr>
              <w:autoSpaceDE/>
              <w:autoSpaceDN/>
              <w:spacing w:line="240" w:lineRule="exact"/>
              <w:jc w:val="center"/>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火灾危险性分类：甲类</w:t>
            </w:r>
          </w:p>
        </w:tc>
      </w:tr>
      <w:tr w14:paraId="60CB6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blHeader/>
        </w:trPr>
        <w:tc>
          <w:tcPr>
            <w:tcW w:w="1119" w:type="dxa"/>
            <w:vMerge w:val="continue"/>
            <w:tcBorders>
              <w:top w:val="nil"/>
            </w:tcBorders>
            <w:vAlign w:val="center"/>
          </w:tcPr>
          <w:p w14:paraId="40EC5B15">
            <w:pPr>
              <w:autoSpaceDE/>
              <w:autoSpaceDN/>
              <w:spacing w:line="240" w:lineRule="exact"/>
              <w:jc w:val="center"/>
              <w:rPr>
                <w:rFonts w:cs="Times New Roman" w:asciiTheme="minorEastAsia" w:hAnsiTheme="minorEastAsia" w:eastAsiaTheme="minorEastAsia"/>
                <w:bCs/>
                <w:color w:val="000000" w:themeColor="text1"/>
                <w:sz w:val="21"/>
                <w:szCs w:val="21"/>
                <w:lang w:eastAsia="zh-CN"/>
                <w14:textFill>
                  <w14:solidFill>
                    <w14:schemeClr w14:val="tx1"/>
                  </w14:solidFill>
                </w14:textFill>
              </w:rPr>
            </w:pPr>
          </w:p>
        </w:tc>
        <w:tc>
          <w:tcPr>
            <w:tcW w:w="3744" w:type="dxa"/>
            <w:gridSpan w:val="3"/>
            <w:vAlign w:val="center"/>
          </w:tcPr>
          <w:p w14:paraId="5BA1CB54">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沸点：-161.5℃</w:t>
            </w:r>
          </w:p>
        </w:tc>
        <w:tc>
          <w:tcPr>
            <w:tcW w:w="4431" w:type="dxa"/>
            <w:gridSpan w:val="3"/>
            <w:vAlign w:val="center"/>
          </w:tcPr>
          <w:p w14:paraId="4AF2F40C">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熔点：-182.5℃</w:t>
            </w:r>
          </w:p>
        </w:tc>
      </w:tr>
      <w:tr w14:paraId="25E7E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blHeader/>
        </w:trPr>
        <w:tc>
          <w:tcPr>
            <w:tcW w:w="1119" w:type="dxa"/>
            <w:vMerge w:val="continue"/>
            <w:tcBorders>
              <w:top w:val="nil"/>
            </w:tcBorders>
            <w:vAlign w:val="center"/>
          </w:tcPr>
          <w:p w14:paraId="06F6FA75">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3744" w:type="dxa"/>
            <w:gridSpan w:val="3"/>
            <w:vAlign w:val="center"/>
          </w:tcPr>
          <w:p w14:paraId="0BBBB789">
            <w:pPr>
              <w:autoSpaceDE/>
              <w:autoSpaceDN/>
              <w:spacing w:line="240" w:lineRule="exact"/>
              <w:jc w:val="center"/>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相对密度（水=1）：0.42（-164℃）</w:t>
            </w:r>
          </w:p>
        </w:tc>
        <w:tc>
          <w:tcPr>
            <w:tcW w:w="4431" w:type="dxa"/>
            <w:gridSpan w:val="3"/>
            <w:vAlign w:val="center"/>
          </w:tcPr>
          <w:p w14:paraId="1A2C7242">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相对密度（空气=1）：0.55</w:t>
            </w:r>
          </w:p>
        </w:tc>
      </w:tr>
      <w:tr w14:paraId="381B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blHeader/>
        </w:trPr>
        <w:tc>
          <w:tcPr>
            <w:tcW w:w="1119" w:type="dxa"/>
            <w:vMerge w:val="continue"/>
            <w:tcBorders>
              <w:top w:val="nil"/>
            </w:tcBorders>
            <w:vAlign w:val="center"/>
          </w:tcPr>
          <w:p w14:paraId="37B4A29D">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3744" w:type="dxa"/>
            <w:gridSpan w:val="3"/>
            <w:vAlign w:val="center"/>
          </w:tcPr>
          <w:p w14:paraId="501EF012">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爆炸上限（V/V）：15.00%</w:t>
            </w:r>
          </w:p>
        </w:tc>
        <w:tc>
          <w:tcPr>
            <w:tcW w:w="4431" w:type="dxa"/>
            <w:gridSpan w:val="3"/>
            <w:vAlign w:val="center"/>
          </w:tcPr>
          <w:p w14:paraId="36FD79D2">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爆炸下限（V/V）：5.00%</w:t>
            </w:r>
          </w:p>
        </w:tc>
      </w:tr>
      <w:tr w14:paraId="39C0F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blHeader/>
        </w:trPr>
        <w:tc>
          <w:tcPr>
            <w:tcW w:w="1119" w:type="dxa"/>
            <w:vMerge w:val="continue"/>
            <w:tcBorders>
              <w:top w:val="nil"/>
            </w:tcBorders>
            <w:vAlign w:val="center"/>
          </w:tcPr>
          <w:p w14:paraId="3DB68092">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3744" w:type="dxa"/>
            <w:gridSpan w:val="3"/>
            <w:vAlign w:val="center"/>
          </w:tcPr>
          <w:p w14:paraId="72FD827A">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临界温度：-82.6℃</w:t>
            </w:r>
          </w:p>
        </w:tc>
        <w:tc>
          <w:tcPr>
            <w:tcW w:w="4431" w:type="dxa"/>
            <w:gridSpan w:val="3"/>
            <w:vAlign w:val="center"/>
          </w:tcPr>
          <w:p w14:paraId="6AC92A87">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临界压力：4.59MPa</w:t>
            </w:r>
          </w:p>
        </w:tc>
      </w:tr>
      <w:tr w14:paraId="2911B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Header/>
        </w:trPr>
        <w:tc>
          <w:tcPr>
            <w:tcW w:w="1119" w:type="dxa"/>
            <w:vMerge w:val="continue"/>
            <w:tcBorders>
              <w:top w:val="nil"/>
            </w:tcBorders>
            <w:vAlign w:val="center"/>
          </w:tcPr>
          <w:p w14:paraId="61F923EA">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3744" w:type="dxa"/>
            <w:gridSpan w:val="3"/>
            <w:vAlign w:val="center"/>
          </w:tcPr>
          <w:p w14:paraId="534F3230">
            <w:pPr>
              <w:autoSpaceDE/>
              <w:autoSpaceDN/>
              <w:spacing w:line="240" w:lineRule="exact"/>
              <w:jc w:val="center"/>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饱和蒸汽压：245.27kPa（21℃）</w:t>
            </w:r>
          </w:p>
        </w:tc>
        <w:tc>
          <w:tcPr>
            <w:tcW w:w="4431" w:type="dxa"/>
            <w:gridSpan w:val="3"/>
            <w:vAlign w:val="center"/>
          </w:tcPr>
          <w:p w14:paraId="3B025352">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闪点：-188℃</w:t>
            </w:r>
          </w:p>
        </w:tc>
      </w:tr>
      <w:tr w14:paraId="23E8E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blHeader/>
        </w:trPr>
        <w:tc>
          <w:tcPr>
            <w:tcW w:w="1119" w:type="dxa"/>
            <w:vMerge w:val="continue"/>
            <w:tcBorders>
              <w:top w:val="nil"/>
            </w:tcBorders>
            <w:vAlign w:val="center"/>
          </w:tcPr>
          <w:p w14:paraId="077E01B3">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3744" w:type="dxa"/>
            <w:gridSpan w:val="3"/>
            <w:vAlign w:val="center"/>
          </w:tcPr>
          <w:p w14:paraId="6F4B40DB">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燃烧热：49960KJ/kg</w:t>
            </w:r>
          </w:p>
        </w:tc>
        <w:tc>
          <w:tcPr>
            <w:tcW w:w="4431" w:type="dxa"/>
            <w:gridSpan w:val="3"/>
            <w:vAlign w:val="center"/>
          </w:tcPr>
          <w:p w14:paraId="3202B59D">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引燃温度：537℃</w:t>
            </w:r>
          </w:p>
        </w:tc>
      </w:tr>
      <w:tr w14:paraId="1AB4C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blHeader/>
        </w:trPr>
        <w:tc>
          <w:tcPr>
            <w:tcW w:w="1119" w:type="dxa"/>
            <w:vMerge w:val="continue"/>
            <w:tcBorders>
              <w:top w:val="nil"/>
            </w:tcBorders>
            <w:vAlign w:val="center"/>
          </w:tcPr>
          <w:p w14:paraId="4C6F42C3">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p>
        </w:tc>
        <w:tc>
          <w:tcPr>
            <w:tcW w:w="3744" w:type="dxa"/>
            <w:gridSpan w:val="3"/>
            <w:vAlign w:val="center"/>
          </w:tcPr>
          <w:p w14:paraId="5C508FE4">
            <w:pPr>
              <w:autoSpaceDE/>
              <w:autoSpaceDN/>
              <w:spacing w:line="240" w:lineRule="exact"/>
              <w:jc w:val="center"/>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爆炸性混合物级别：ⅡA</w:t>
            </w:r>
          </w:p>
        </w:tc>
        <w:tc>
          <w:tcPr>
            <w:tcW w:w="4431" w:type="dxa"/>
            <w:gridSpan w:val="3"/>
            <w:vAlign w:val="center"/>
          </w:tcPr>
          <w:p w14:paraId="2B6702F9">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引燃温度组别：T1</w:t>
            </w:r>
          </w:p>
        </w:tc>
      </w:tr>
      <w:tr w14:paraId="06FE1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blHeader/>
        </w:trPr>
        <w:tc>
          <w:tcPr>
            <w:tcW w:w="1119" w:type="dxa"/>
            <w:vMerge w:val="restart"/>
            <w:vAlign w:val="center"/>
          </w:tcPr>
          <w:p w14:paraId="20E6A584">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危险性</w:t>
            </w:r>
          </w:p>
        </w:tc>
        <w:tc>
          <w:tcPr>
            <w:tcW w:w="1432" w:type="dxa"/>
            <w:vAlign w:val="center"/>
          </w:tcPr>
          <w:p w14:paraId="57E31487">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危规类别</w:t>
            </w:r>
          </w:p>
        </w:tc>
        <w:tc>
          <w:tcPr>
            <w:tcW w:w="6743" w:type="dxa"/>
            <w:gridSpan w:val="5"/>
            <w:vAlign w:val="center"/>
          </w:tcPr>
          <w:p w14:paraId="38D79D02">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第 2.1 类易燃气体</w:t>
            </w:r>
          </w:p>
        </w:tc>
      </w:tr>
      <w:tr w14:paraId="41174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blHeader/>
        </w:trPr>
        <w:tc>
          <w:tcPr>
            <w:tcW w:w="1119" w:type="dxa"/>
            <w:vMerge w:val="continue"/>
            <w:tcBorders>
              <w:top w:val="nil"/>
            </w:tcBorders>
            <w:vAlign w:val="center"/>
          </w:tcPr>
          <w:p w14:paraId="4E40D4A7">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vAlign w:val="center"/>
          </w:tcPr>
          <w:p w14:paraId="50C9C1F5">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危险性类别</w:t>
            </w:r>
          </w:p>
        </w:tc>
        <w:tc>
          <w:tcPr>
            <w:tcW w:w="6743" w:type="dxa"/>
            <w:gridSpan w:val="5"/>
            <w:vAlign w:val="center"/>
          </w:tcPr>
          <w:p w14:paraId="4D5800B0">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易燃气体，类别 1；加压气体</w:t>
            </w:r>
          </w:p>
        </w:tc>
      </w:tr>
      <w:tr w14:paraId="40100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tblHeader/>
        </w:trPr>
        <w:tc>
          <w:tcPr>
            <w:tcW w:w="1119" w:type="dxa"/>
            <w:vMerge w:val="continue"/>
            <w:tcBorders>
              <w:top w:val="nil"/>
            </w:tcBorders>
            <w:vAlign w:val="center"/>
          </w:tcPr>
          <w:p w14:paraId="2D8EED4A">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p>
        </w:tc>
        <w:tc>
          <w:tcPr>
            <w:tcW w:w="1432" w:type="dxa"/>
            <w:vAlign w:val="center"/>
          </w:tcPr>
          <w:p w14:paraId="49BAF885">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危险特性</w:t>
            </w:r>
          </w:p>
        </w:tc>
        <w:tc>
          <w:tcPr>
            <w:tcW w:w="6743" w:type="dxa"/>
            <w:gridSpan w:val="5"/>
            <w:vAlign w:val="center"/>
          </w:tcPr>
          <w:p w14:paraId="4D42FA80">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易燃，与空气混合能形成爆炸性混合物，遇热源和明火有燃烧、爆炸的  危险。与五氧化溴、氯气、次氯酸、三氟化氮、液氧、二氟化氧及其它  强氧化剂接触剧烈反应。</w:t>
            </w:r>
          </w:p>
        </w:tc>
      </w:tr>
      <w:tr w14:paraId="5E056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blHeader/>
        </w:trPr>
        <w:tc>
          <w:tcPr>
            <w:tcW w:w="1119" w:type="dxa"/>
            <w:vMerge w:val="continue"/>
            <w:tcBorders>
              <w:top w:val="nil"/>
            </w:tcBorders>
            <w:vAlign w:val="center"/>
          </w:tcPr>
          <w:p w14:paraId="0D1BEBB4">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p>
        </w:tc>
        <w:tc>
          <w:tcPr>
            <w:tcW w:w="1432" w:type="dxa"/>
            <w:vAlign w:val="center"/>
          </w:tcPr>
          <w:p w14:paraId="76630C2A">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燃爆危险</w:t>
            </w:r>
          </w:p>
        </w:tc>
        <w:tc>
          <w:tcPr>
            <w:tcW w:w="6743" w:type="dxa"/>
            <w:gridSpan w:val="5"/>
            <w:vAlign w:val="center"/>
          </w:tcPr>
          <w:p w14:paraId="639DAEB1">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易燃，</w:t>
            </w:r>
            <w:r>
              <w:rPr>
                <w:rFonts w:cs="Times New Roman" w:asciiTheme="minorEastAsia" w:hAnsiTheme="minorEastAsia" w:eastAsiaTheme="minorEastAsia"/>
                <w:color w:val="000000" w:themeColor="text1"/>
                <w:sz w:val="21"/>
                <w:szCs w:val="21"/>
                <w:lang w:eastAsia="zh-CN"/>
                <w14:textFill>
                  <w14:solidFill>
                    <w14:schemeClr w14:val="tx1"/>
                  </w14:solidFill>
                </w14:textFill>
              </w:rPr>
              <w:t>具有</w:t>
            </w:r>
            <w:r>
              <w:rPr>
                <w:rFonts w:cs="Times New Roman" w:asciiTheme="minorEastAsia" w:hAnsiTheme="minorEastAsia" w:eastAsiaTheme="minorEastAsia"/>
                <w:color w:val="000000" w:themeColor="text1"/>
                <w:sz w:val="21"/>
                <w:szCs w:val="21"/>
                <w:lang w:eastAsia="en-US"/>
                <w14:textFill>
                  <w14:solidFill>
                    <w14:schemeClr w14:val="tx1"/>
                  </w14:solidFill>
                </w14:textFill>
              </w:rPr>
              <w:t>窒息性</w:t>
            </w:r>
          </w:p>
        </w:tc>
      </w:tr>
      <w:tr w14:paraId="229E6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blHeader/>
        </w:trPr>
        <w:tc>
          <w:tcPr>
            <w:tcW w:w="1119" w:type="dxa"/>
            <w:vMerge w:val="continue"/>
            <w:tcBorders>
              <w:top w:val="nil"/>
            </w:tcBorders>
            <w:vAlign w:val="center"/>
          </w:tcPr>
          <w:p w14:paraId="46E8A85D">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vAlign w:val="center"/>
          </w:tcPr>
          <w:p w14:paraId="791B9A11">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燃烧产物</w:t>
            </w:r>
          </w:p>
        </w:tc>
        <w:tc>
          <w:tcPr>
            <w:tcW w:w="6743" w:type="dxa"/>
            <w:gridSpan w:val="5"/>
            <w:vAlign w:val="center"/>
          </w:tcPr>
          <w:p w14:paraId="6DC4394C">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一氧化碳、二氧化碳</w:t>
            </w:r>
          </w:p>
        </w:tc>
      </w:tr>
      <w:tr w14:paraId="0E9DB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blHeader/>
        </w:trPr>
        <w:tc>
          <w:tcPr>
            <w:tcW w:w="1119" w:type="dxa"/>
            <w:vMerge w:val="continue"/>
            <w:tcBorders>
              <w:top w:val="nil"/>
            </w:tcBorders>
            <w:vAlign w:val="center"/>
          </w:tcPr>
          <w:p w14:paraId="4E0DE09B">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vAlign w:val="center"/>
          </w:tcPr>
          <w:p w14:paraId="1F9A4A13">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侵入途径</w:t>
            </w:r>
          </w:p>
        </w:tc>
        <w:tc>
          <w:tcPr>
            <w:tcW w:w="6743" w:type="dxa"/>
            <w:gridSpan w:val="5"/>
            <w:vAlign w:val="center"/>
          </w:tcPr>
          <w:p w14:paraId="120D3B46">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吸入</w:t>
            </w:r>
          </w:p>
        </w:tc>
      </w:tr>
      <w:tr w14:paraId="6482C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blHeader/>
        </w:trPr>
        <w:tc>
          <w:tcPr>
            <w:tcW w:w="1119" w:type="dxa"/>
            <w:vMerge w:val="continue"/>
            <w:tcBorders>
              <w:top w:val="nil"/>
            </w:tcBorders>
            <w:vAlign w:val="center"/>
          </w:tcPr>
          <w:p w14:paraId="6F19B55A">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vAlign w:val="center"/>
          </w:tcPr>
          <w:p w14:paraId="5721DEA4">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健康危害</w:t>
            </w:r>
          </w:p>
        </w:tc>
        <w:tc>
          <w:tcPr>
            <w:tcW w:w="6743" w:type="dxa"/>
            <w:gridSpan w:val="5"/>
            <w:vAlign w:val="center"/>
          </w:tcPr>
          <w:p w14:paraId="7757338D">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甲烷对人基本无毒，但浓度过高时，使空气中氧含量明显降低，使人窒  息。当空气中甲烷达 25%—30%时，可引起头痛、头晕、乏力、注意力不集中、呼吸和心跳加速、共济失调。若不及时脱离，可致窒息死亡。  皮肤接触液化，可致冻伤。</w:t>
            </w:r>
          </w:p>
        </w:tc>
      </w:tr>
      <w:tr w14:paraId="66E98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blHeader/>
        </w:trPr>
        <w:tc>
          <w:tcPr>
            <w:tcW w:w="1119" w:type="dxa"/>
            <w:vMerge w:val="continue"/>
            <w:tcBorders>
              <w:top w:val="nil"/>
              <w:bottom w:val="single" w:color="auto" w:sz="4" w:space="0"/>
            </w:tcBorders>
            <w:vAlign w:val="center"/>
          </w:tcPr>
          <w:p w14:paraId="457E5FBA">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p>
        </w:tc>
        <w:tc>
          <w:tcPr>
            <w:tcW w:w="1432" w:type="dxa"/>
            <w:tcBorders>
              <w:bottom w:val="single" w:color="auto" w:sz="4" w:space="0"/>
            </w:tcBorders>
            <w:vAlign w:val="center"/>
          </w:tcPr>
          <w:p w14:paraId="0976F32C">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灭火方法</w:t>
            </w:r>
          </w:p>
        </w:tc>
        <w:tc>
          <w:tcPr>
            <w:tcW w:w="6743" w:type="dxa"/>
            <w:gridSpan w:val="5"/>
            <w:tcBorders>
              <w:bottom w:val="single" w:color="auto" w:sz="4" w:space="0"/>
            </w:tcBorders>
            <w:vAlign w:val="center"/>
          </w:tcPr>
          <w:p w14:paraId="639234AB">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切断气源。若不能切断气源，则不允许熄灭泄漏处的火焰。喷水冷却容器，可能的话将容器从火场移至空旷处。</w:t>
            </w:r>
          </w:p>
          <w:p w14:paraId="5D2661EA">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灭火剂：雾状水、泡沫、二氧化碳、干粉。</w:t>
            </w:r>
          </w:p>
        </w:tc>
      </w:tr>
      <w:tr w14:paraId="48CD1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blHeader/>
        </w:trPr>
        <w:tc>
          <w:tcPr>
            <w:tcW w:w="1119" w:type="dxa"/>
            <w:vMerge w:val="restart"/>
            <w:tcBorders>
              <w:top w:val="single" w:color="auto" w:sz="4" w:space="0"/>
              <w:left w:val="single" w:color="auto" w:sz="4" w:space="0"/>
              <w:right w:val="single" w:color="auto" w:sz="4" w:space="0"/>
            </w:tcBorders>
            <w:vAlign w:val="center"/>
          </w:tcPr>
          <w:p w14:paraId="48157117">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稳定性和反应活性</w:t>
            </w:r>
          </w:p>
        </w:tc>
        <w:tc>
          <w:tcPr>
            <w:tcW w:w="1432" w:type="dxa"/>
            <w:tcBorders>
              <w:top w:val="single" w:color="auto" w:sz="4" w:space="0"/>
              <w:left w:val="single" w:color="auto" w:sz="4" w:space="0"/>
              <w:bottom w:val="single" w:color="auto" w:sz="4" w:space="0"/>
              <w:right w:val="single" w:color="auto" w:sz="4" w:space="0"/>
            </w:tcBorders>
            <w:vAlign w:val="center"/>
          </w:tcPr>
          <w:p w14:paraId="73D2994D">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稳定性</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60CF645D">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稳定</w:t>
            </w:r>
          </w:p>
        </w:tc>
      </w:tr>
      <w:tr w14:paraId="024F6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blHeader/>
        </w:trPr>
        <w:tc>
          <w:tcPr>
            <w:tcW w:w="1119" w:type="dxa"/>
            <w:vMerge w:val="continue"/>
            <w:tcBorders>
              <w:left w:val="single" w:color="auto" w:sz="4" w:space="0"/>
              <w:right w:val="single" w:color="auto" w:sz="4" w:space="0"/>
            </w:tcBorders>
            <w:vAlign w:val="center"/>
          </w:tcPr>
          <w:p w14:paraId="1A7EEA3D">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21556601">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聚合危害</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7994D339">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不聚合</w:t>
            </w:r>
          </w:p>
        </w:tc>
      </w:tr>
      <w:tr w14:paraId="7AA69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blHeader/>
        </w:trPr>
        <w:tc>
          <w:tcPr>
            <w:tcW w:w="1119" w:type="dxa"/>
            <w:vMerge w:val="continue"/>
            <w:tcBorders>
              <w:left w:val="single" w:color="auto" w:sz="4" w:space="0"/>
              <w:bottom w:val="single" w:color="auto" w:sz="4" w:space="0"/>
              <w:right w:val="single" w:color="auto" w:sz="4" w:space="0"/>
            </w:tcBorders>
            <w:vAlign w:val="center"/>
          </w:tcPr>
          <w:p w14:paraId="4B6222DF">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3BB6CBD1">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禁忌物</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78342139">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强氧化剂、氟、氯</w:t>
            </w:r>
          </w:p>
        </w:tc>
      </w:tr>
      <w:tr w14:paraId="37282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blHeader/>
        </w:trPr>
        <w:tc>
          <w:tcPr>
            <w:tcW w:w="1119" w:type="dxa"/>
            <w:tcBorders>
              <w:top w:val="single" w:color="auto" w:sz="4" w:space="0"/>
              <w:left w:val="single" w:color="auto" w:sz="4" w:space="0"/>
              <w:bottom w:val="single" w:color="auto" w:sz="4" w:space="0"/>
              <w:right w:val="single" w:color="auto" w:sz="4" w:space="0"/>
            </w:tcBorders>
            <w:vAlign w:val="center"/>
          </w:tcPr>
          <w:p w14:paraId="256D1C94">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毒性危害</w:t>
            </w:r>
          </w:p>
        </w:tc>
        <w:tc>
          <w:tcPr>
            <w:tcW w:w="1432" w:type="dxa"/>
            <w:tcBorders>
              <w:top w:val="single" w:color="auto" w:sz="4" w:space="0"/>
              <w:left w:val="single" w:color="auto" w:sz="4" w:space="0"/>
              <w:bottom w:val="single" w:color="auto" w:sz="4" w:space="0"/>
              <w:right w:val="single" w:color="auto" w:sz="4" w:space="0"/>
            </w:tcBorders>
            <w:vAlign w:val="center"/>
          </w:tcPr>
          <w:p w14:paraId="22ECE2F9">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接触限值</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2A8857A0">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前苏联 MAC：300mg/m</w:t>
            </w:r>
            <w:r>
              <w:rPr>
                <w:rFonts w:cs="Times New Roman" w:asciiTheme="minorEastAsia" w:hAnsiTheme="minorEastAsia" w:eastAsiaTheme="minorEastAsia"/>
                <w:color w:val="000000" w:themeColor="text1"/>
                <w:sz w:val="21"/>
                <w:szCs w:val="21"/>
                <w:vertAlign w:val="superscript"/>
                <w:lang w:eastAsia="zh-CN"/>
                <w14:textFill>
                  <w14:solidFill>
                    <w14:schemeClr w14:val="tx1"/>
                  </w14:solidFill>
                </w14:textFill>
              </w:rPr>
              <w:t>3</w:t>
            </w:r>
          </w:p>
        </w:tc>
      </w:tr>
      <w:tr w14:paraId="76A00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blHeader/>
        </w:trPr>
        <w:tc>
          <w:tcPr>
            <w:tcW w:w="1119" w:type="dxa"/>
            <w:vMerge w:val="restart"/>
            <w:tcBorders>
              <w:top w:val="single" w:color="auto" w:sz="4" w:space="0"/>
              <w:left w:val="single" w:color="auto" w:sz="4" w:space="0"/>
              <w:right w:val="single" w:color="auto" w:sz="4" w:space="0"/>
            </w:tcBorders>
            <w:vAlign w:val="center"/>
          </w:tcPr>
          <w:p w14:paraId="12106E6E">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急救措施</w:t>
            </w:r>
          </w:p>
        </w:tc>
        <w:tc>
          <w:tcPr>
            <w:tcW w:w="1432" w:type="dxa"/>
            <w:tcBorders>
              <w:top w:val="single" w:color="auto" w:sz="4" w:space="0"/>
              <w:left w:val="single" w:color="auto" w:sz="4" w:space="0"/>
              <w:bottom w:val="single" w:color="auto" w:sz="4" w:space="0"/>
              <w:right w:val="single" w:color="auto" w:sz="4" w:space="0"/>
            </w:tcBorders>
            <w:vAlign w:val="center"/>
          </w:tcPr>
          <w:p w14:paraId="37277AFA">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皮肤接触</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33B4C675">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若有冻伤，就医治疗。</w:t>
            </w:r>
          </w:p>
        </w:tc>
      </w:tr>
      <w:tr w14:paraId="5294C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tblHeader/>
        </w:trPr>
        <w:tc>
          <w:tcPr>
            <w:tcW w:w="1119" w:type="dxa"/>
            <w:vMerge w:val="continue"/>
            <w:tcBorders>
              <w:left w:val="single" w:color="auto" w:sz="4" w:space="0"/>
              <w:bottom w:val="single" w:color="auto" w:sz="4" w:space="0"/>
              <w:right w:val="single" w:color="auto" w:sz="4" w:space="0"/>
            </w:tcBorders>
            <w:vAlign w:val="center"/>
          </w:tcPr>
          <w:p w14:paraId="2E7BA90E">
            <w:pPr>
              <w:autoSpaceDE/>
              <w:autoSpaceDN/>
              <w:spacing w:line="240" w:lineRule="exact"/>
              <w:jc w:val="center"/>
              <w:rPr>
                <w:rFonts w:cs="Times New Roman" w:asciiTheme="minorEastAsia" w:hAnsiTheme="minorEastAsia" w:eastAsiaTheme="minorEastAsia"/>
                <w:color w:val="000000" w:themeColor="text1"/>
                <w:sz w:val="21"/>
                <w:szCs w:val="21"/>
                <w:lang w:eastAsia="zh-CN"/>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5E16CB23">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吸入</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10C82182">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迅速脱离现场至空气新鲜处。保持呼吸道通畅。如呼吸困难，给输氧。如呼吸停止，立即进行人工呼吸、就医。</w:t>
            </w:r>
          </w:p>
        </w:tc>
      </w:tr>
      <w:tr w14:paraId="1B923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blHeader/>
        </w:trPr>
        <w:tc>
          <w:tcPr>
            <w:tcW w:w="1119" w:type="dxa"/>
            <w:vMerge w:val="restart"/>
            <w:tcBorders>
              <w:top w:val="single" w:color="auto" w:sz="4" w:space="0"/>
              <w:left w:val="single" w:color="auto" w:sz="4" w:space="0"/>
              <w:right w:val="single" w:color="auto" w:sz="4" w:space="0"/>
            </w:tcBorders>
            <w:vAlign w:val="center"/>
          </w:tcPr>
          <w:p w14:paraId="7D4D430E">
            <w:pPr>
              <w:autoSpaceDE/>
              <w:autoSpaceDN/>
              <w:spacing w:line="240" w:lineRule="exact"/>
              <w:jc w:val="center"/>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接触控制与个体防护</w:t>
            </w:r>
          </w:p>
        </w:tc>
        <w:tc>
          <w:tcPr>
            <w:tcW w:w="1432" w:type="dxa"/>
            <w:tcBorders>
              <w:top w:val="single" w:color="auto" w:sz="4" w:space="0"/>
              <w:left w:val="single" w:color="auto" w:sz="4" w:space="0"/>
              <w:bottom w:val="single" w:color="auto" w:sz="4" w:space="0"/>
              <w:right w:val="single" w:color="auto" w:sz="4" w:space="0"/>
            </w:tcBorders>
            <w:vAlign w:val="center"/>
          </w:tcPr>
          <w:p w14:paraId="55A092D7">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工程控制</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4A0632AD">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生产过程密闭，全面通风。</w:t>
            </w:r>
          </w:p>
        </w:tc>
      </w:tr>
      <w:tr w14:paraId="2A664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blHeader/>
        </w:trPr>
        <w:tc>
          <w:tcPr>
            <w:tcW w:w="1119" w:type="dxa"/>
            <w:vMerge w:val="continue"/>
            <w:tcBorders>
              <w:left w:val="single" w:color="auto" w:sz="4" w:space="0"/>
              <w:right w:val="single" w:color="auto" w:sz="4" w:space="0"/>
            </w:tcBorders>
            <w:vAlign w:val="center"/>
          </w:tcPr>
          <w:p w14:paraId="78B47345">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2C27A3D8">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呼吸系统防护</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7059597A">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一般不需要特殊防护，但建议特殊情况下，佩戴自吸过滤式防毒面具（半面罩）。</w:t>
            </w:r>
          </w:p>
        </w:tc>
      </w:tr>
      <w:tr w14:paraId="50039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blHeader/>
        </w:trPr>
        <w:tc>
          <w:tcPr>
            <w:tcW w:w="1119" w:type="dxa"/>
            <w:vMerge w:val="continue"/>
            <w:tcBorders>
              <w:left w:val="single" w:color="auto" w:sz="4" w:space="0"/>
              <w:right w:val="single" w:color="auto" w:sz="4" w:space="0"/>
            </w:tcBorders>
            <w:vAlign w:val="center"/>
          </w:tcPr>
          <w:p w14:paraId="08F9F5DA">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2C17CB0E">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眼睛防护</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60957EB8">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一般不需要特殊防护，高浓度接触时可戴安全防护眼镜。</w:t>
            </w:r>
          </w:p>
        </w:tc>
      </w:tr>
      <w:tr w14:paraId="1EBFF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blHeader/>
        </w:trPr>
        <w:tc>
          <w:tcPr>
            <w:tcW w:w="1119" w:type="dxa"/>
            <w:vMerge w:val="continue"/>
            <w:tcBorders>
              <w:left w:val="single" w:color="auto" w:sz="4" w:space="0"/>
              <w:right w:val="single" w:color="auto" w:sz="4" w:space="0"/>
            </w:tcBorders>
            <w:vAlign w:val="center"/>
          </w:tcPr>
          <w:p w14:paraId="4C18B5A2">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342D2CF4">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身体防护</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46D8D934">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穿防静电工作服</w:t>
            </w:r>
          </w:p>
        </w:tc>
      </w:tr>
      <w:tr w14:paraId="36A54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blHeader/>
        </w:trPr>
        <w:tc>
          <w:tcPr>
            <w:tcW w:w="1119" w:type="dxa"/>
            <w:vMerge w:val="continue"/>
            <w:tcBorders>
              <w:left w:val="single" w:color="auto" w:sz="4" w:space="0"/>
              <w:right w:val="single" w:color="auto" w:sz="4" w:space="0"/>
            </w:tcBorders>
            <w:vAlign w:val="center"/>
          </w:tcPr>
          <w:p w14:paraId="138E87E9">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2E47EDE9">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手防护</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3583FCB7">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r>
              <w:rPr>
                <w:rFonts w:cs="Times New Roman" w:asciiTheme="minorEastAsia" w:hAnsiTheme="minorEastAsia" w:eastAsiaTheme="minorEastAsia"/>
                <w:color w:val="000000" w:themeColor="text1"/>
                <w:sz w:val="21"/>
                <w:szCs w:val="21"/>
                <w:lang w:eastAsia="en-US"/>
                <w14:textFill>
                  <w14:solidFill>
                    <w14:schemeClr w14:val="tx1"/>
                  </w14:solidFill>
                </w14:textFill>
              </w:rPr>
              <w:t>戴一般作业防护手套</w:t>
            </w:r>
          </w:p>
        </w:tc>
      </w:tr>
      <w:tr w14:paraId="5373A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blHeader/>
        </w:trPr>
        <w:tc>
          <w:tcPr>
            <w:tcW w:w="1119" w:type="dxa"/>
            <w:vMerge w:val="continue"/>
            <w:tcBorders>
              <w:left w:val="single" w:color="auto" w:sz="4" w:space="0"/>
              <w:bottom w:val="single" w:color="auto" w:sz="4" w:space="0"/>
              <w:right w:val="single" w:color="auto" w:sz="4" w:space="0"/>
            </w:tcBorders>
            <w:vAlign w:val="center"/>
          </w:tcPr>
          <w:p w14:paraId="7F193EBA">
            <w:pPr>
              <w:autoSpaceDE/>
              <w:autoSpaceDN/>
              <w:spacing w:line="240" w:lineRule="exact"/>
              <w:rPr>
                <w:rFonts w:cs="Times New Roman" w:asciiTheme="minorEastAsia" w:hAnsiTheme="minorEastAsia" w:eastAsiaTheme="minorEastAsia"/>
                <w:color w:val="000000" w:themeColor="text1"/>
                <w:sz w:val="21"/>
                <w:szCs w:val="21"/>
                <w:lang w:eastAsia="en-US"/>
                <w14:textFill>
                  <w14:solidFill>
                    <w14:schemeClr w14:val="tx1"/>
                  </w14:solidFill>
                </w14:textFill>
              </w:rPr>
            </w:pPr>
          </w:p>
        </w:tc>
        <w:tc>
          <w:tcPr>
            <w:tcW w:w="1432" w:type="dxa"/>
            <w:tcBorders>
              <w:top w:val="single" w:color="auto" w:sz="4" w:space="0"/>
              <w:left w:val="single" w:color="auto" w:sz="4" w:space="0"/>
              <w:bottom w:val="single" w:color="auto" w:sz="4" w:space="0"/>
              <w:right w:val="single" w:color="auto" w:sz="4" w:space="0"/>
            </w:tcBorders>
            <w:vAlign w:val="center"/>
          </w:tcPr>
          <w:p w14:paraId="0A4BE868">
            <w:pPr>
              <w:autoSpaceDE/>
              <w:autoSpaceDN/>
              <w:spacing w:line="240" w:lineRule="exact"/>
              <w:jc w:val="center"/>
              <w:rPr>
                <w:rFonts w:cs="Times New Roman" w:asciiTheme="minorEastAsia" w:hAnsiTheme="minorEastAsia" w:eastAsiaTheme="minorEastAsia"/>
                <w:bCs/>
                <w:color w:val="000000" w:themeColor="text1"/>
                <w:sz w:val="21"/>
                <w:szCs w:val="21"/>
                <w:lang w:eastAsia="en-US"/>
                <w14:textFill>
                  <w14:solidFill>
                    <w14:schemeClr w14:val="tx1"/>
                  </w14:solidFill>
                </w14:textFill>
              </w:rPr>
            </w:pPr>
            <w:r>
              <w:rPr>
                <w:rFonts w:cs="Times New Roman" w:asciiTheme="minorEastAsia" w:hAnsiTheme="minorEastAsia" w:eastAsiaTheme="minorEastAsia"/>
                <w:bCs/>
                <w:color w:val="000000" w:themeColor="text1"/>
                <w:sz w:val="21"/>
                <w:szCs w:val="21"/>
                <w:lang w:eastAsia="en-US"/>
                <w14:textFill>
                  <w14:solidFill>
                    <w14:schemeClr w14:val="tx1"/>
                  </w14:solidFill>
                </w14:textFill>
              </w:rPr>
              <w:t>其他防护</w:t>
            </w:r>
          </w:p>
        </w:tc>
        <w:tc>
          <w:tcPr>
            <w:tcW w:w="6743" w:type="dxa"/>
            <w:gridSpan w:val="5"/>
            <w:tcBorders>
              <w:top w:val="single" w:color="auto" w:sz="4" w:space="0"/>
              <w:left w:val="single" w:color="auto" w:sz="4" w:space="0"/>
              <w:bottom w:val="single" w:color="auto" w:sz="4" w:space="0"/>
              <w:right w:val="single" w:color="auto" w:sz="4" w:space="0"/>
            </w:tcBorders>
            <w:vAlign w:val="center"/>
          </w:tcPr>
          <w:p w14:paraId="4352CC5D">
            <w:pPr>
              <w:autoSpaceDE/>
              <w:autoSpaceDN/>
              <w:spacing w:line="240" w:lineRule="exact"/>
              <w:rPr>
                <w:rFonts w:cs="Times New Roman" w:asciiTheme="minorEastAsia" w:hAnsiTheme="minorEastAsia" w:eastAsiaTheme="minorEastAsia"/>
                <w:color w:val="000000" w:themeColor="text1"/>
                <w:sz w:val="21"/>
                <w:szCs w:val="21"/>
                <w:lang w:eastAsia="zh-CN"/>
                <w14:textFill>
                  <w14:solidFill>
                    <w14:schemeClr w14:val="tx1"/>
                  </w14:solidFill>
                </w14:textFill>
              </w:rPr>
            </w:pPr>
            <w:r>
              <w:rPr>
                <w:rFonts w:cs="Times New Roman" w:asciiTheme="minorEastAsia" w:hAnsiTheme="minorEastAsia" w:eastAsiaTheme="minorEastAsia"/>
                <w:color w:val="000000" w:themeColor="text1"/>
                <w:sz w:val="21"/>
                <w:szCs w:val="21"/>
                <w:lang w:eastAsia="zh-CN"/>
                <w14:textFill>
                  <w14:solidFill>
                    <w14:schemeClr w14:val="tx1"/>
                  </w14:solidFill>
                </w14:textFill>
              </w:rPr>
              <w:t>工作现场严禁吸烟。避免长期反复接触。进入罐、限制性空间或其他高浓度区作业，须有人监护。</w:t>
            </w:r>
          </w:p>
        </w:tc>
      </w:tr>
    </w:tbl>
    <w:p w14:paraId="05A8DE52">
      <w:pPr>
        <w:tabs>
          <w:tab w:val="left" w:pos="5220"/>
        </w:tabs>
        <w:spacing w:line="120" w:lineRule="exact"/>
        <w:ind w:right="629"/>
        <w:jc w:val="right"/>
        <w:rPr>
          <w:rFonts w:eastAsia="仿宋_GB2312"/>
          <w:color w:val="000000" w:themeColor="text1"/>
          <w14:textFill>
            <w14:solidFill>
              <w14:schemeClr w14:val="tx1"/>
            </w14:solidFill>
          </w14:textFill>
        </w:rPr>
      </w:pPr>
    </w:p>
    <w:p w14:paraId="65A4149F">
      <w:pPr>
        <w:tabs>
          <w:tab w:val="left" w:pos="5220"/>
        </w:tabs>
        <w:spacing w:line="120" w:lineRule="exact"/>
        <w:ind w:right="629"/>
        <w:jc w:val="right"/>
        <w:rPr>
          <w:rFonts w:eastAsia="仿宋_GB2312"/>
          <w:color w:val="000000" w:themeColor="text1"/>
          <w14:textFill>
            <w14:solidFill>
              <w14:schemeClr w14:val="tx1"/>
            </w14:solidFill>
          </w14:textFill>
        </w:rPr>
      </w:pPr>
    </w:p>
    <w:p w14:paraId="6FDE54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E628B"/>
    <w:rsid w:val="04974587"/>
    <w:rsid w:val="0DCE61DD"/>
    <w:rsid w:val="1E430E84"/>
    <w:rsid w:val="256B319A"/>
    <w:rsid w:val="2FCD4A51"/>
    <w:rsid w:val="34FF56AD"/>
    <w:rsid w:val="41782A6F"/>
    <w:rsid w:val="43672D9B"/>
    <w:rsid w:val="547045EB"/>
    <w:rsid w:val="5C311D40"/>
    <w:rsid w:val="5DCF1811"/>
    <w:rsid w:val="64BE438D"/>
    <w:rsid w:val="666F3B91"/>
    <w:rsid w:val="676F7BC1"/>
    <w:rsid w:val="6FD11419"/>
    <w:rsid w:val="711372C6"/>
    <w:rsid w:val="76F8372F"/>
    <w:rsid w:val="7BDE6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sz w:val="21"/>
      <w:szCs w:val="20"/>
    </w:rPr>
  </w:style>
  <w:style w:type="paragraph" w:styleId="3">
    <w:name w:val="Block Text"/>
    <w:basedOn w:val="1"/>
    <w:qFormat/>
    <w:uiPriority w:val="0"/>
    <w:pPr>
      <w:wordWrap w:val="0"/>
      <w:spacing w:line="500" w:lineRule="exact"/>
      <w:ind w:left="1185" w:leftChars="99" w:right="467" w:rightChars="148" w:hanging="872" w:hangingChars="276"/>
    </w:pPr>
    <w:rPr>
      <w:rFonts w:eastAsia="方正仿宋简体"/>
      <w:kern w:val="32"/>
    </w:rPr>
  </w:style>
  <w:style w:type="paragraph" w:styleId="4">
    <w:name w:val="Title"/>
    <w:basedOn w:val="1"/>
    <w:next w:val="5"/>
    <w:qFormat/>
    <w:uiPriority w:val="0"/>
    <w:pPr>
      <w:spacing w:before="240" w:after="60"/>
      <w:ind w:left="640" w:leftChars="200"/>
      <w:outlineLvl w:val="0"/>
    </w:pPr>
    <w:rPr>
      <w:rFonts w:ascii="Arial" w:hAnsi="Arial" w:eastAsia="仿宋_GB2312"/>
      <w:b/>
    </w:rPr>
  </w:style>
  <w:style w:type="paragraph" w:customStyle="1" w:styleId="5">
    <w:name w:val="正文文本缩进1"/>
    <w:basedOn w:val="1"/>
    <w:qFormat/>
    <w:uiPriority w:val="0"/>
    <w:pPr>
      <w:spacing w:after="120"/>
      <w:ind w:left="420" w:leftChars="200"/>
    </w:pPr>
    <w:rPr>
      <w:rFonts w:eastAsia="仿宋_GB2312"/>
    </w:rPr>
  </w:style>
  <w:style w:type="table" w:customStyle="1" w:styleId="8">
    <w:name w:val="Table Normal"/>
    <w:unhideWhenUsed/>
    <w:qFormat/>
    <w:uiPriority w:val="2"/>
    <w:pPr>
      <w:widowControl w:val="0"/>
      <w:autoSpaceDE w:val="0"/>
      <w:autoSpaceDN w:val="0"/>
    </w:pPr>
    <w:rPr>
      <w:rFonts w:asciiTheme="minorHAnsi" w:hAnsiTheme="minorHAnsi" w:eastAsiaTheme="minorEastAsia" w:cstheme="minorBidi"/>
      <w:sz w:val="22"/>
      <w:szCs w:val="22"/>
      <w:lang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b42d8b43-ebc0-45e6-a6a2-3f4f68cb7f9d</errorID>
      <errorWord>受</errorWord>
      <group>L1_Word</group>
      <groupName>字词问题</groupName>
      <ability>L2_Typo</ability>
      <abilityName>字词错误</abilityName>
      <candidateList>
        <item>受到</item>
      </candidateList>
      <explain/>
      <paraID>7CF4BFFD</paraID>
      <start>12</start>
      <end>13</end>
      <status>unmodified</status>
      <modifiedWord/>
      <trackRevisions>false</trackRevisions>
    </reviewItem>
    <reviewItem>
      <errorID>b54dfae4-aec0-482c-9e87-55b61c35cd8d</errorID>
      <errorWord>，</errorWord>
      <group>L1_Word</group>
      <groupName>字词问题</groupName>
      <ability>L2_Typo</ability>
      <abilityName>字词错误</abilityName>
      <candidateList>
        <item>，由</item>
      </candidateList>
      <explain/>
      <paraID>4F15B035</paraID>
      <start>47</start>
      <end>48</end>
      <status>unmodified</status>
      <modifiedWord/>
      <trackRevisions>false</trackRevisions>
    </reviewItem>
    <reviewItem>
      <errorID>e8dca30b-bfb9-46f6-8bc6-c52f89e3c021</errorID>
      <errorWord>必要性</errorWord>
      <group>L1_Word</group>
      <groupName>字词问题</groupName>
      <ability>L2_Typo</ability>
      <abilityName>字词错误</abilityName>
      <candidateList>
        <item>必要</item>
      </candidateList>
      <explain/>
      <paraID>62D09402</paraID>
      <start>254</start>
      <end>257</end>
      <status>unmodified</status>
      <modifiedWord/>
      <trackRevisions>false</trackRevisions>
    </reviewItem>
    <reviewItem>
      <errorID>b51881f9-98c9-4498-92b9-c19dcea14ab0</errorID>
      <errorWord>IV</errorWord>
      <group>L1_Knowledge</group>
      <groupName>知识性问题</groupName>
      <ability>L2_Knowledge</ability>
      <abilityName>其他知识</abilityName>
      <candidateList>
        <item>Ⅳ</item>
      </candidateList>
      <explain>中文环境下罗马数字格式错误。</explain>
      <paraID> 53B8BDF</paraID>
      <start>76</start>
      <end>78</end>
      <status>unmodified</status>
      <modifiedWord/>
      <trackRevisions>false</trackRevisions>
    </reviewItem>
    <reviewItem>
      <errorID>f9f9a162-a346-4dcd-bd80-4685f29daba0</errorID>
      <errorWord>IV</errorWord>
      <group>L1_Knowledge</group>
      <groupName>知识性问题</groupName>
      <ability>L2_Knowledge</ability>
      <abilityName>其他知识</abilityName>
      <candidateList>
        <item>Ⅳ</item>
      </candidateList>
      <explain>中文环境下罗马数字格式错误。</explain>
      <paraID> 3B9D8BC</paraID>
      <start>16</start>
      <end>18</end>
      <status>unmodified</status>
      <modifiedWord/>
      <trackRevisions>false</trackRevisions>
    </reviewItem>
    <reviewItem>
      <errorID>83e06b8a-0694-420a-b7d5-7d2a12ab8c86</errorID>
      <errorWord>IV级</errorWord>
      <group>L1_Knowledge</group>
      <groupName>知识性问题</groupName>
      <ability>L2_Knowledge</ability>
      <abilityName>其他知识</abilityName>
      <candidateList>
        <item>Ⅳ级</item>
      </candidateList>
      <explain>中文环境下罗马数字格式错误。</explain>
      <paraID>52DD56C7</paraID>
      <start>81</start>
      <end>84</end>
      <status>unmodified</status>
      <modifiedWord/>
      <trackRevisions>false</trackRevisions>
    </reviewItem>
    <reviewItem>
      <errorID>c0c2912e-a1d1-4bf0-ab47-bb4e7189875a</errorID>
      <errorWord>IV级</errorWord>
      <group>L1_Knowledge</group>
      <groupName>知识性问题</groupName>
      <ability>L2_Knowledge</ability>
      <abilityName>其他知识</abilityName>
      <candidateList>
        <item>Ⅳ级</item>
      </candidateList>
      <explain>中文环境下罗马数字格式错误。</explain>
      <paraID>13920923</paraID>
      <start>5</start>
      <end>8</end>
      <status>unmodified</status>
      <modifiedWord/>
      <trackRevisions>false</trackRevisions>
    </reviewItem>
    <reviewItem>
      <errorID>166c96bd-2582-4ab0-a7f9-4461490e88c7</errorID>
      <errorWord>法律、法规</errorWord>
      <group>L1_Word</group>
      <groupName>字词问题</groupName>
      <ability>L2_Typo</ability>
      <abilityName>字词错误</abilityName>
      <candidateList>
        <item>法律法规</item>
      </candidateList>
      <explain/>
      <paraID>46A142E1</paraID>
      <start>3</start>
      <end>8</end>
      <status>unmodified</status>
      <modifiedWord/>
      <trackRevisions>false</trackRevisions>
    </reviewItem>
    <reviewItem>
      <errorID>00ab97b8-94b7-4995-85db-897144a5e3f8</errorID>
      <errorWord>IV级</errorWord>
      <group>L1_Knowledge</group>
      <groupName>知识性问题</groupName>
      <ability>L2_Knowledge</ability>
      <abilityName>其他知识</abilityName>
      <candidateList>
        <item>Ⅳ级</item>
      </candidateList>
      <explain>中文环境下罗马数字格式错误。</explain>
      <paraID>11D87262</paraID>
      <start>38</start>
      <end>41</end>
      <status>unmodified</status>
      <modifiedWord/>
      <trackRevisions>false</trackRevisions>
    </reviewItem>
    <reviewItem>
      <errorID>92346e06-1872-4fbe-b7b9-bfa6c6e22ddb</errorID>
      <errorWord>IV级</errorWord>
      <group>L1_Knowledge</group>
      <groupName>知识性问题</groupName>
      <ability>L2_Knowledge</ability>
      <abilityName>其他知识</abilityName>
      <candidateList>
        <item>Ⅳ级</item>
      </candidateList>
      <explain>中文环境下罗马数字格式错误。</explain>
      <paraID>11D87262</paraID>
      <start>161</start>
      <end>164</end>
      <status>unmodified</status>
      <modifiedWord/>
      <trackRevisions>false</trackRevisions>
    </reviewItem>
    <reviewItem>
      <errorID>9cea8e43-abc6-4dc8-b766-1919600d04b9</errorID>
      <errorWord>IV级</errorWord>
      <group>L1_Knowledge</group>
      <groupName>知识性问题</groupName>
      <ability>L2_Knowledge</ability>
      <abilityName>其他知识</abilityName>
      <candidateList>
        <item>Ⅳ级</item>
      </candidateList>
      <explain>中文环境下罗马数字格式错误。</explain>
      <paraID>674200AB</paraID>
      <start>3</start>
      <end>6</end>
      <status>unmodified</status>
      <modifiedWord/>
      <trackRevisions>false</trackRevisions>
    </reviewItem>
    <reviewItem>
      <errorID>bfa36086-fca0-4645-95c8-8230ada0232d</errorID>
      <errorWord>IV级</errorWord>
      <group>L1_Knowledge</group>
      <groupName>知识性问题</groupName>
      <ability>L2_Knowledge</ability>
      <abilityName>其他知识</abilityName>
      <candidateList>
        <item>Ⅳ级</item>
      </candidateList>
      <explain>中文环境下罗马数字格式错误。</explain>
      <paraID>73B3A34A</paraID>
      <start>33</start>
      <end>36</end>
      <status>unmodified</status>
      <modifiedWord/>
      <trackRevisions>false</trackRevisions>
    </reviewItem>
    <reviewItem>
      <errorID>feb277a7-2488-4ee8-8ec6-ca19792efa55</errorID>
      <errorWord>IV级</errorWord>
      <group>L1_Knowledge</group>
      <groupName>知识性问题</groupName>
      <ability>L2_Knowledge</ability>
      <abilityName>其他知识</abilityName>
      <candidateList>
        <item>Ⅳ级</item>
      </candidateList>
      <explain>中文环境下罗马数字格式错误。</explain>
      <paraID> B92A40F</paraID>
      <start>117</start>
      <end>120</end>
      <status>unmodified</status>
      <modifiedWord/>
      <trackRevisions>false</trackRevisions>
    </reviewItem>
    <reviewItem>
      <errorID>2fda7045-0c5e-4091-99b0-b910208c27b4</errorID>
      <errorWord>0477—4705618</errorWord>
      <group>L1_Punc</group>
      <groupName>标点问题</groupName>
      <ability>L2_Punc_CN</ability>
      <abilityName>标点符号检查</abilityName>
      <candidateList>
        <item>0477-4705618</item>
      </candidateList>
      <explain>电话号码使用短横线。</explain>
      <paraID>71C292A8</paraID>
      <start>0</start>
      <end>12</end>
      <status>unmodified</status>
      <modifiedWord/>
      <trackRevisions>false</trackRevisions>
    </reviewItem>
    <reviewItem>
      <errorID>1e5923ca-22af-4c95-98c6-6204ef1e9d3b</errorID>
      <errorWord>0477—4886400</errorWord>
      <group>L1_Punc</group>
      <groupName>标点问题</groupName>
      <ability>L2_Punc_CN</ability>
      <abilityName>标点符号检查</abilityName>
      <candidateList>
        <item>0477-4886400</item>
      </candidateList>
      <explain>电话号码使用短横线。</explain>
      <paraID> D596826</paraID>
      <start>0</start>
      <end>12</end>
      <status>unmodified</status>
      <modifiedWord/>
      <trackRevisions>false</trackRevisions>
    </reviewItem>
    <reviewItem>
      <errorID>db5a8591-09fd-4403-b671-f6c11f013ce3</errorID>
      <errorWord>0477—4225316</errorWord>
      <group>L1_Punc</group>
      <groupName>标点问题</groupName>
      <ability>L2_Punc_CN</ability>
      <abilityName>标点符号检查</abilityName>
      <candidateList>
        <item>0477-4225316</item>
      </candidateList>
      <explain>电话号码使用短横线。</explain>
      <paraID>1CDD2246</paraID>
      <start>0</start>
      <end>12</end>
      <status>unmodified</status>
      <modifiedWord/>
      <trackRevisions>false</trackRevisions>
    </reviewItem>
    <reviewItem>
      <errorID>3ae00a4f-61e2-4930-8910-80fcd439ba28</errorID>
      <errorWord>0477—3863219</errorWord>
      <group>L1_Punc</group>
      <groupName>标点问题</groupName>
      <ability>L2_Punc_CN</ability>
      <abilityName>标点符号检查</abilityName>
      <candidateList>
        <item>0477-3863219</item>
      </candidateList>
      <explain>电话号码使用短横线。</explain>
      <paraID>75763A3F</paraID>
      <start>0</start>
      <end>12</end>
      <status>unmodified</status>
      <modifiedWord/>
      <trackRevisions>false</trackRevisions>
    </reviewItem>
    <reviewItem>
      <errorID>60750b1b-184d-4c79-a7ff-8259d19cb212</errorID>
      <errorWord>0477—4211140</errorWord>
      <group>L1_Punc</group>
      <groupName>标点问题</groupName>
      <ability>L2_Punc_CN</ability>
      <abilityName>标点符号检查</abilityName>
      <candidateList>
        <item>0477-4211140</item>
      </candidateList>
      <explain>电话号码使用短横线。</explain>
      <paraID>5007FF21</paraID>
      <start>0</start>
      <end>12</end>
      <status>unmodified</status>
      <modifiedWord/>
      <trackRevisions>false</trackRevisions>
    </reviewItem>
    <reviewItem>
      <errorID>6a71ef25-c93a-4780-90dd-3264952fc3f2</errorID>
      <errorWord>0477—8599557</errorWord>
      <group>L1_Punc</group>
      <groupName>标点问题</groupName>
      <ability>L2_Punc_CN</ability>
      <abilityName>标点符号检查</abilityName>
      <candidateList>
        <item>0477-8599557</item>
      </candidateList>
      <explain>电话号码使用短横线。</explain>
      <paraID>4A685B70</paraID>
      <start>0</start>
      <end>12</end>
      <status>unmodified</status>
      <modifiedWord/>
      <trackRevisions>false</trackRevisions>
    </reviewItem>
    <reviewItem>
      <errorID>6e41c211-52cd-49b4-a5a3-40ff727634a7</errorID>
      <errorWord>0477—8589577</errorWord>
      <group>L1_Punc</group>
      <groupName>标点问题</groupName>
      <ability>L2_Punc_CN</ability>
      <abilityName>标点符号检查</abilityName>
      <candidateList>
        <item>0477-8589577</item>
      </candidateList>
      <explain>电话号码使用短横线。</explain>
      <paraID>34163724</paraID>
      <start>0</start>
      <end>12</end>
      <status>unmodified</status>
      <modifiedWord/>
      <trackRevisions>false</trackRevisions>
    </reviewItem>
    <reviewItem>
      <errorID>ee3b84ce-6ee9-4c39-8efd-8f48e06513b0</errorID>
      <errorWord>0477—8589990</errorWord>
      <group>L1_Punc</group>
      <groupName>标点问题</groupName>
      <ability>L2_Punc_CN</ability>
      <abilityName>标点符号检查</abilityName>
      <candidateList>
        <item>0477-8589990</item>
      </candidateList>
      <explain>电话号码使用短横线。</explain>
      <paraID>5F8B0762</paraID>
      <start>0</start>
      <end>12</end>
      <status>unmodified</status>
      <modifiedWord/>
      <trackRevisions>false</trackRevisions>
    </reviewItem>
    <reviewItem>
      <errorID>6f61ed8f-bf09-47c6-9fd9-d5f59b633139</errorID>
      <errorWord>0471—5221011</errorWord>
      <group>L1_Punc</group>
      <groupName>标点问题</groupName>
      <ability>L2_Punc_CN</ability>
      <abilityName>标点符号检查</abilityName>
      <candidateList>
        <item>0471-5221011</item>
      </candidateList>
      <explain>电话号码使用短横线。</explain>
      <paraID>20B433C1</paraID>
      <start>0</start>
      <end>12</end>
      <status>unmodified</status>
      <modifiedWord/>
      <trackRevisions>false</trackRevisions>
    </reviewItem>
    <reviewItem>
      <errorID>e7f203ba-8f02-476f-9eee-7eba5ce6192b</errorID>
      <errorWord>0471—3604277</errorWord>
      <group>L1_Punc</group>
      <groupName>标点问题</groupName>
      <ability>L2_Punc_CN</ability>
      <abilityName>标点符号检查</abilityName>
      <candidateList>
        <item>0471-3604277</item>
      </candidateList>
      <explain>电话号码使用短横线。</explain>
      <paraID>523E681A</paraID>
      <start>0</start>
      <end>12</end>
      <status>unmodified</status>
      <modifiedWord/>
      <trackRevisions>false</trackRevisions>
    </reviewItem>
    <reviewItem>
      <errorID>faa650f8-d14c-4d3e-8c9a-4910d95943cf</errorID>
      <errorWord>010—81365820</errorWord>
      <group>L1_Punc</group>
      <groupName>标点问题</groupName>
      <ability>L2_Punc_CN</ability>
      <abilityName>标点符号检查</abilityName>
      <candidateList>
        <item>010-81365820</item>
      </candidateList>
      <explain>电话号码使用短横线。</explain>
      <paraID>2815BD32</paraID>
      <start>0</start>
      <end>12</end>
      <status>unmodified</status>
      <modifiedWord/>
      <trackRevisions>false</trackRevisions>
    </reviewItem>
    <reviewItem>
      <errorID>3b5fb190-b6d2-4cf5-93e1-d9260efaa0be</errorID>
      <errorWord>0471—3351526</errorWord>
      <group>L1_Punc</group>
      <groupName>标点问题</groupName>
      <ability>L2_Punc_CN</ability>
      <abilityName>标点符号检查</abilityName>
      <candidateList>
        <item>0471-3351526</item>
      </candidateList>
      <explain>电话号码使用短横线。</explain>
      <paraID>33C47A3D</paraID>
      <start>0</start>
      <end>12</end>
      <status>unmodified</status>
      <modifiedWord/>
      <trackRevisions>false</trackRevisions>
    </reviewItem>
    <reviewItem>
      <errorID>502fe3b2-d3d6-47e5-afb7-13f06467455a</errorID>
      <errorWord>029—88408777</errorWord>
      <group>L1_Punc</group>
      <groupName>标点问题</groupName>
      <ability>L2_Punc_CN</ability>
      <abilityName>标点符号检查</abilityName>
      <candidateList>
        <item>029-88408777</item>
      </candidateList>
      <explain>电话号码使用短横线。</explain>
      <paraID>7C710F91</paraID>
      <start>0</start>
      <end>12</end>
      <status>unmodified</status>
      <modifiedWord/>
      <trackRevisions>false</trackRevisions>
    </reviewItem>
    <reviewItem>
      <errorID>c9d2ea08-fa9c-477b-81a0-0f274f1b6a5f</errorID>
      <errorWord>0471—2242852</errorWord>
      <group>L1_Punc</group>
      <groupName>标点问题</groupName>
      <ability>L2_Punc_CN</ability>
      <abilityName>标点符号检查</abilityName>
      <candidateList>
        <item>0471-2242852</item>
      </candidateList>
      <explain>电话号码使用短横线。</explain>
      <paraID>66ABD3DA</paraID>
      <start>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d927bfca-3914-4a1b-abd4-c1d4355746d7}">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16358</Words>
  <Characters>16997</Characters>
  <Lines>0</Lines>
  <Paragraphs>0</Paragraphs>
  <TotalTime>42</TotalTime>
  <ScaleCrop>false</ScaleCrop>
  <LinksUpToDate>false</LinksUpToDate>
  <CharactersWithSpaces>17059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2026-05-29T03:48:00Z</dcterms:created>
  <dc:creator>️</dc:creator>
  <cp:lastModifiedBy>演示人</cp:lastModifiedBy>
  <dcterms:modified xsi:type="dcterms:W3CDTF">2026-06-15T08:28:30Z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FE92830772CB4DAC9B3DCEBF148E2F88_11</vt:lpwstr>
  </property>
  <property fmtid="{D5CDD505-2E9C-101B-9397-08002B2CF9AE}" pid="4" name="KSOTemplateDocerSaveRecord">
    <vt:lpwstr>eyJoZGlkIjoiODgyYTNlNTNjY2FlMWI4ZWMzYWU3Y2M4OTM2ZDhmOGIiLCJ1c2VySWQiOiI0NTcwOTkwNjAifQ==</vt:lpwstr>
  </property>
</Properties>
</file>